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E3" w:rsidRPr="00E106BD" w:rsidRDefault="00AF69B5" w:rsidP="001771E3">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5pt;height:81pt" fillcolor="window">
            <v:imagedata r:id="rId9" o:title=""/>
          </v:shape>
        </w:pict>
      </w:r>
    </w:p>
    <w:p w:rsidR="001771E3" w:rsidRPr="00E106BD" w:rsidRDefault="001771E3" w:rsidP="001771E3">
      <w:pPr>
        <w:pStyle w:val="ShortT"/>
        <w:spacing w:before="240"/>
      </w:pPr>
      <w:r w:rsidRPr="00E106BD">
        <w:t>National Health (Highly specialised drugs program) Special Arrangement 2010 (PB 116 of 2010)</w:t>
      </w:r>
    </w:p>
    <w:p w:rsidR="001771E3" w:rsidRPr="00E106BD" w:rsidRDefault="001771E3" w:rsidP="001771E3">
      <w:pPr>
        <w:pStyle w:val="MadeunderText"/>
      </w:pPr>
      <w:r w:rsidRPr="00E106BD">
        <w:t>made under subsection</w:t>
      </w:r>
      <w:r w:rsidR="005F106D" w:rsidRPr="00E106BD">
        <w:t>s</w:t>
      </w:r>
      <w:r w:rsidR="00E106BD">
        <w:t> </w:t>
      </w:r>
      <w:r w:rsidRPr="00E106BD">
        <w:t>100(1)</w:t>
      </w:r>
      <w:r w:rsidR="005F106D" w:rsidRPr="00E106BD">
        <w:t xml:space="preserve"> and (2)</w:t>
      </w:r>
      <w:r w:rsidRPr="00E106BD">
        <w:t xml:space="preserve"> of the</w:t>
      </w:r>
    </w:p>
    <w:p w:rsidR="001771E3" w:rsidRPr="00E106BD" w:rsidRDefault="001771E3" w:rsidP="001771E3">
      <w:pPr>
        <w:pStyle w:val="CompiledMadeUnder"/>
        <w:spacing w:before="240"/>
      </w:pPr>
      <w:r w:rsidRPr="00E106BD">
        <w:t>National Health Act 1953</w:t>
      </w:r>
    </w:p>
    <w:p w:rsidR="001771E3" w:rsidRPr="00E106BD" w:rsidRDefault="001771E3" w:rsidP="001771E3">
      <w:pPr>
        <w:spacing w:before="1000"/>
        <w:rPr>
          <w:rFonts w:cs="Arial"/>
          <w:b/>
          <w:sz w:val="32"/>
          <w:szCs w:val="32"/>
        </w:rPr>
      </w:pPr>
      <w:r w:rsidRPr="00E106BD">
        <w:rPr>
          <w:rFonts w:cs="Arial"/>
          <w:b/>
          <w:sz w:val="32"/>
          <w:szCs w:val="32"/>
        </w:rPr>
        <w:t>Compilation No.</w:t>
      </w:r>
      <w:r w:rsidR="00E106BD">
        <w:rPr>
          <w:rFonts w:cs="Arial"/>
          <w:b/>
          <w:sz w:val="32"/>
          <w:szCs w:val="32"/>
        </w:rPr>
        <w:t> </w:t>
      </w:r>
      <w:r w:rsidRPr="00E106BD">
        <w:rPr>
          <w:rFonts w:cs="Arial"/>
          <w:b/>
          <w:sz w:val="32"/>
          <w:szCs w:val="32"/>
        </w:rPr>
        <w:fldChar w:fldCharType="begin"/>
      </w:r>
      <w:r w:rsidRPr="00E106BD">
        <w:rPr>
          <w:rFonts w:cs="Arial"/>
          <w:b/>
          <w:sz w:val="32"/>
          <w:szCs w:val="32"/>
        </w:rPr>
        <w:instrText xml:space="preserve"> DOCPROPERTY  CompilationNumber </w:instrText>
      </w:r>
      <w:r w:rsidRPr="00E106BD">
        <w:rPr>
          <w:rFonts w:cs="Arial"/>
          <w:b/>
          <w:sz w:val="32"/>
          <w:szCs w:val="32"/>
        </w:rPr>
        <w:fldChar w:fldCharType="separate"/>
      </w:r>
      <w:r w:rsidR="00A50F83">
        <w:rPr>
          <w:rFonts w:cs="Arial"/>
          <w:b/>
          <w:sz w:val="32"/>
          <w:szCs w:val="32"/>
        </w:rPr>
        <w:t>111</w:t>
      </w:r>
      <w:r w:rsidRPr="00E106BD">
        <w:rPr>
          <w:rFonts w:cs="Arial"/>
          <w:b/>
          <w:sz w:val="32"/>
          <w:szCs w:val="32"/>
        </w:rPr>
        <w:fldChar w:fldCharType="end"/>
      </w:r>
    </w:p>
    <w:p w:rsidR="001771E3" w:rsidRPr="00E106BD" w:rsidRDefault="00BA7DD2" w:rsidP="00AD0D00">
      <w:pPr>
        <w:tabs>
          <w:tab w:val="left" w:pos="3600"/>
        </w:tabs>
        <w:spacing w:before="480"/>
        <w:rPr>
          <w:rFonts w:cs="Arial"/>
          <w:sz w:val="24"/>
        </w:rPr>
      </w:pPr>
      <w:r w:rsidRPr="00E106BD">
        <w:rPr>
          <w:rFonts w:cs="Arial"/>
          <w:b/>
          <w:sz w:val="24"/>
        </w:rPr>
        <w:t>Compilation date:</w:t>
      </w:r>
      <w:r w:rsidR="00AD0D00">
        <w:rPr>
          <w:rFonts w:cs="Arial"/>
          <w:sz w:val="24"/>
        </w:rPr>
        <w:tab/>
      </w:r>
      <w:r w:rsidR="001771E3" w:rsidRPr="00A50F83">
        <w:rPr>
          <w:rFonts w:cs="Arial"/>
          <w:sz w:val="24"/>
        </w:rPr>
        <w:fldChar w:fldCharType="begin"/>
      </w:r>
      <w:r w:rsidR="001771E3" w:rsidRPr="00A50F83">
        <w:rPr>
          <w:rFonts w:cs="Arial"/>
          <w:sz w:val="24"/>
        </w:rPr>
        <w:instrText xml:space="preserve"> DOCPROPERTY StartDate \@ "d MMMM yyyy" \*MERGEFORMAT </w:instrText>
      </w:r>
      <w:r w:rsidR="001771E3" w:rsidRPr="00A50F83">
        <w:rPr>
          <w:rFonts w:cs="Arial"/>
          <w:sz w:val="24"/>
        </w:rPr>
        <w:fldChar w:fldCharType="separate"/>
      </w:r>
      <w:r w:rsidR="00A50F83" w:rsidRPr="00A50F83">
        <w:rPr>
          <w:rFonts w:cs="Arial"/>
          <w:bCs/>
          <w:sz w:val="24"/>
        </w:rPr>
        <w:t>1</w:t>
      </w:r>
      <w:r w:rsidR="00A50F83" w:rsidRPr="00A50F83">
        <w:rPr>
          <w:rFonts w:cs="Arial"/>
          <w:sz w:val="24"/>
        </w:rPr>
        <w:t xml:space="preserve"> October 2020</w:t>
      </w:r>
      <w:r w:rsidR="001771E3" w:rsidRPr="00A50F83">
        <w:rPr>
          <w:rFonts w:cs="Arial"/>
          <w:sz w:val="24"/>
        </w:rPr>
        <w:fldChar w:fldCharType="end"/>
      </w:r>
    </w:p>
    <w:p w:rsidR="001771E3" w:rsidRPr="00E106BD" w:rsidRDefault="001771E3" w:rsidP="001771E3">
      <w:pPr>
        <w:spacing w:before="240"/>
        <w:rPr>
          <w:rFonts w:cs="Arial"/>
          <w:sz w:val="24"/>
        </w:rPr>
      </w:pPr>
      <w:r w:rsidRPr="00E106BD">
        <w:rPr>
          <w:rFonts w:cs="Arial"/>
          <w:b/>
          <w:sz w:val="24"/>
        </w:rPr>
        <w:t>Includes amendments up to:</w:t>
      </w:r>
      <w:r w:rsidRPr="00E106BD">
        <w:rPr>
          <w:rFonts w:cs="Arial"/>
          <w:sz w:val="24"/>
        </w:rPr>
        <w:tab/>
      </w:r>
      <w:r w:rsidRPr="00A50F83">
        <w:rPr>
          <w:rFonts w:cs="Arial"/>
          <w:sz w:val="24"/>
        </w:rPr>
        <w:fldChar w:fldCharType="begin"/>
      </w:r>
      <w:r w:rsidRPr="00A50F83">
        <w:rPr>
          <w:rFonts w:cs="Arial"/>
          <w:sz w:val="24"/>
        </w:rPr>
        <w:instrText xml:space="preserve"> DOCPROPERTY IncludesUpTo </w:instrText>
      </w:r>
      <w:r w:rsidRPr="00A50F83">
        <w:rPr>
          <w:rFonts w:cs="Arial"/>
          <w:sz w:val="24"/>
        </w:rPr>
        <w:fldChar w:fldCharType="separate"/>
      </w:r>
      <w:r w:rsidR="00A50F83" w:rsidRPr="00A50F83">
        <w:rPr>
          <w:rFonts w:cs="Arial"/>
          <w:sz w:val="24"/>
        </w:rPr>
        <w:t>PB 93 of 2020</w:t>
      </w:r>
      <w:r w:rsidRPr="00A50F83">
        <w:rPr>
          <w:rFonts w:cs="Arial"/>
          <w:sz w:val="24"/>
        </w:rPr>
        <w:fldChar w:fldCharType="end"/>
      </w:r>
    </w:p>
    <w:p w:rsidR="001771E3" w:rsidRDefault="001771E3" w:rsidP="00AD0D00">
      <w:pPr>
        <w:tabs>
          <w:tab w:val="left" w:pos="3600"/>
        </w:tabs>
        <w:spacing w:before="240" w:after="240"/>
        <w:rPr>
          <w:rFonts w:cs="Arial"/>
          <w:sz w:val="24"/>
        </w:rPr>
      </w:pPr>
      <w:r w:rsidRPr="00E106BD">
        <w:rPr>
          <w:rFonts w:cs="Arial"/>
          <w:b/>
          <w:sz w:val="24"/>
        </w:rPr>
        <w:t>Registered:</w:t>
      </w:r>
      <w:r w:rsidR="00AD0D00">
        <w:rPr>
          <w:rFonts w:cs="Arial"/>
          <w:sz w:val="24"/>
        </w:rPr>
        <w:tab/>
      </w:r>
      <w:r w:rsidRPr="00A50F83">
        <w:rPr>
          <w:rFonts w:cs="Arial"/>
          <w:sz w:val="24"/>
        </w:rPr>
        <w:fldChar w:fldCharType="begin"/>
      </w:r>
      <w:r w:rsidRPr="00A50F83">
        <w:rPr>
          <w:rFonts w:cs="Arial"/>
          <w:sz w:val="24"/>
        </w:rPr>
        <w:instrText xml:space="preserve"> IF </w:instrText>
      </w:r>
      <w:r w:rsidRPr="00A50F83">
        <w:rPr>
          <w:rFonts w:cs="Arial"/>
          <w:sz w:val="24"/>
        </w:rPr>
        <w:fldChar w:fldCharType="begin"/>
      </w:r>
      <w:r w:rsidRPr="00A50F83">
        <w:rPr>
          <w:rFonts w:cs="Arial"/>
          <w:sz w:val="24"/>
        </w:rPr>
        <w:instrText xml:space="preserve"> DOCPROPERTY RegisteredDate </w:instrText>
      </w:r>
      <w:r w:rsidRPr="00A50F83">
        <w:rPr>
          <w:rFonts w:cs="Arial"/>
          <w:sz w:val="24"/>
        </w:rPr>
        <w:fldChar w:fldCharType="separate"/>
      </w:r>
      <w:r w:rsidR="00A50F83" w:rsidRPr="00A50F83">
        <w:rPr>
          <w:rFonts w:cs="Arial"/>
          <w:sz w:val="24"/>
        </w:rPr>
        <w:instrText>19/10/2020</w:instrText>
      </w:r>
      <w:r w:rsidRPr="00A50F83">
        <w:rPr>
          <w:rFonts w:cs="Arial"/>
          <w:sz w:val="24"/>
        </w:rPr>
        <w:fldChar w:fldCharType="end"/>
      </w:r>
      <w:r w:rsidRPr="00A50F83">
        <w:rPr>
          <w:rFonts w:cs="Arial"/>
          <w:sz w:val="24"/>
        </w:rPr>
        <w:instrText xml:space="preserve"> = #1/1/1901# "Unknown" </w:instrText>
      </w:r>
      <w:r w:rsidRPr="00A50F83">
        <w:rPr>
          <w:rFonts w:cs="Arial"/>
          <w:sz w:val="24"/>
        </w:rPr>
        <w:fldChar w:fldCharType="begin"/>
      </w:r>
      <w:r w:rsidRPr="00A50F83">
        <w:rPr>
          <w:rFonts w:cs="Arial"/>
          <w:sz w:val="24"/>
        </w:rPr>
        <w:instrText xml:space="preserve"> DOCPROPERTY RegisteredDate \@ "d MMMM yyyy" </w:instrText>
      </w:r>
      <w:r w:rsidRPr="00A50F83">
        <w:rPr>
          <w:rFonts w:cs="Arial"/>
          <w:sz w:val="24"/>
        </w:rPr>
        <w:fldChar w:fldCharType="separate"/>
      </w:r>
      <w:r w:rsidR="00A50F83" w:rsidRPr="00A50F83">
        <w:rPr>
          <w:rFonts w:cs="Arial"/>
          <w:sz w:val="24"/>
        </w:rPr>
        <w:instrText>19 October 2020</w:instrText>
      </w:r>
      <w:r w:rsidRPr="00A50F83">
        <w:rPr>
          <w:rFonts w:cs="Arial"/>
          <w:sz w:val="24"/>
        </w:rPr>
        <w:fldChar w:fldCharType="end"/>
      </w:r>
      <w:r w:rsidRPr="00A50F83">
        <w:rPr>
          <w:rFonts w:cs="Arial"/>
          <w:sz w:val="24"/>
        </w:rPr>
        <w:instrText xml:space="preserve"> \*MERGEFORMAT </w:instrText>
      </w:r>
      <w:r w:rsidRPr="00A50F83">
        <w:rPr>
          <w:rFonts w:cs="Arial"/>
          <w:sz w:val="24"/>
        </w:rPr>
        <w:fldChar w:fldCharType="separate"/>
      </w:r>
      <w:r w:rsidR="00A50F83" w:rsidRPr="00A50F83">
        <w:rPr>
          <w:rFonts w:cs="Arial"/>
          <w:bCs/>
          <w:noProof/>
          <w:sz w:val="24"/>
        </w:rPr>
        <w:t>19</w:t>
      </w:r>
      <w:r w:rsidR="00A50F83" w:rsidRPr="00A50F83">
        <w:rPr>
          <w:rFonts w:cs="Arial"/>
          <w:noProof/>
          <w:sz w:val="24"/>
        </w:rPr>
        <w:t xml:space="preserve"> October 2020</w:t>
      </w:r>
      <w:r w:rsidRPr="00A50F83">
        <w:rPr>
          <w:rFonts w:cs="Arial"/>
          <w:sz w:val="24"/>
        </w:rPr>
        <w:fldChar w:fldCharType="end"/>
      </w:r>
    </w:p>
    <w:p w:rsidR="001771E3" w:rsidRPr="00E106BD" w:rsidRDefault="001771E3" w:rsidP="001771E3">
      <w:pPr>
        <w:pageBreakBefore/>
        <w:rPr>
          <w:rFonts w:cs="Arial"/>
          <w:b/>
          <w:sz w:val="32"/>
          <w:szCs w:val="32"/>
        </w:rPr>
      </w:pPr>
      <w:r w:rsidRPr="00E106BD">
        <w:rPr>
          <w:rFonts w:cs="Arial"/>
          <w:b/>
          <w:sz w:val="32"/>
          <w:szCs w:val="32"/>
        </w:rPr>
        <w:lastRenderedPageBreak/>
        <w:t>About this compilation</w:t>
      </w:r>
    </w:p>
    <w:p w:rsidR="001771E3" w:rsidRPr="00E106BD" w:rsidRDefault="001771E3" w:rsidP="001771E3">
      <w:pPr>
        <w:spacing w:before="240"/>
        <w:rPr>
          <w:rFonts w:cs="Arial"/>
        </w:rPr>
      </w:pPr>
      <w:r w:rsidRPr="00E106BD">
        <w:rPr>
          <w:rFonts w:cs="Arial"/>
          <w:b/>
          <w:szCs w:val="22"/>
        </w:rPr>
        <w:t>This compilation</w:t>
      </w:r>
    </w:p>
    <w:p w:rsidR="00311E72" w:rsidRPr="00E106BD" w:rsidRDefault="00311E72" w:rsidP="00311E72">
      <w:pPr>
        <w:spacing w:before="120" w:after="120"/>
        <w:rPr>
          <w:rFonts w:cs="Arial"/>
          <w:szCs w:val="22"/>
        </w:rPr>
      </w:pPr>
      <w:r w:rsidRPr="00E106BD">
        <w:rPr>
          <w:rFonts w:cs="Arial"/>
          <w:szCs w:val="22"/>
        </w:rPr>
        <w:t xml:space="preserve">This is a compilation of the </w:t>
      </w:r>
      <w:r w:rsidRPr="00E106BD">
        <w:rPr>
          <w:rFonts w:cs="Arial"/>
          <w:i/>
          <w:szCs w:val="22"/>
        </w:rPr>
        <w:fldChar w:fldCharType="begin"/>
      </w:r>
      <w:r w:rsidRPr="00E106BD">
        <w:rPr>
          <w:rFonts w:cs="Arial"/>
          <w:i/>
          <w:szCs w:val="22"/>
        </w:rPr>
        <w:instrText xml:space="preserve"> STYLEREF  ShortT </w:instrText>
      </w:r>
      <w:r w:rsidRPr="00E106BD">
        <w:rPr>
          <w:rFonts w:cs="Arial"/>
          <w:i/>
          <w:szCs w:val="22"/>
        </w:rPr>
        <w:fldChar w:fldCharType="separate"/>
      </w:r>
      <w:r w:rsidR="00A50F83">
        <w:rPr>
          <w:rFonts w:cs="Arial"/>
          <w:i/>
          <w:noProof/>
          <w:szCs w:val="22"/>
        </w:rPr>
        <w:t>National Health (Highly specialised drugs program) Special Arrangement 2010 (PB 116 of 2010)</w:t>
      </w:r>
      <w:r w:rsidRPr="00E106BD">
        <w:rPr>
          <w:rFonts w:cs="Arial"/>
          <w:i/>
          <w:szCs w:val="22"/>
        </w:rPr>
        <w:fldChar w:fldCharType="end"/>
      </w:r>
      <w:r w:rsidRPr="00E106BD">
        <w:rPr>
          <w:rFonts w:cs="Arial"/>
          <w:szCs w:val="22"/>
        </w:rPr>
        <w:t xml:space="preserve"> that shows the text of the law as amended and in force on </w:t>
      </w:r>
      <w:r w:rsidRPr="00A50F83">
        <w:rPr>
          <w:rFonts w:cs="Arial"/>
          <w:szCs w:val="22"/>
        </w:rPr>
        <w:fldChar w:fldCharType="begin"/>
      </w:r>
      <w:r w:rsidRPr="00A50F83">
        <w:rPr>
          <w:rFonts w:cs="Arial"/>
          <w:szCs w:val="22"/>
        </w:rPr>
        <w:instrText xml:space="preserve"> DOCPROPERTY StartDate \@ "d MMMM yyyy" </w:instrText>
      </w:r>
      <w:r w:rsidRPr="00A50F83">
        <w:rPr>
          <w:rFonts w:cs="Arial"/>
          <w:szCs w:val="22"/>
        </w:rPr>
        <w:fldChar w:fldCharType="separate"/>
      </w:r>
      <w:r w:rsidR="00A50F83" w:rsidRPr="00A50F83">
        <w:rPr>
          <w:rFonts w:cs="Arial"/>
          <w:szCs w:val="22"/>
        </w:rPr>
        <w:t>1 October 2020</w:t>
      </w:r>
      <w:r w:rsidRPr="00A50F83">
        <w:rPr>
          <w:rFonts w:cs="Arial"/>
          <w:szCs w:val="22"/>
        </w:rPr>
        <w:fldChar w:fldCharType="end"/>
      </w:r>
      <w:r w:rsidRPr="00E106BD">
        <w:rPr>
          <w:rFonts w:cs="Arial"/>
          <w:szCs w:val="22"/>
        </w:rPr>
        <w:t xml:space="preserve"> (the </w:t>
      </w:r>
      <w:r w:rsidRPr="00E106BD">
        <w:rPr>
          <w:rFonts w:cs="Arial"/>
          <w:b/>
          <w:i/>
          <w:szCs w:val="22"/>
        </w:rPr>
        <w:t>compilation date</w:t>
      </w:r>
      <w:r w:rsidRPr="00E106BD">
        <w:rPr>
          <w:rFonts w:cs="Arial"/>
          <w:szCs w:val="22"/>
        </w:rPr>
        <w:t>).</w:t>
      </w:r>
    </w:p>
    <w:p w:rsidR="001771E3" w:rsidRPr="00E106BD" w:rsidRDefault="001771E3" w:rsidP="001771E3">
      <w:pPr>
        <w:spacing w:after="120"/>
        <w:rPr>
          <w:rFonts w:cs="Arial"/>
          <w:szCs w:val="22"/>
        </w:rPr>
      </w:pPr>
      <w:r w:rsidRPr="00E106BD">
        <w:rPr>
          <w:rFonts w:cs="Arial"/>
          <w:szCs w:val="22"/>
        </w:rPr>
        <w:t xml:space="preserve">The notes at the end of this compilation (the </w:t>
      </w:r>
      <w:r w:rsidRPr="00E106BD">
        <w:rPr>
          <w:rFonts w:cs="Arial"/>
          <w:b/>
          <w:i/>
          <w:szCs w:val="22"/>
        </w:rPr>
        <w:t>endnotes</w:t>
      </w:r>
      <w:r w:rsidRPr="00E106BD">
        <w:rPr>
          <w:rFonts w:cs="Arial"/>
          <w:szCs w:val="22"/>
        </w:rPr>
        <w:t>) include information about amending laws and the amendment history of provisions of the compiled law.</w:t>
      </w:r>
    </w:p>
    <w:p w:rsidR="001771E3" w:rsidRPr="00E106BD" w:rsidRDefault="001771E3" w:rsidP="001771E3">
      <w:pPr>
        <w:tabs>
          <w:tab w:val="left" w:pos="5640"/>
        </w:tabs>
        <w:spacing w:before="120" w:after="120"/>
        <w:rPr>
          <w:rFonts w:cs="Arial"/>
          <w:b/>
          <w:szCs w:val="22"/>
        </w:rPr>
      </w:pPr>
      <w:r w:rsidRPr="00E106BD">
        <w:rPr>
          <w:rFonts w:cs="Arial"/>
          <w:b/>
          <w:szCs w:val="22"/>
        </w:rPr>
        <w:t>Uncommenced amendments</w:t>
      </w:r>
    </w:p>
    <w:p w:rsidR="001771E3" w:rsidRPr="00E106BD" w:rsidRDefault="001771E3" w:rsidP="001771E3">
      <w:pPr>
        <w:spacing w:after="120"/>
        <w:rPr>
          <w:rFonts w:cs="Arial"/>
          <w:szCs w:val="22"/>
        </w:rPr>
      </w:pPr>
      <w:r w:rsidRPr="00E106B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771E3" w:rsidRPr="00E106BD" w:rsidRDefault="001771E3" w:rsidP="001771E3">
      <w:pPr>
        <w:spacing w:before="120" w:after="120"/>
        <w:rPr>
          <w:rFonts w:cs="Arial"/>
          <w:b/>
          <w:szCs w:val="22"/>
        </w:rPr>
      </w:pPr>
      <w:r w:rsidRPr="00E106BD">
        <w:rPr>
          <w:rFonts w:cs="Arial"/>
          <w:b/>
          <w:szCs w:val="22"/>
        </w:rPr>
        <w:t>Application, saving and transitional provisions for provisions and amendments</w:t>
      </w:r>
    </w:p>
    <w:p w:rsidR="001771E3" w:rsidRPr="00E106BD" w:rsidRDefault="001771E3" w:rsidP="001771E3">
      <w:pPr>
        <w:spacing w:after="120"/>
        <w:rPr>
          <w:rFonts w:cs="Arial"/>
          <w:szCs w:val="22"/>
        </w:rPr>
      </w:pPr>
      <w:r w:rsidRPr="00E106BD">
        <w:rPr>
          <w:rFonts w:cs="Arial"/>
          <w:szCs w:val="22"/>
        </w:rPr>
        <w:t>If the operation of a provision or amendment of the compiled law is affected by an application, saving or transitional provision that is not included in this compilation, details are included in the endnotes.</w:t>
      </w:r>
    </w:p>
    <w:p w:rsidR="001771E3" w:rsidRPr="00E106BD" w:rsidRDefault="001771E3" w:rsidP="001771E3">
      <w:pPr>
        <w:spacing w:after="120"/>
        <w:rPr>
          <w:rFonts w:cs="Arial"/>
          <w:b/>
          <w:szCs w:val="22"/>
        </w:rPr>
      </w:pPr>
      <w:r w:rsidRPr="00E106BD">
        <w:rPr>
          <w:rFonts w:cs="Arial"/>
          <w:b/>
          <w:szCs w:val="22"/>
        </w:rPr>
        <w:t>Editorial changes</w:t>
      </w:r>
    </w:p>
    <w:p w:rsidR="001771E3" w:rsidRPr="00E106BD" w:rsidRDefault="001771E3" w:rsidP="001771E3">
      <w:pPr>
        <w:spacing w:after="120"/>
        <w:rPr>
          <w:rFonts w:cs="Arial"/>
          <w:szCs w:val="22"/>
        </w:rPr>
      </w:pPr>
      <w:r w:rsidRPr="00E106BD">
        <w:rPr>
          <w:rFonts w:cs="Arial"/>
          <w:szCs w:val="22"/>
        </w:rPr>
        <w:t>For more information about any editorial changes made in this compilation, see the endnotes.</w:t>
      </w:r>
    </w:p>
    <w:p w:rsidR="001771E3" w:rsidRPr="00E106BD" w:rsidRDefault="001771E3" w:rsidP="001771E3">
      <w:pPr>
        <w:spacing w:before="120" w:after="120"/>
        <w:rPr>
          <w:rFonts w:cs="Arial"/>
          <w:b/>
          <w:szCs w:val="22"/>
        </w:rPr>
      </w:pPr>
      <w:r w:rsidRPr="00E106BD">
        <w:rPr>
          <w:rFonts w:cs="Arial"/>
          <w:b/>
          <w:szCs w:val="22"/>
        </w:rPr>
        <w:t>Modifications</w:t>
      </w:r>
    </w:p>
    <w:p w:rsidR="001771E3" w:rsidRPr="00E106BD" w:rsidRDefault="001771E3" w:rsidP="001771E3">
      <w:pPr>
        <w:spacing w:after="120"/>
        <w:rPr>
          <w:rFonts w:cs="Arial"/>
          <w:szCs w:val="22"/>
        </w:rPr>
      </w:pPr>
      <w:r w:rsidRPr="00E106B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771E3" w:rsidRPr="00E106BD" w:rsidRDefault="001771E3" w:rsidP="001771E3">
      <w:pPr>
        <w:spacing w:before="80" w:after="120"/>
        <w:rPr>
          <w:rFonts w:cs="Arial"/>
          <w:b/>
          <w:szCs w:val="22"/>
        </w:rPr>
      </w:pPr>
      <w:r w:rsidRPr="00E106BD">
        <w:rPr>
          <w:rFonts w:cs="Arial"/>
          <w:b/>
          <w:szCs w:val="22"/>
        </w:rPr>
        <w:t>Self</w:t>
      </w:r>
      <w:r w:rsidR="00E106BD">
        <w:rPr>
          <w:rFonts w:cs="Arial"/>
          <w:b/>
          <w:szCs w:val="22"/>
        </w:rPr>
        <w:noBreakHyphen/>
      </w:r>
      <w:r w:rsidRPr="00E106BD">
        <w:rPr>
          <w:rFonts w:cs="Arial"/>
          <w:b/>
          <w:szCs w:val="22"/>
        </w:rPr>
        <w:t>repealing provisions</w:t>
      </w:r>
    </w:p>
    <w:p w:rsidR="001771E3" w:rsidRPr="00E106BD" w:rsidRDefault="001771E3" w:rsidP="001771E3">
      <w:pPr>
        <w:spacing w:after="120"/>
        <w:rPr>
          <w:rFonts w:cs="Arial"/>
          <w:szCs w:val="22"/>
        </w:rPr>
      </w:pPr>
      <w:r w:rsidRPr="00E106BD">
        <w:rPr>
          <w:rFonts w:cs="Arial"/>
          <w:szCs w:val="22"/>
        </w:rPr>
        <w:t>If a provision of the compiled law has been repealed in accordance with a provision of the law, details are included in the endnotes.</w:t>
      </w:r>
    </w:p>
    <w:p w:rsidR="001771E3" w:rsidRPr="00E106BD" w:rsidRDefault="001771E3" w:rsidP="001771E3">
      <w:pPr>
        <w:pStyle w:val="Header"/>
        <w:tabs>
          <w:tab w:val="clear" w:pos="4150"/>
          <w:tab w:val="clear" w:pos="8307"/>
        </w:tabs>
      </w:pPr>
      <w:r w:rsidRPr="00E106BD">
        <w:rPr>
          <w:rStyle w:val="CharChapNo"/>
        </w:rPr>
        <w:t xml:space="preserve"> </w:t>
      </w:r>
      <w:r w:rsidRPr="00E106BD">
        <w:rPr>
          <w:rStyle w:val="CharChapText"/>
        </w:rPr>
        <w:t xml:space="preserve"> </w:t>
      </w:r>
    </w:p>
    <w:p w:rsidR="001771E3" w:rsidRPr="00E106BD" w:rsidRDefault="001771E3" w:rsidP="001771E3">
      <w:pPr>
        <w:pStyle w:val="Header"/>
        <w:tabs>
          <w:tab w:val="clear" w:pos="4150"/>
          <w:tab w:val="clear" w:pos="8307"/>
        </w:tabs>
      </w:pPr>
      <w:r w:rsidRPr="00E106BD">
        <w:rPr>
          <w:rStyle w:val="CharPartNo"/>
        </w:rPr>
        <w:t xml:space="preserve"> </w:t>
      </w:r>
      <w:r w:rsidRPr="00E106BD">
        <w:rPr>
          <w:rStyle w:val="CharPartText"/>
        </w:rPr>
        <w:t xml:space="preserve"> </w:t>
      </w:r>
    </w:p>
    <w:p w:rsidR="001771E3" w:rsidRPr="00E106BD" w:rsidRDefault="001771E3" w:rsidP="001771E3">
      <w:pPr>
        <w:pStyle w:val="Header"/>
        <w:tabs>
          <w:tab w:val="clear" w:pos="4150"/>
          <w:tab w:val="clear" w:pos="8307"/>
        </w:tabs>
      </w:pPr>
      <w:r w:rsidRPr="00E106BD">
        <w:rPr>
          <w:rStyle w:val="CharDivNo"/>
        </w:rPr>
        <w:t xml:space="preserve"> </w:t>
      </w:r>
      <w:r w:rsidRPr="00E106BD">
        <w:rPr>
          <w:rStyle w:val="CharDivText"/>
        </w:rPr>
        <w:t xml:space="preserve"> </w:t>
      </w:r>
    </w:p>
    <w:p w:rsidR="001771E3" w:rsidRPr="00E106BD" w:rsidRDefault="001771E3" w:rsidP="001771E3">
      <w:pPr>
        <w:sectPr w:rsidR="001771E3" w:rsidRPr="00E106BD" w:rsidSect="00AF69B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295F4A" w:rsidRPr="00E106BD" w:rsidRDefault="00295F4A" w:rsidP="00FF558F">
      <w:pPr>
        <w:keepNext/>
        <w:keepLines/>
        <w:rPr>
          <w:sz w:val="36"/>
        </w:rPr>
      </w:pPr>
      <w:r w:rsidRPr="00E106BD">
        <w:rPr>
          <w:sz w:val="36"/>
        </w:rPr>
        <w:lastRenderedPageBreak/>
        <w:t>Contents</w:t>
      </w:r>
    </w:p>
    <w:p w:rsidR="00463386" w:rsidRDefault="00394757">
      <w:pPr>
        <w:pStyle w:val="TOC2"/>
        <w:rPr>
          <w:rFonts w:asciiTheme="minorHAnsi" w:eastAsiaTheme="minorEastAsia" w:hAnsiTheme="minorHAnsi" w:cstheme="minorBidi"/>
          <w:b w:val="0"/>
          <w:noProof/>
          <w:kern w:val="0"/>
          <w:sz w:val="22"/>
          <w:szCs w:val="22"/>
        </w:rPr>
      </w:pPr>
      <w:r w:rsidRPr="00E106BD">
        <w:fldChar w:fldCharType="begin"/>
      </w:r>
      <w:r w:rsidRPr="00E106BD">
        <w:instrText xml:space="preserve"> TOC \o "1-9" </w:instrText>
      </w:r>
      <w:r w:rsidRPr="00E106BD">
        <w:fldChar w:fldCharType="separate"/>
      </w:r>
      <w:r w:rsidR="00463386">
        <w:rPr>
          <w:noProof/>
        </w:rPr>
        <w:t>Part 1</w:t>
      </w:r>
      <w:r w:rsidR="00463386" w:rsidRPr="00783190">
        <w:rPr>
          <w:noProof/>
          <w:color w:val="000000"/>
        </w:rPr>
        <w:t>—</w:t>
      </w:r>
      <w:r w:rsidR="00463386">
        <w:rPr>
          <w:noProof/>
        </w:rPr>
        <w:t>Preliminary</w:t>
      </w:r>
      <w:r w:rsidR="00463386" w:rsidRPr="00463386">
        <w:rPr>
          <w:b w:val="0"/>
          <w:noProof/>
          <w:sz w:val="18"/>
        </w:rPr>
        <w:tab/>
      </w:r>
      <w:r w:rsidR="00463386" w:rsidRPr="00463386">
        <w:rPr>
          <w:b w:val="0"/>
          <w:noProof/>
          <w:sz w:val="18"/>
        </w:rPr>
        <w:fldChar w:fldCharType="begin"/>
      </w:r>
      <w:r w:rsidR="00463386" w:rsidRPr="00463386">
        <w:rPr>
          <w:b w:val="0"/>
          <w:noProof/>
          <w:sz w:val="18"/>
        </w:rPr>
        <w:instrText xml:space="preserve"> PAGEREF _Toc53558931 \h </w:instrText>
      </w:r>
      <w:r w:rsidR="00463386" w:rsidRPr="00463386">
        <w:rPr>
          <w:b w:val="0"/>
          <w:noProof/>
          <w:sz w:val="18"/>
        </w:rPr>
      </w:r>
      <w:r w:rsidR="00463386" w:rsidRPr="00463386">
        <w:rPr>
          <w:b w:val="0"/>
          <w:noProof/>
          <w:sz w:val="18"/>
        </w:rPr>
        <w:fldChar w:fldCharType="separate"/>
      </w:r>
      <w:r w:rsidR="00A50F83">
        <w:rPr>
          <w:b w:val="0"/>
          <w:noProof/>
          <w:sz w:val="18"/>
        </w:rPr>
        <w:t>1</w:t>
      </w:r>
      <w:r w:rsidR="00463386" w:rsidRPr="00463386">
        <w:rPr>
          <w:b w:val="0"/>
          <w:noProof/>
          <w:sz w:val="18"/>
        </w:rPr>
        <w:fldChar w:fldCharType="end"/>
      </w:r>
    </w:p>
    <w:p w:rsidR="00463386" w:rsidRDefault="00463386">
      <w:pPr>
        <w:pStyle w:val="TOC3"/>
        <w:rPr>
          <w:rFonts w:asciiTheme="minorHAnsi" w:eastAsiaTheme="minorEastAsia" w:hAnsiTheme="minorHAnsi" w:cstheme="minorBidi"/>
          <w:b w:val="0"/>
          <w:noProof/>
          <w:kern w:val="0"/>
          <w:szCs w:val="22"/>
        </w:rPr>
      </w:pPr>
      <w:r>
        <w:rPr>
          <w:noProof/>
        </w:rPr>
        <w:t>Division 1—General</w:t>
      </w:r>
      <w:r w:rsidRPr="00463386">
        <w:rPr>
          <w:b w:val="0"/>
          <w:noProof/>
          <w:sz w:val="18"/>
        </w:rPr>
        <w:tab/>
      </w:r>
      <w:r w:rsidRPr="00463386">
        <w:rPr>
          <w:b w:val="0"/>
          <w:noProof/>
          <w:sz w:val="18"/>
        </w:rPr>
        <w:fldChar w:fldCharType="begin"/>
      </w:r>
      <w:r w:rsidRPr="00463386">
        <w:rPr>
          <w:b w:val="0"/>
          <w:noProof/>
          <w:sz w:val="18"/>
        </w:rPr>
        <w:instrText xml:space="preserve"> PAGEREF _Toc53558932 \h </w:instrText>
      </w:r>
      <w:r w:rsidRPr="00463386">
        <w:rPr>
          <w:b w:val="0"/>
          <w:noProof/>
          <w:sz w:val="18"/>
        </w:rPr>
      </w:r>
      <w:r w:rsidRPr="00463386">
        <w:rPr>
          <w:b w:val="0"/>
          <w:noProof/>
          <w:sz w:val="18"/>
        </w:rPr>
        <w:fldChar w:fldCharType="separate"/>
      </w:r>
      <w:r w:rsidR="00A50F83">
        <w:rPr>
          <w:b w:val="0"/>
          <w:noProof/>
          <w:sz w:val="18"/>
        </w:rPr>
        <w:t>1</w:t>
      </w:r>
      <w:r w:rsidRPr="00463386">
        <w:rPr>
          <w:b w:val="0"/>
          <w:noProof/>
          <w:sz w:val="18"/>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1</w:t>
      </w:r>
      <w:r>
        <w:rPr>
          <w:noProof/>
        </w:rPr>
        <w:tab/>
        <w:t>Name of Special Arrangement</w:t>
      </w:r>
      <w:r w:rsidRPr="00463386">
        <w:rPr>
          <w:noProof/>
        </w:rPr>
        <w:tab/>
      </w:r>
      <w:r w:rsidRPr="00463386">
        <w:rPr>
          <w:noProof/>
        </w:rPr>
        <w:fldChar w:fldCharType="begin"/>
      </w:r>
      <w:r w:rsidRPr="00463386">
        <w:rPr>
          <w:noProof/>
        </w:rPr>
        <w:instrText xml:space="preserve"> PAGEREF _Toc53558933 \h </w:instrText>
      </w:r>
      <w:r w:rsidRPr="00463386">
        <w:rPr>
          <w:noProof/>
        </w:rPr>
      </w:r>
      <w:r w:rsidRPr="00463386">
        <w:rPr>
          <w:noProof/>
        </w:rPr>
        <w:fldChar w:fldCharType="separate"/>
      </w:r>
      <w:r w:rsidR="00A50F83">
        <w:rPr>
          <w:noProof/>
        </w:rPr>
        <w:t>1</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4</w:t>
      </w:r>
      <w:r>
        <w:rPr>
          <w:noProof/>
        </w:rPr>
        <w:tab/>
        <w:t>Definitions</w:t>
      </w:r>
      <w:r w:rsidRPr="00463386">
        <w:rPr>
          <w:noProof/>
        </w:rPr>
        <w:tab/>
      </w:r>
      <w:r w:rsidRPr="00463386">
        <w:rPr>
          <w:noProof/>
        </w:rPr>
        <w:fldChar w:fldCharType="begin"/>
      </w:r>
      <w:r w:rsidRPr="00463386">
        <w:rPr>
          <w:noProof/>
        </w:rPr>
        <w:instrText xml:space="preserve"> PAGEREF _Toc53558934 \h </w:instrText>
      </w:r>
      <w:r w:rsidRPr="00463386">
        <w:rPr>
          <w:noProof/>
        </w:rPr>
      </w:r>
      <w:r w:rsidRPr="00463386">
        <w:rPr>
          <w:noProof/>
        </w:rPr>
        <w:fldChar w:fldCharType="separate"/>
      </w:r>
      <w:r w:rsidR="00A50F83">
        <w:rPr>
          <w:noProof/>
        </w:rPr>
        <w:t>1</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4A</w:t>
      </w:r>
      <w:r>
        <w:rPr>
          <w:noProof/>
        </w:rPr>
        <w:tab/>
        <w:t xml:space="preserve">Definition of </w:t>
      </w:r>
      <w:r w:rsidRPr="00783190">
        <w:rPr>
          <w:i/>
          <w:noProof/>
        </w:rPr>
        <w:t>authorised prescriber</w:t>
      </w:r>
      <w:r w:rsidRPr="00463386">
        <w:rPr>
          <w:noProof/>
        </w:rPr>
        <w:tab/>
      </w:r>
      <w:r w:rsidRPr="00463386">
        <w:rPr>
          <w:noProof/>
        </w:rPr>
        <w:fldChar w:fldCharType="begin"/>
      </w:r>
      <w:r w:rsidRPr="00463386">
        <w:rPr>
          <w:noProof/>
        </w:rPr>
        <w:instrText xml:space="preserve"> PAGEREF _Toc53558935 \h </w:instrText>
      </w:r>
      <w:r w:rsidRPr="00463386">
        <w:rPr>
          <w:noProof/>
        </w:rPr>
      </w:r>
      <w:r w:rsidRPr="00463386">
        <w:rPr>
          <w:noProof/>
        </w:rPr>
        <w:fldChar w:fldCharType="separate"/>
      </w:r>
      <w:r w:rsidR="00A50F83">
        <w:rPr>
          <w:noProof/>
        </w:rPr>
        <w:t>6</w:t>
      </w:r>
      <w:r w:rsidRPr="00463386">
        <w:rPr>
          <w:noProof/>
        </w:rPr>
        <w:fldChar w:fldCharType="end"/>
      </w:r>
    </w:p>
    <w:p w:rsidR="00463386" w:rsidRDefault="00463386">
      <w:pPr>
        <w:pStyle w:val="TOC3"/>
        <w:rPr>
          <w:rFonts w:asciiTheme="minorHAnsi" w:eastAsiaTheme="minorEastAsia" w:hAnsiTheme="minorHAnsi" w:cstheme="minorBidi"/>
          <w:b w:val="0"/>
          <w:noProof/>
          <w:kern w:val="0"/>
          <w:szCs w:val="22"/>
        </w:rPr>
      </w:pPr>
      <w:r>
        <w:rPr>
          <w:noProof/>
        </w:rPr>
        <w:t>Division 2—HSD pharmaceutical benefits</w:t>
      </w:r>
      <w:r w:rsidRPr="00463386">
        <w:rPr>
          <w:b w:val="0"/>
          <w:noProof/>
          <w:sz w:val="18"/>
        </w:rPr>
        <w:tab/>
      </w:r>
      <w:r w:rsidRPr="00463386">
        <w:rPr>
          <w:b w:val="0"/>
          <w:noProof/>
          <w:sz w:val="18"/>
        </w:rPr>
        <w:fldChar w:fldCharType="begin"/>
      </w:r>
      <w:r w:rsidRPr="00463386">
        <w:rPr>
          <w:b w:val="0"/>
          <w:noProof/>
          <w:sz w:val="18"/>
        </w:rPr>
        <w:instrText xml:space="preserve"> PAGEREF _Toc53558936 \h </w:instrText>
      </w:r>
      <w:r w:rsidRPr="00463386">
        <w:rPr>
          <w:b w:val="0"/>
          <w:noProof/>
          <w:sz w:val="18"/>
        </w:rPr>
      </w:r>
      <w:r w:rsidRPr="00463386">
        <w:rPr>
          <w:b w:val="0"/>
          <w:noProof/>
          <w:sz w:val="18"/>
        </w:rPr>
        <w:fldChar w:fldCharType="separate"/>
      </w:r>
      <w:r w:rsidR="00A50F83">
        <w:rPr>
          <w:b w:val="0"/>
          <w:noProof/>
          <w:sz w:val="18"/>
        </w:rPr>
        <w:t>8</w:t>
      </w:r>
      <w:r w:rsidRPr="00463386">
        <w:rPr>
          <w:b w:val="0"/>
          <w:noProof/>
          <w:sz w:val="18"/>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5</w:t>
      </w:r>
      <w:r>
        <w:rPr>
          <w:noProof/>
        </w:rPr>
        <w:tab/>
        <w:t>Pharmaceutical benefits covered by this Special Arrangement</w:t>
      </w:r>
      <w:r w:rsidRPr="00463386">
        <w:rPr>
          <w:noProof/>
        </w:rPr>
        <w:tab/>
      </w:r>
      <w:r w:rsidRPr="00463386">
        <w:rPr>
          <w:noProof/>
        </w:rPr>
        <w:fldChar w:fldCharType="begin"/>
      </w:r>
      <w:r w:rsidRPr="00463386">
        <w:rPr>
          <w:noProof/>
        </w:rPr>
        <w:instrText xml:space="preserve"> PAGEREF _Toc53558937 \h </w:instrText>
      </w:r>
      <w:r w:rsidRPr="00463386">
        <w:rPr>
          <w:noProof/>
        </w:rPr>
      </w:r>
      <w:r w:rsidRPr="00463386">
        <w:rPr>
          <w:noProof/>
        </w:rPr>
        <w:fldChar w:fldCharType="separate"/>
      </w:r>
      <w:r w:rsidR="00A50F83">
        <w:rPr>
          <w:noProof/>
        </w:rPr>
        <w:t>8</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6</w:t>
      </w:r>
      <w:r>
        <w:rPr>
          <w:noProof/>
        </w:rPr>
        <w:tab/>
        <w:t>Application of Part VII of the Act</w:t>
      </w:r>
      <w:r w:rsidRPr="00463386">
        <w:rPr>
          <w:noProof/>
        </w:rPr>
        <w:tab/>
      </w:r>
      <w:r w:rsidRPr="00463386">
        <w:rPr>
          <w:noProof/>
        </w:rPr>
        <w:fldChar w:fldCharType="begin"/>
      </w:r>
      <w:r w:rsidRPr="00463386">
        <w:rPr>
          <w:noProof/>
        </w:rPr>
        <w:instrText xml:space="preserve"> PAGEREF _Toc53558938 \h </w:instrText>
      </w:r>
      <w:r w:rsidRPr="00463386">
        <w:rPr>
          <w:noProof/>
        </w:rPr>
      </w:r>
      <w:r w:rsidRPr="00463386">
        <w:rPr>
          <w:noProof/>
        </w:rPr>
        <w:fldChar w:fldCharType="separate"/>
      </w:r>
      <w:r w:rsidR="00A50F83">
        <w:rPr>
          <w:noProof/>
        </w:rPr>
        <w:t>8</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7</w:t>
      </w:r>
      <w:r>
        <w:rPr>
          <w:noProof/>
        </w:rPr>
        <w:tab/>
        <w:t>Responsible person</w:t>
      </w:r>
      <w:r w:rsidRPr="00463386">
        <w:rPr>
          <w:noProof/>
        </w:rPr>
        <w:tab/>
      </w:r>
      <w:r w:rsidRPr="00463386">
        <w:rPr>
          <w:noProof/>
        </w:rPr>
        <w:fldChar w:fldCharType="begin"/>
      </w:r>
      <w:r w:rsidRPr="00463386">
        <w:rPr>
          <w:noProof/>
        </w:rPr>
        <w:instrText xml:space="preserve"> PAGEREF _Toc53558939 \h </w:instrText>
      </w:r>
      <w:r w:rsidRPr="00463386">
        <w:rPr>
          <w:noProof/>
        </w:rPr>
      </w:r>
      <w:r w:rsidRPr="00463386">
        <w:rPr>
          <w:noProof/>
        </w:rPr>
        <w:fldChar w:fldCharType="separate"/>
      </w:r>
      <w:r w:rsidR="00A50F83">
        <w:rPr>
          <w:noProof/>
        </w:rPr>
        <w:t>8</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8</w:t>
      </w:r>
      <w:r>
        <w:rPr>
          <w:noProof/>
        </w:rPr>
        <w:tab/>
        <w:t>Prescribing of HSD pharmaceutical benefits—authorised prescribers</w:t>
      </w:r>
      <w:r w:rsidRPr="00463386">
        <w:rPr>
          <w:noProof/>
        </w:rPr>
        <w:tab/>
      </w:r>
      <w:r w:rsidRPr="00463386">
        <w:rPr>
          <w:noProof/>
        </w:rPr>
        <w:fldChar w:fldCharType="begin"/>
      </w:r>
      <w:r w:rsidRPr="00463386">
        <w:rPr>
          <w:noProof/>
        </w:rPr>
        <w:instrText xml:space="preserve"> PAGEREF _Toc53558940 \h </w:instrText>
      </w:r>
      <w:r w:rsidRPr="00463386">
        <w:rPr>
          <w:noProof/>
        </w:rPr>
      </w:r>
      <w:r w:rsidRPr="00463386">
        <w:rPr>
          <w:noProof/>
        </w:rPr>
        <w:fldChar w:fldCharType="separate"/>
      </w:r>
      <w:r w:rsidR="00A50F83">
        <w:rPr>
          <w:noProof/>
        </w:rPr>
        <w:t>9</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9</w:t>
      </w:r>
      <w:r>
        <w:rPr>
          <w:noProof/>
        </w:rPr>
        <w:tab/>
        <w:t>Prescription circumstances</w:t>
      </w:r>
      <w:r w:rsidRPr="00463386">
        <w:rPr>
          <w:noProof/>
        </w:rPr>
        <w:tab/>
      </w:r>
      <w:r w:rsidRPr="00463386">
        <w:rPr>
          <w:noProof/>
        </w:rPr>
        <w:fldChar w:fldCharType="begin"/>
      </w:r>
      <w:r w:rsidRPr="00463386">
        <w:rPr>
          <w:noProof/>
        </w:rPr>
        <w:instrText xml:space="preserve"> PAGEREF _Toc53558941 \h </w:instrText>
      </w:r>
      <w:r w:rsidRPr="00463386">
        <w:rPr>
          <w:noProof/>
        </w:rPr>
      </w:r>
      <w:r w:rsidRPr="00463386">
        <w:rPr>
          <w:noProof/>
        </w:rPr>
        <w:fldChar w:fldCharType="separate"/>
      </w:r>
      <w:r w:rsidR="00A50F83">
        <w:rPr>
          <w:noProof/>
        </w:rPr>
        <w:t>9</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9AA</w:t>
      </w:r>
      <w:r>
        <w:rPr>
          <w:noProof/>
        </w:rPr>
        <w:tab/>
        <w:t>Modified prescription circumstances during COVID</w:t>
      </w:r>
      <w:r>
        <w:rPr>
          <w:noProof/>
        </w:rPr>
        <w:noBreakHyphen/>
        <w:t>19 pandemic</w:t>
      </w:r>
      <w:r w:rsidRPr="00463386">
        <w:rPr>
          <w:noProof/>
        </w:rPr>
        <w:tab/>
      </w:r>
      <w:r w:rsidRPr="00463386">
        <w:rPr>
          <w:noProof/>
        </w:rPr>
        <w:fldChar w:fldCharType="begin"/>
      </w:r>
      <w:r w:rsidRPr="00463386">
        <w:rPr>
          <w:noProof/>
        </w:rPr>
        <w:instrText xml:space="preserve"> PAGEREF _Toc53558942 \h </w:instrText>
      </w:r>
      <w:r w:rsidRPr="00463386">
        <w:rPr>
          <w:noProof/>
        </w:rPr>
      </w:r>
      <w:r w:rsidRPr="00463386">
        <w:rPr>
          <w:noProof/>
        </w:rPr>
        <w:fldChar w:fldCharType="separate"/>
      </w:r>
      <w:r w:rsidR="00A50F83">
        <w:rPr>
          <w:noProof/>
        </w:rPr>
        <w:t>9</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9A</w:t>
      </w:r>
      <w:r>
        <w:rPr>
          <w:noProof/>
        </w:rPr>
        <w:tab/>
        <w:t>HSD pharmaceutical benefits which may be supplied to public hospital admitted patients</w:t>
      </w:r>
      <w:r w:rsidRPr="00463386">
        <w:rPr>
          <w:noProof/>
        </w:rPr>
        <w:tab/>
      </w:r>
      <w:r w:rsidRPr="00463386">
        <w:rPr>
          <w:noProof/>
        </w:rPr>
        <w:fldChar w:fldCharType="begin"/>
      </w:r>
      <w:r w:rsidRPr="00463386">
        <w:rPr>
          <w:noProof/>
        </w:rPr>
        <w:instrText xml:space="preserve"> PAGEREF _Toc53558943 \h </w:instrText>
      </w:r>
      <w:r w:rsidRPr="00463386">
        <w:rPr>
          <w:noProof/>
        </w:rPr>
      </w:r>
      <w:r w:rsidRPr="00463386">
        <w:rPr>
          <w:noProof/>
        </w:rPr>
        <w:fldChar w:fldCharType="separate"/>
      </w:r>
      <w:r w:rsidR="00A50F83">
        <w:rPr>
          <w:noProof/>
        </w:rPr>
        <w:t>10</w:t>
      </w:r>
      <w:r w:rsidRPr="00463386">
        <w:rPr>
          <w:noProof/>
        </w:rPr>
        <w:fldChar w:fldCharType="end"/>
      </w:r>
    </w:p>
    <w:p w:rsidR="00463386" w:rsidRDefault="00463386">
      <w:pPr>
        <w:pStyle w:val="TOC3"/>
        <w:rPr>
          <w:rFonts w:asciiTheme="minorHAnsi" w:eastAsiaTheme="minorEastAsia" w:hAnsiTheme="minorHAnsi" w:cstheme="minorBidi"/>
          <w:b w:val="0"/>
          <w:noProof/>
          <w:kern w:val="0"/>
          <w:szCs w:val="22"/>
        </w:rPr>
      </w:pPr>
      <w:r>
        <w:rPr>
          <w:noProof/>
        </w:rPr>
        <w:t>Division 3—HSD Authority Required procedures</w:t>
      </w:r>
      <w:r w:rsidRPr="00463386">
        <w:rPr>
          <w:b w:val="0"/>
          <w:noProof/>
          <w:sz w:val="18"/>
        </w:rPr>
        <w:tab/>
      </w:r>
      <w:r w:rsidRPr="00463386">
        <w:rPr>
          <w:b w:val="0"/>
          <w:noProof/>
          <w:sz w:val="18"/>
        </w:rPr>
        <w:fldChar w:fldCharType="begin"/>
      </w:r>
      <w:r w:rsidRPr="00463386">
        <w:rPr>
          <w:b w:val="0"/>
          <w:noProof/>
          <w:sz w:val="18"/>
        </w:rPr>
        <w:instrText xml:space="preserve"> PAGEREF _Toc53558944 \h </w:instrText>
      </w:r>
      <w:r w:rsidRPr="00463386">
        <w:rPr>
          <w:b w:val="0"/>
          <w:noProof/>
          <w:sz w:val="18"/>
        </w:rPr>
      </w:r>
      <w:r w:rsidRPr="00463386">
        <w:rPr>
          <w:b w:val="0"/>
          <w:noProof/>
          <w:sz w:val="18"/>
        </w:rPr>
        <w:fldChar w:fldCharType="separate"/>
      </w:r>
      <w:r w:rsidR="00A50F83">
        <w:rPr>
          <w:b w:val="0"/>
          <w:noProof/>
          <w:sz w:val="18"/>
        </w:rPr>
        <w:t>11</w:t>
      </w:r>
      <w:r w:rsidRPr="00463386">
        <w:rPr>
          <w:b w:val="0"/>
          <w:noProof/>
          <w:sz w:val="18"/>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10</w:t>
      </w:r>
      <w:r>
        <w:rPr>
          <w:noProof/>
        </w:rPr>
        <w:tab/>
        <w:t>HSD Authority Required procedures</w:t>
      </w:r>
      <w:r w:rsidRPr="00463386">
        <w:rPr>
          <w:noProof/>
        </w:rPr>
        <w:tab/>
      </w:r>
      <w:r w:rsidRPr="00463386">
        <w:rPr>
          <w:noProof/>
        </w:rPr>
        <w:fldChar w:fldCharType="begin"/>
      </w:r>
      <w:r w:rsidRPr="00463386">
        <w:rPr>
          <w:noProof/>
        </w:rPr>
        <w:instrText xml:space="preserve"> PAGEREF _Toc53558945 \h </w:instrText>
      </w:r>
      <w:r w:rsidRPr="00463386">
        <w:rPr>
          <w:noProof/>
        </w:rPr>
      </w:r>
      <w:r w:rsidRPr="00463386">
        <w:rPr>
          <w:noProof/>
        </w:rPr>
        <w:fldChar w:fldCharType="separate"/>
      </w:r>
      <w:r w:rsidR="00A50F83">
        <w:rPr>
          <w:noProof/>
        </w:rPr>
        <w:t>11</w:t>
      </w:r>
      <w:r w:rsidRPr="00463386">
        <w:rPr>
          <w:noProof/>
        </w:rPr>
        <w:fldChar w:fldCharType="end"/>
      </w:r>
    </w:p>
    <w:p w:rsidR="00463386" w:rsidRDefault="00463386">
      <w:pPr>
        <w:pStyle w:val="TOC3"/>
        <w:rPr>
          <w:rFonts w:asciiTheme="minorHAnsi" w:eastAsiaTheme="minorEastAsia" w:hAnsiTheme="minorHAnsi" w:cstheme="minorBidi"/>
          <w:b w:val="0"/>
          <w:noProof/>
          <w:kern w:val="0"/>
          <w:szCs w:val="22"/>
        </w:rPr>
      </w:pPr>
      <w:r>
        <w:rPr>
          <w:noProof/>
        </w:rPr>
        <w:t>Division 4—Maximum quantity and maximum number of repeats</w:t>
      </w:r>
      <w:r w:rsidRPr="00463386">
        <w:rPr>
          <w:b w:val="0"/>
          <w:noProof/>
          <w:sz w:val="18"/>
        </w:rPr>
        <w:tab/>
      </w:r>
      <w:r w:rsidRPr="00463386">
        <w:rPr>
          <w:b w:val="0"/>
          <w:noProof/>
          <w:sz w:val="18"/>
        </w:rPr>
        <w:fldChar w:fldCharType="begin"/>
      </w:r>
      <w:r w:rsidRPr="00463386">
        <w:rPr>
          <w:b w:val="0"/>
          <w:noProof/>
          <w:sz w:val="18"/>
        </w:rPr>
        <w:instrText xml:space="preserve"> PAGEREF _Toc53558946 \h </w:instrText>
      </w:r>
      <w:r w:rsidRPr="00463386">
        <w:rPr>
          <w:b w:val="0"/>
          <w:noProof/>
          <w:sz w:val="18"/>
        </w:rPr>
      </w:r>
      <w:r w:rsidRPr="00463386">
        <w:rPr>
          <w:b w:val="0"/>
          <w:noProof/>
          <w:sz w:val="18"/>
        </w:rPr>
        <w:fldChar w:fldCharType="separate"/>
      </w:r>
      <w:r w:rsidR="00A50F83">
        <w:rPr>
          <w:b w:val="0"/>
          <w:noProof/>
          <w:sz w:val="18"/>
        </w:rPr>
        <w:t>12</w:t>
      </w:r>
      <w:r w:rsidRPr="00463386">
        <w:rPr>
          <w:b w:val="0"/>
          <w:noProof/>
          <w:sz w:val="18"/>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14</w:t>
      </w:r>
      <w:r>
        <w:rPr>
          <w:noProof/>
        </w:rPr>
        <w:tab/>
        <w:t>Maximum quantity</w:t>
      </w:r>
      <w:r w:rsidRPr="00463386">
        <w:rPr>
          <w:noProof/>
        </w:rPr>
        <w:tab/>
      </w:r>
      <w:r w:rsidRPr="00463386">
        <w:rPr>
          <w:noProof/>
        </w:rPr>
        <w:fldChar w:fldCharType="begin"/>
      </w:r>
      <w:r w:rsidRPr="00463386">
        <w:rPr>
          <w:noProof/>
        </w:rPr>
        <w:instrText xml:space="preserve"> PAGEREF _Toc53558947 \h </w:instrText>
      </w:r>
      <w:r w:rsidRPr="00463386">
        <w:rPr>
          <w:noProof/>
        </w:rPr>
      </w:r>
      <w:r w:rsidRPr="00463386">
        <w:rPr>
          <w:noProof/>
        </w:rPr>
        <w:fldChar w:fldCharType="separate"/>
      </w:r>
      <w:r w:rsidR="00A50F83">
        <w:rPr>
          <w:noProof/>
        </w:rPr>
        <w:t>12</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15</w:t>
      </w:r>
      <w:r>
        <w:rPr>
          <w:noProof/>
        </w:rPr>
        <w:tab/>
        <w:t>Maximum number of repeats</w:t>
      </w:r>
      <w:r w:rsidRPr="00463386">
        <w:rPr>
          <w:noProof/>
        </w:rPr>
        <w:tab/>
      </w:r>
      <w:r w:rsidRPr="00463386">
        <w:rPr>
          <w:noProof/>
        </w:rPr>
        <w:fldChar w:fldCharType="begin"/>
      </w:r>
      <w:r w:rsidRPr="00463386">
        <w:rPr>
          <w:noProof/>
        </w:rPr>
        <w:instrText xml:space="preserve"> PAGEREF _Toc53558948 \h </w:instrText>
      </w:r>
      <w:r w:rsidRPr="00463386">
        <w:rPr>
          <w:noProof/>
        </w:rPr>
      </w:r>
      <w:r w:rsidRPr="00463386">
        <w:rPr>
          <w:noProof/>
        </w:rPr>
        <w:fldChar w:fldCharType="separate"/>
      </w:r>
      <w:r w:rsidR="00A50F83">
        <w:rPr>
          <w:noProof/>
        </w:rPr>
        <w:t>13</w:t>
      </w:r>
      <w:r w:rsidRPr="00463386">
        <w:rPr>
          <w:noProof/>
        </w:rPr>
        <w:fldChar w:fldCharType="end"/>
      </w:r>
    </w:p>
    <w:p w:rsidR="00463386" w:rsidRDefault="00463386">
      <w:pPr>
        <w:pStyle w:val="TOC3"/>
        <w:rPr>
          <w:rFonts w:asciiTheme="minorHAnsi" w:eastAsiaTheme="minorEastAsia" w:hAnsiTheme="minorHAnsi" w:cstheme="minorBidi"/>
          <w:b w:val="0"/>
          <w:noProof/>
          <w:kern w:val="0"/>
          <w:szCs w:val="22"/>
        </w:rPr>
      </w:pPr>
      <w:r>
        <w:rPr>
          <w:noProof/>
        </w:rPr>
        <w:t>Division 5—Section 100 only</w:t>
      </w:r>
      <w:r w:rsidRPr="00463386">
        <w:rPr>
          <w:b w:val="0"/>
          <w:noProof/>
          <w:sz w:val="18"/>
        </w:rPr>
        <w:tab/>
      </w:r>
      <w:r w:rsidRPr="00463386">
        <w:rPr>
          <w:b w:val="0"/>
          <w:noProof/>
          <w:sz w:val="18"/>
        </w:rPr>
        <w:fldChar w:fldCharType="begin"/>
      </w:r>
      <w:r w:rsidRPr="00463386">
        <w:rPr>
          <w:b w:val="0"/>
          <w:noProof/>
          <w:sz w:val="18"/>
        </w:rPr>
        <w:instrText xml:space="preserve"> PAGEREF _Toc53558949 \h </w:instrText>
      </w:r>
      <w:r w:rsidRPr="00463386">
        <w:rPr>
          <w:b w:val="0"/>
          <w:noProof/>
          <w:sz w:val="18"/>
        </w:rPr>
      </w:r>
      <w:r w:rsidRPr="00463386">
        <w:rPr>
          <w:b w:val="0"/>
          <w:noProof/>
          <w:sz w:val="18"/>
        </w:rPr>
        <w:fldChar w:fldCharType="separate"/>
      </w:r>
      <w:r w:rsidR="00A50F83">
        <w:rPr>
          <w:b w:val="0"/>
          <w:noProof/>
          <w:sz w:val="18"/>
        </w:rPr>
        <w:t>14</w:t>
      </w:r>
      <w:r w:rsidRPr="00463386">
        <w:rPr>
          <w:b w:val="0"/>
          <w:noProof/>
          <w:sz w:val="18"/>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16</w:t>
      </w:r>
      <w:r>
        <w:rPr>
          <w:noProof/>
        </w:rPr>
        <w:tab/>
        <w:t>Section 100 only supply</w:t>
      </w:r>
      <w:r w:rsidRPr="00463386">
        <w:rPr>
          <w:noProof/>
        </w:rPr>
        <w:tab/>
      </w:r>
      <w:r w:rsidRPr="00463386">
        <w:rPr>
          <w:noProof/>
        </w:rPr>
        <w:fldChar w:fldCharType="begin"/>
      </w:r>
      <w:r w:rsidRPr="00463386">
        <w:rPr>
          <w:noProof/>
        </w:rPr>
        <w:instrText xml:space="preserve"> PAGEREF _Toc53558950 \h </w:instrText>
      </w:r>
      <w:r w:rsidRPr="00463386">
        <w:rPr>
          <w:noProof/>
        </w:rPr>
      </w:r>
      <w:r w:rsidRPr="00463386">
        <w:rPr>
          <w:noProof/>
        </w:rPr>
        <w:fldChar w:fldCharType="separate"/>
      </w:r>
      <w:r w:rsidR="00A50F83">
        <w:rPr>
          <w:noProof/>
        </w:rPr>
        <w:t>14</w:t>
      </w:r>
      <w:r w:rsidRPr="00463386">
        <w:rPr>
          <w:noProof/>
        </w:rPr>
        <w:fldChar w:fldCharType="end"/>
      </w:r>
    </w:p>
    <w:p w:rsidR="00463386" w:rsidRDefault="00463386">
      <w:pPr>
        <w:pStyle w:val="TOC2"/>
        <w:rPr>
          <w:rFonts w:asciiTheme="minorHAnsi" w:eastAsiaTheme="minorEastAsia" w:hAnsiTheme="minorHAnsi" w:cstheme="minorBidi"/>
          <w:b w:val="0"/>
          <w:noProof/>
          <w:kern w:val="0"/>
          <w:sz w:val="22"/>
          <w:szCs w:val="22"/>
        </w:rPr>
      </w:pPr>
      <w:r>
        <w:rPr>
          <w:noProof/>
        </w:rPr>
        <w:t>Part 2—Supply of HSD pharmaceutical benefits</w:t>
      </w:r>
      <w:r w:rsidRPr="00463386">
        <w:rPr>
          <w:b w:val="0"/>
          <w:noProof/>
          <w:sz w:val="18"/>
        </w:rPr>
        <w:tab/>
      </w:r>
      <w:r w:rsidRPr="00463386">
        <w:rPr>
          <w:b w:val="0"/>
          <w:noProof/>
          <w:sz w:val="18"/>
        </w:rPr>
        <w:fldChar w:fldCharType="begin"/>
      </w:r>
      <w:r w:rsidRPr="00463386">
        <w:rPr>
          <w:b w:val="0"/>
          <w:noProof/>
          <w:sz w:val="18"/>
        </w:rPr>
        <w:instrText xml:space="preserve"> PAGEREF _Toc53558951 \h </w:instrText>
      </w:r>
      <w:r w:rsidRPr="00463386">
        <w:rPr>
          <w:b w:val="0"/>
          <w:noProof/>
          <w:sz w:val="18"/>
        </w:rPr>
      </w:r>
      <w:r w:rsidRPr="00463386">
        <w:rPr>
          <w:b w:val="0"/>
          <w:noProof/>
          <w:sz w:val="18"/>
        </w:rPr>
        <w:fldChar w:fldCharType="separate"/>
      </w:r>
      <w:r w:rsidR="00A50F83">
        <w:rPr>
          <w:b w:val="0"/>
          <w:noProof/>
          <w:sz w:val="18"/>
        </w:rPr>
        <w:t>15</w:t>
      </w:r>
      <w:r w:rsidRPr="00463386">
        <w:rPr>
          <w:b w:val="0"/>
          <w:noProof/>
          <w:sz w:val="18"/>
        </w:rPr>
        <w:fldChar w:fldCharType="end"/>
      </w:r>
    </w:p>
    <w:p w:rsidR="00463386" w:rsidRDefault="00463386">
      <w:pPr>
        <w:pStyle w:val="TOC3"/>
        <w:rPr>
          <w:rFonts w:asciiTheme="minorHAnsi" w:eastAsiaTheme="minorEastAsia" w:hAnsiTheme="minorHAnsi" w:cstheme="minorBidi"/>
          <w:b w:val="0"/>
          <w:noProof/>
          <w:kern w:val="0"/>
          <w:szCs w:val="22"/>
        </w:rPr>
      </w:pPr>
      <w:r>
        <w:rPr>
          <w:noProof/>
        </w:rPr>
        <w:t>Division 1—General requirements for supply</w:t>
      </w:r>
      <w:r w:rsidRPr="00463386">
        <w:rPr>
          <w:b w:val="0"/>
          <w:noProof/>
          <w:sz w:val="18"/>
        </w:rPr>
        <w:tab/>
      </w:r>
      <w:r w:rsidRPr="00463386">
        <w:rPr>
          <w:b w:val="0"/>
          <w:noProof/>
          <w:sz w:val="18"/>
        </w:rPr>
        <w:fldChar w:fldCharType="begin"/>
      </w:r>
      <w:r w:rsidRPr="00463386">
        <w:rPr>
          <w:b w:val="0"/>
          <w:noProof/>
          <w:sz w:val="18"/>
        </w:rPr>
        <w:instrText xml:space="preserve"> PAGEREF _Toc53558952 \h </w:instrText>
      </w:r>
      <w:r w:rsidRPr="00463386">
        <w:rPr>
          <w:b w:val="0"/>
          <w:noProof/>
          <w:sz w:val="18"/>
        </w:rPr>
      </w:r>
      <w:r w:rsidRPr="00463386">
        <w:rPr>
          <w:b w:val="0"/>
          <w:noProof/>
          <w:sz w:val="18"/>
        </w:rPr>
        <w:fldChar w:fldCharType="separate"/>
      </w:r>
      <w:r w:rsidR="00A50F83">
        <w:rPr>
          <w:b w:val="0"/>
          <w:noProof/>
          <w:sz w:val="18"/>
        </w:rPr>
        <w:t>15</w:t>
      </w:r>
      <w:r w:rsidRPr="00463386">
        <w:rPr>
          <w:b w:val="0"/>
          <w:noProof/>
          <w:sz w:val="18"/>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17</w:t>
      </w:r>
      <w:r>
        <w:rPr>
          <w:noProof/>
        </w:rPr>
        <w:tab/>
        <w:t>Entitlement to HSD pharmaceutical benefits</w:t>
      </w:r>
      <w:r w:rsidRPr="00463386">
        <w:rPr>
          <w:noProof/>
        </w:rPr>
        <w:tab/>
      </w:r>
      <w:r w:rsidRPr="00463386">
        <w:rPr>
          <w:noProof/>
        </w:rPr>
        <w:fldChar w:fldCharType="begin"/>
      </w:r>
      <w:r w:rsidRPr="00463386">
        <w:rPr>
          <w:noProof/>
        </w:rPr>
        <w:instrText xml:space="preserve"> PAGEREF _Toc53558953 \h </w:instrText>
      </w:r>
      <w:r w:rsidRPr="00463386">
        <w:rPr>
          <w:noProof/>
        </w:rPr>
      </w:r>
      <w:r w:rsidRPr="00463386">
        <w:rPr>
          <w:noProof/>
        </w:rPr>
        <w:fldChar w:fldCharType="separate"/>
      </w:r>
      <w:r w:rsidR="00A50F83">
        <w:rPr>
          <w:noProof/>
        </w:rPr>
        <w:t>15</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17A</w:t>
      </w:r>
      <w:r>
        <w:rPr>
          <w:noProof/>
        </w:rPr>
        <w:tab/>
        <w:t>Modified application of paragraph 92A(1)(f) conditions of approval</w:t>
      </w:r>
      <w:r w:rsidRPr="00463386">
        <w:rPr>
          <w:noProof/>
        </w:rPr>
        <w:tab/>
      </w:r>
      <w:r w:rsidRPr="00463386">
        <w:rPr>
          <w:noProof/>
        </w:rPr>
        <w:fldChar w:fldCharType="begin"/>
      </w:r>
      <w:r w:rsidRPr="00463386">
        <w:rPr>
          <w:noProof/>
        </w:rPr>
        <w:instrText xml:space="preserve"> PAGEREF _Toc53558954 \h </w:instrText>
      </w:r>
      <w:r w:rsidRPr="00463386">
        <w:rPr>
          <w:noProof/>
        </w:rPr>
      </w:r>
      <w:r w:rsidRPr="00463386">
        <w:rPr>
          <w:noProof/>
        </w:rPr>
        <w:fldChar w:fldCharType="separate"/>
      </w:r>
      <w:r w:rsidR="00A50F83">
        <w:rPr>
          <w:noProof/>
        </w:rPr>
        <w:t>15</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18</w:t>
      </w:r>
      <w:r>
        <w:rPr>
          <w:noProof/>
        </w:rPr>
        <w:tab/>
        <w:t>Supply of HSD pharmaceutical benefits under this Special Arrangement</w:t>
      </w:r>
      <w:r w:rsidRPr="00463386">
        <w:rPr>
          <w:noProof/>
        </w:rPr>
        <w:tab/>
      </w:r>
      <w:r w:rsidRPr="00463386">
        <w:rPr>
          <w:noProof/>
        </w:rPr>
        <w:fldChar w:fldCharType="begin"/>
      </w:r>
      <w:r w:rsidRPr="00463386">
        <w:rPr>
          <w:noProof/>
        </w:rPr>
        <w:instrText xml:space="preserve"> PAGEREF _Toc53558955 \h </w:instrText>
      </w:r>
      <w:r w:rsidRPr="00463386">
        <w:rPr>
          <w:noProof/>
        </w:rPr>
      </w:r>
      <w:r w:rsidRPr="00463386">
        <w:rPr>
          <w:noProof/>
        </w:rPr>
        <w:fldChar w:fldCharType="separate"/>
      </w:r>
      <w:r w:rsidR="00A50F83">
        <w:rPr>
          <w:noProof/>
        </w:rPr>
        <w:t>15</w:t>
      </w:r>
      <w:r w:rsidRPr="00463386">
        <w:rPr>
          <w:noProof/>
        </w:rPr>
        <w:fldChar w:fldCharType="end"/>
      </w:r>
    </w:p>
    <w:p w:rsidR="00463386" w:rsidRDefault="00463386">
      <w:pPr>
        <w:pStyle w:val="TOC3"/>
        <w:rPr>
          <w:rFonts w:asciiTheme="minorHAnsi" w:eastAsiaTheme="minorEastAsia" w:hAnsiTheme="minorHAnsi" w:cstheme="minorBidi"/>
          <w:b w:val="0"/>
          <w:noProof/>
          <w:kern w:val="0"/>
          <w:szCs w:val="22"/>
        </w:rPr>
      </w:pPr>
      <w:r>
        <w:rPr>
          <w:noProof/>
        </w:rPr>
        <w:t>Division 2—Repeat prescriptions</w:t>
      </w:r>
      <w:r w:rsidRPr="00463386">
        <w:rPr>
          <w:b w:val="0"/>
          <w:noProof/>
          <w:sz w:val="18"/>
        </w:rPr>
        <w:tab/>
      </w:r>
      <w:r w:rsidRPr="00463386">
        <w:rPr>
          <w:b w:val="0"/>
          <w:noProof/>
          <w:sz w:val="18"/>
        </w:rPr>
        <w:fldChar w:fldCharType="begin"/>
      </w:r>
      <w:r w:rsidRPr="00463386">
        <w:rPr>
          <w:b w:val="0"/>
          <w:noProof/>
          <w:sz w:val="18"/>
        </w:rPr>
        <w:instrText xml:space="preserve"> PAGEREF _Toc53558956 \h </w:instrText>
      </w:r>
      <w:r w:rsidRPr="00463386">
        <w:rPr>
          <w:b w:val="0"/>
          <w:noProof/>
          <w:sz w:val="18"/>
        </w:rPr>
      </w:r>
      <w:r w:rsidRPr="00463386">
        <w:rPr>
          <w:b w:val="0"/>
          <w:noProof/>
          <w:sz w:val="18"/>
        </w:rPr>
        <w:fldChar w:fldCharType="separate"/>
      </w:r>
      <w:r w:rsidR="00A50F83">
        <w:rPr>
          <w:b w:val="0"/>
          <w:noProof/>
          <w:sz w:val="18"/>
        </w:rPr>
        <w:t>17</w:t>
      </w:r>
      <w:r w:rsidRPr="00463386">
        <w:rPr>
          <w:b w:val="0"/>
          <w:noProof/>
          <w:sz w:val="18"/>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19</w:t>
      </w:r>
      <w:r>
        <w:rPr>
          <w:noProof/>
        </w:rPr>
        <w:tab/>
        <w:t>Application of section 51 of the Regulations</w:t>
      </w:r>
      <w:r w:rsidRPr="00463386">
        <w:rPr>
          <w:noProof/>
        </w:rPr>
        <w:tab/>
      </w:r>
      <w:r w:rsidRPr="00463386">
        <w:rPr>
          <w:noProof/>
        </w:rPr>
        <w:fldChar w:fldCharType="begin"/>
      </w:r>
      <w:r w:rsidRPr="00463386">
        <w:rPr>
          <w:noProof/>
        </w:rPr>
        <w:instrText xml:space="preserve"> PAGEREF _Toc53558957 \h </w:instrText>
      </w:r>
      <w:r w:rsidRPr="00463386">
        <w:rPr>
          <w:noProof/>
        </w:rPr>
      </w:r>
      <w:r w:rsidRPr="00463386">
        <w:rPr>
          <w:noProof/>
        </w:rPr>
        <w:fldChar w:fldCharType="separate"/>
      </w:r>
      <w:r w:rsidR="00A50F83">
        <w:rPr>
          <w:noProof/>
        </w:rPr>
        <w:t>17</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20</w:t>
      </w:r>
      <w:r>
        <w:rPr>
          <w:noProof/>
        </w:rPr>
        <w:tab/>
        <w:t>No repeats for visitors</w:t>
      </w:r>
      <w:r w:rsidRPr="00463386">
        <w:rPr>
          <w:noProof/>
        </w:rPr>
        <w:tab/>
      </w:r>
      <w:r w:rsidRPr="00463386">
        <w:rPr>
          <w:noProof/>
        </w:rPr>
        <w:fldChar w:fldCharType="begin"/>
      </w:r>
      <w:r w:rsidRPr="00463386">
        <w:rPr>
          <w:noProof/>
        </w:rPr>
        <w:instrText xml:space="preserve"> PAGEREF _Toc53558958 \h </w:instrText>
      </w:r>
      <w:r w:rsidRPr="00463386">
        <w:rPr>
          <w:noProof/>
        </w:rPr>
      </w:r>
      <w:r w:rsidRPr="00463386">
        <w:rPr>
          <w:noProof/>
        </w:rPr>
        <w:fldChar w:fldCharType="separate"/>
      </w:r>
      <w:r w:rsidR="00A50F83">
        <w:rPr>
          <w:noProof/>
        </w:rPr>
        <w:t>17</w:t>
      </w:r>
      <w:r w:rsidRPr="00463386">
        <w:rPr>
          <w:noProof/>
        </w:rPr>
        <w:fldChar w:fldCharType="end"/>
      </w:r>
    </w:p>
    <w:p w:rsidR="00463386" w:rsidRDefault="00463386">
      <w:pPr>
        <w:pStyle w:val="TOC3"/>
        <w:rPr>
          <w:rFonts w:asciiTheme="minorHAnsi" w:eastAsiaTheme="minorEastAsia" w:hAnsiTheme="minorHAnsi" w:cstheme="minorBidi"/>
          <w:b w:val="0"/>
          <w:noProof/>
          <w:kern w:val="0"/>
          <w:szCs w:val="22"/>
        </w:rPr>
      </w:pPr>
      <w:r>
        <w:rPr>
          <w:noProof/>
        </w:rPr>
        <w:t>Division 3</w:t>
      </w:r>
      <w:r w:rsidRPr="00783190">
        <w:rPr>
          <w:noProof/>
          <w:color w:val="000000"/>
        </w:rPr>
        <w:t>—</w:t>
      </w:r>
      <w:r>
        <w:rPr>
          <w:noProof/>
        </w:rPr>
        <w:t>Prescribing HSD pharmaceutical benefits that have non</w:t>
      </w:r>
      <w:r>
        <w:rPr>
          <w:noProof/>
        </w:rPr>
        <w:noBreakHyphen/>
        <w:t>CAR drugs</w:t>
      </w:r>
      <w:r w:rsidRPr="00463386">
        <w:rPr>
          <w:b w:val="0"/>
          <w:noProof/>
          <w:sz w:val="18"/>
        </w:rPr>
        <w:tab/>
      </w:r>
      <w:r w:rsidRPr="00463386">
        <w:rPr>
          <w:b w:val="0"/>
          <w:noProof/>
          <w:sz w:val="18"/>
        </w:rPr>
        <w:fldChar w:fldCharType="begin"/>
      </w:r>
      <w:r w:rsidRPr="00463386">
        <w:rPr>
          <w:b w:val="0"/>
          <w:noProof/>
          <w:sz w:val="18"/>
        </w:rPr>
        <w:instrText xml:space="preserve"> PAGEREF _Toc53558959 \h </w:instrText>
      </w:r>
      <w:r w:rsidRPr="00463386">
        <w:rPr>
          <w:b w:val="0"/>
          <w:noProof/>
          <w:sz w:val="18"/>
        </w:rPr>
      </w:r>
      <w:r w:rsidRPr="00463386">
        <w:rPr>
          <w:b w:val="0"/>
          <w:noProof/>
          <w:sz w:val="18"/>
        </w:rPr>
        <w:fldChar w:fldCharType="separate"/>
      </w:r>
      <w:r w:rsidR="00A50F83">
        <w:rPr>
          <w:b w:val="0"/>
          <w:noProof/>
          <w:sz w:val="18"/>
        </w:rPr>
        <w:t>18</w:t>
      </w:r>
      <w:r w:rsidRPr="00463386">
        <w:rPr>
          <w:b w:val="0"/>
          <w:noProof/>
          <w:sz w:val="18"/>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21</w:t>
      </w:r>
      <w:r>
        <w:rPr>
          <w:noProof/>
        </w:rPr>
        <w:tab/>
        <w:t>Methods of prescribing HSD pharmaceutical benefits that have non</w:t>
      </w:r>
      <w:r>
        <w:rPr>
          <w:noProof/>
        </w:rPr>
        <w:noBreakHyphen/>
        <w:t>CAR drugs</w:t>
      </w:r>
      <w:r w:rsidRPr="00463386">
        <w:rPr>
          <w:noProof/>
        </w:rPr>
        <w:tab/>
      </w:r>
      <w:r w:rsidRPr="00463386">
        <w:rPr>
          <w:noProof/>
        </w:rPr>
        <w:fldChar w:fldCharType="begin"/>
      </w:r>
      <w:r w:rsidRPr="00463386">
        <w:rPr>
          <w:noProof/>
        </w:rPr>
        <w:instrText xml:space="preserve"> PAGEREF _Toc53558960 \h </w:instrText>
      </w:r>
      <w:r w:rsidRPr="00463386">
        <w:rPr>
          <w:noProof/>
        </w:rPr>
      </w:r>
      <w:r w:rsidRPr="00463386">
        <w:rPr>
          <w:noProof/>
        </w:rPr>
        <w:fldChar w:fldCharType="separate"/>
      </w:r>
      <w:r w:rsidR="00A50F83">
        <w:rPr>
          <w:noProof/>
        </w:rPr>
        <w:t>18</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22A</w:t>
      </w:r>
      <w:r>
        <w:rPr>
          <w:rFonts w:eastAsiaTheme="minorHAnsi"/>
          <w:noProof/>
        </w:rPr>
        <w:tab/>
      </w:r>
      <w:r w:rsidRPr="00783190">
        <w:rPr>
          <w:rFonts w:eastAsiaTheme="minorHAnsi"/>
          <w:noProof/>
        </w:rPr>
        <w:t>Information to be kept for prescription of HSD pharmaceutical benefits referred to in section 9A that have non</w:t>
      </w:r>
      <w:r w:rsidRPr="00783190">
        <w:rPr>
          <w:rFonts w:eastAsiaTheme="minorHAnsi"/>
          <w:noProof/>
        </w:rPr>
        <w:noBreakHyphen/>
        <w:t>CAR drugs</w:t>
      </w:r>
      <w:r w:rsidRPr="00463386">
        <w:rPr>
          <w:noProof/>
        </w:rPr>
        <w:tab/>
      </w:r>
      <w:r w:rsidRPr="00463386">
        <w:rPr>
          <w:noProof/>
        </w:rPr>
        <w:fldChar w:fldCharType="begin"/>
      </w:r>
      <w:r w:rsidRPr="00463386">
        <w:rPr>
          <w:noProof/>
        </w:rPr>
        <w:instrText xml:space="preserve"> PAGEREF _Toc53558961 \h </w:instrText>
      </w:r>
      <w:r w:rsidRPr="00463386">
        <w:rPr>
          <w:noProof/>
        </w:rPr>
      </w:r>
      <w:r w:rsidRPr="00463386">
        <w:rPr>
          <w:noProof/>
        </w:rPr>
        <w:fldChar w:fldCharType="separate"/>
      </w:r>
      <w:r w:rsidR="00A50F83">
        <w:rPr>
          <w:noProof/>
        </w:rPr>
        <w:t>18</w:t>
      </w:r>
      <w:r w:rsidRPr="00463386">
        <w:rPr>
          <w:noProof/>
        </w:rPr>
        <w:fldChar w:fldCharType="end"/>
      </w:r>
    </w:p>
    <w:p w:rsidR="00463386" w:rsidRDefault="00463386">
      <w:pPr>
        <w:pStyle w:val="TOC3"/>
        <w:rPr>
          <w:rFonts w:asciiTheme="minorHAnsi" w:eastAsiaTheme="minorEastAsia" w:hAnsiTheme="minorHAnsi" w:cstheme="minorBidi"/>
          <w:b w:val="0"/>
          <w:noProof/>
          <w:kern w:val="0"/>
          <w:szCs w:val="22"/>
        </w:rPr>
      </w:pPr>
      <w:r>
        <w:rPr>
          <w:noProof/>
        </w:rPr>
        <w:t>Division 4</w:t>
      </w:r>
      <w:r w:rsidRPr="00783190">
        <w:rPr>
          <w:noProof/>
          <w:color w:val="000000"/>
        </w:rPr>
        <w:t>—</w:t>
      </w:r>
      <w:r>
        <w:rPr>
          <w:noProof/>
        </w:rPr>
        <w:t>Prescribing HSD pharmaceutical benefits that have CAR drugs</w:t>
      </w:r>
      <w:r w:rsidRPr="00463386">
        <w:rPr>
          <w:b w:val="0"/>
          <w:noProof/>
          <w:sz w:val="18"/>
        </w:rPr>
        <w:tab/>
      </w:r>
      <w:r w:rsidRPr="00463386">
        <w:rPr>
          <w:b w:val="0"/>
          <w:noProof/>
          <w:sz w:val="18"/>
        </w:rPr>
        <w:fldChar w:fldCharType="begin"/>
      </w:r>
      <w:r w:rsidRPr="00463386">
        <w:rPr>
          <w:b w:val="0"/>
          <w:noProof/>
          <w:sz w:val="18"/>
        </w:rPr>
        <w:instrText xml:space="preserve"> PAGEREF _Toc53558962 \h </w:instrText>
      </w:r>
      <w:r w:rsidRPr="00463386">
        <w:rPr>
          <w:b w:val="0"/>
          <w:noProof/>
          <w:sz w:val="18"/>
        </w:rPr>
      </w:r>
      <w:r w:rsidRPr="00463386">
        <w:rPr>
          <w:b w:val="0"/>
          <w:noProof/>
          <w:sz w:val="18"/>
        </w:rPr>
        <w:fldChar w:fldCharType="separate"/>
      </w:r>
      <w:r w:rsidR="00A50F83">
        <w:rPr>
          <w:b w:val="0"/>
          <w:noProof/>
          <w:sz w:val="18"/>
        </w:rPr>
        <w:t>19</w:t>
      </w:r>
      <w:r w:rsidRPr="00463386">
        <w:rPr>
          <w:b w:val="0"/>
          <w:noProof/>
          <w:sz w:val="18"/>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23</w:t>
      </w:r>
      <w:r>
        <w:rPr>
          <w:noProof/>
        </w:rPr>
        <w:tab/>
        <w:t>Prescriptions for HSD pharmaceutical benefits that have CAR drugs</w:t>
      </w:r>
      <w:r w:rsidRPr="00463386">
        <w:rPr>
          <w:noProof/>
        </w:rPr>
        <w:tab/>
      </w:r>
      <w:r w:rsidRPr="00463386">
        <w:rPr>
          <w:noProof/>
        </w:rPr>
        <w:fldChar w:fldCharType="begin"/>
      </w:r>
      <w:r w:rsidRPr="00463386">
        <w:rPr>
          <w:noProof/>
        </w:rPr>
        <w:instrText xml:space="preserve"> PAGEREF _Toc53558963 \h </w:instrText>
      </w:r>
      <w:r w:rsidRPr="00463386">
        <w:rPr>
          <w:noProof/>
        </w:rPr>
      </w:r>
      <w:r w:rsidRPr="00463386">
        <w:rPr>
          <w:noProof/>
        </w:rPr>
        <w:fldChar w:fldCharType="separate"/>
      </w:r>
      <w:r w:rsidR="00A50F83">
        <w:rPr>
          <w:noProof/>
        </w:rPr>
        <w:t>19</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23A</w:t>
      </w:r>
      <w:r>
        <w:rPr>
          <w:noProof/>
        </w:rPr>
        <w:tab/>
        <w:t>Information to be kept for prescription of HSD pharmaceutical benefits referred to in section 9A that have CAR drugs</w:t>
      </w:r>
      <w:r w:rsidRPr="00463386">
        <w:rPr>
          <w:noProof/>
        </w:rPr>
        <w:tab/>
      </w:r>
      <w:r w:rsidRPr="00463386">
        <w:rPr>
          <w:noProof/>
        </w:rPr>
        <w:fldChar w:fldCharType="begin"/>
      </w:r>
      <w:r w:rsidRPr="00463386">
        <w:rPr>
          <w:noProof/>
        </w:rPr>
        <w:instrText xml:space="preserve"> PAGEREF _Toc53558964 \h </w:instrText>
      </w:r>
      <w:r w:rsidRPr="00463386">
        <w:rPr>
          <w:noProof/>
        </w:rPr>
      </w:r>
      <w:r w:rsidRPr="00463386">
        <w:rPr>
          <w:noProof/>
        </w:rPr>
        <w:fldChar w:fldCharType="separate"/>
      </w:r>
      <w:r w:rsidR="00A50F83">
        <w:rPr>
          <w:noProof/>
        </w:rPr>
        <w:t>19</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24</w:t>
      </w:r>
      <w:r>
        <w:rPr>
          <w:noProof/>
        </w:rPr>
        <w:tab/>
        <w:t>HSD pharmaceutical benefits that have CAR drugs—quantity exceptions</w:t>
      </w:r>
      <w:r w:rsidRPr="00463386">
        <w:rPr>
          <w:noProof/>
        </w:rPr>
        <w:tab/>
      </w:r>
      <w:r w:rsidRPr="00463386">
        <w:rPr>
          <w:noProof/>
        </w:rPr>
        <w:fldChar w:fldCharType="begin"/>
      </w:r>
      <w:r w:rsidRPr="00463386">
        <w:rPr>
          <w:noProof/>
        </w:rPr>
        <w:instrText xml:space="preserve"> PAGEREF _Toc53558965 \h </w:instrText>
      </w:r>
      <w:r w:rsidRPr="00463386">
        <w:rPr>
          <w:noProof/>
        </w:rPr>
      </w:r>
      <w:r w:rsidRPr="00463386">
        <w:rPr>
          <w:noProof/>
        </w:rPr>
        <w:fldChar w:fldCharType="separate"/>
      </w:r>
      <w:r w:rsidR="00A50F83">
        <w:rPr>
          <w:noProof/>
        </w:rPr>
        <w:t>19</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25</w:t>
      </w:r>
      <w:r>
        <w:rPr>
          <w:noProof/>
        </w:rPr>
        <w:tab/>
        <w:t>HSD pharmaceutical benefits that have CAR drugs—repeat exceptions</w:t>
      </w:r>
      <w:r w:rsidRPr="00463386">
        <w:rPr>
          <w:noProof/>
        </w:rPr>
        <w:tab/>
      </w:r>
      <w:r w:rsidRPr="00463386">
        <w:rPr>
          <w:noProof/>
        </w:rPr>
        <w:fldChar w:fldCharType="begin"/>
      </w:r>
      <w:r w:rsidRPr="00463386">
        <w:rPr>
          <w:noProof/>
        </w:rPr>
        <w:instrText xml:space="preserve"> PAGEREF _Toc53558966 \h </w:instrText>
      </w:r>
      <w:r w:rsidRPr="00463386">
        <w:rPr>
          <w:noProof/>
        </w:rPr>
      </w:r>
      <w:r w:rsidRPr="00463386">
        <w:rPr>
          <w:noProof/>
        </w:rPr>
        <w:fldChar w:fldCharType="separate"/>
      </w:r>
      <w:r w:rsidR="00A50F83">
        <w:rPr>
          <w:noProof/>
        </w:rPr>
        <w:t>25</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26</w:t>
      </w:r>
      <w:r>
        <w:rPr>
          <w:noProof/>
        </w:rPr>
        <w:tab/>
        <w:t>Application of section 30 of the Regulations in relation to CAR drugs</w:t>
      </w:r>
      <w:r w:rsidRPr="00463386">
        <w:rPr>
          <w:noProof/>
        </w:rPr>
        <w:tab/>
      </w:r>
      <w:r w:rsidRPr="00463386">
        <w:rPr>
          <w:noProof/>
        </w:rPr>
        <w:fldChar w:fldCharType="begin"/>
      </w:r>
      <w:r w:rsidRPr="00463386">
        <w:rPr>
          <w:noProof/>
        </w:rPr>
        <w:instrText xml:space="preserve"> PAGEREF _Toc53558967 \h </w:instrText>
      </w:r>
      <w:r w:rsidRPr="00463386">
        <w:rPr>
          <w:noProof/>
        </w:rPr>
      </w:r>
      <w:r w:rsidRPr="00463386">
        <w:rPr>
          <w:noProof/>
        </w:rPr>
        <w:fldChar w:fldCharType="separate"/>
      </w:r>
      <w:r w:rsidR="00A50F83">
        <w:rPr>
          <w:noProof/>
        </w:rPr>
        <w:t>30</w:t>
      </w:r>
      <w:r w:rsidRPr="00463386">
        <w:rPr>
          <w:noProof/>
        </w:rPr>
        <w:fldChar w:fldCharType="end"/>
      </w:r>
    </w:p>
    <w:p w:rsidR="00463386" w:rsidRDefault="00463386">
      <w:pPr>
        <w:pStyle w:val="TOC2"/>
        <w:rPr>
          <w:rFonts w:asciiTheme="minorHAnsi" w:eastAsiaTheme="minorEastAsia" w:hAnsiTheme="minorHAnsi" w:cstheme="minorBidi"/>
          <w:b w:val="0"/>
          <w:noProof/>
          <w:kern w:val="0"/>
          <w:sz w:val="22"/>
          <w:szCs w:val="22"/>
        </w:rPr>
      </w:pPr>
      <w:r>
        <w:rPr>
          <w:noProof/>
        </w:rPr>
        <w:t>Part 4</w:t>
      </w:r>
      <w:r w:rsidRPr="00783190">
        <w:rPr>
          <w:noProof/>
          <w:color w:val="000000"/>
        </w:rPr>
        <w:t>—</w:t>
      </w:r>
      <w:r>
        <w:rPr>
          <w:noProof/>
        </w:rPr>
        <w:t>Claiming procedures and payment amounts</w:t>
      </w:r>
      <w:r w:rsidRPr="00463386">
        <w:rPr>
          <w:b w:val="0"/>
          <w:noProof/>
          <w:sz w:val="18"/>
        </w:rPr>
        <w:tab/>
      </w:r>
      <w:r w:rsidRPr="00463386">
        <w:rPr>
          <w:b w:val="0"/>
          <w:noProof/>
          <w:sz w:val="18"/>
        </w:rPr>
        <w:fldChar w:fldCharType="begin"/>
      </w:r>
      <w:r w:rsidRPr="00463386">
        <w:rPr>
          <w:b w:val="0"/>
          <w:noProof/>
          <w:sz w:val="18"/>
        </w:rPr>
        <w:instrText xml:space="preserve"> PAGEREF _Toc53558968 \h </w:instrText>
      </w:r>
      <w:r w:rsidRPr="00463386">
        <w:rPr>
          <w:b w:val="0"/>
          <w:noProof/>
          <w:sz w:val="18"/>
        </w:rPr>
      </w:r>
      <w:r w:rsidRPr="00463386">
        <w:rPr>
          <w:b w:val="0"/>
          <w:noProof/>
          <w:sz w:val="18"/>
        </w:rPr>
        <w:fldChar w:fldCharType="separate"/>
      </w:r>
      <w:r w:rsidR="00A50F83">
        <w:rPr>
          <w:b w:val="0"/>
          <w:noProof/>
          <w:sz w:val="18"/>
        </w:rPr>
        <w:t>31</w:t>
      </w:r>
      <w:r w:rsidRPr="00463386">
        <w:rPr>
          <w:b w:val="0"/>
          <w:noProof/>
          <w:sz w:val="18"/>
        </w:rPr>
        <w:fldChar w:fldCharType="end"/>
      </w:r>
    </w:p>
    <w:p w:rsidR="00463386" w:rsidRDefault="00463386">
      <w:pPr>
        <w:pStyle w:val="TOC3"/>
        <w:rPr>
          <w:rFonts w:asciiTheme="minorHAnsi" w:eastAsiaTheme="minorEastAsia" w:hAnsiTheme="minorHAnsi" w:cstheme="minorBidi"/>
          <w:b w:val="0"/>
          <w:noProof/>
          <w:kern w:val="0"/>
          <w:szCs w:val="22"/>
        </w:rPr>
      </w:pPr>
      <w:r>
        <w:rPr>
          <w:noProof/>
        </w:rPr>
        <w:t>Division 2</w:t>
      </w:r>
      <w:r w:rsidRPr="00783190">
        <w:rPr>
          <w:noProof/>
          <w:color w:val="000000"/>
        </w:rPr>
        <w:t>—</w:t>
      </w:r>
      <w:r>
        <w:rPr>
          <w:noProof/>
        </w:rPr>
        <w:t>Modified section 99AAA claims by approved public hospitals</w:t>
      </w:r>
      <w:r w:rsidRPr="00463386">
        <w:rPr>
          <w:b w:val="0"/>
          <w:noProof/>
          <w:sz w:val="18"/>
        </w:rPr>
        <w:tab/>
      </w:r>
      <w:r w:rsidRPr="00463386">
        <w:rPr>
          <w:b w:val="0"/>
          <w:noProof/>
          <w:sz w:val="18"/>
        </w:rPr>
        <w:fldChar w:fldCharType="begin"/>
      </w:r>
      <w:r w:rsidRPr="00463386">
        <w:rPr>
          <w:b w:val="0"/>
          <w:noProof/>
          <w:sz w:val="18"/>
        </w:rPr>
        <w:instrText xml:space="preserve"> PAGEREF _Toc53558969 \h </w:instrText>
      </w:r>
      <w:r w:rsidRPr="00463386">
        <w:rPr>
          <w:b w:val="0"/>
          <w:noProof/>
          <w:sz w:val="18"/>
        </w:rPr>
      </w:r>
      <w:r w:rsidRPr="00463386">
        <w:rPr>
          <w:b w:val="0"/>
          <w:noProof/>
          <w:sz w:val="18"/>
        </w:rPr>
        <w:fldChar w:fldCharType="separate"/>
      </w:r>
      <w:r w:rsidR="00A50F83">
        <w:rPr>
          <w:b w:val="0"/>
          <w:noProof/>
          <w:sz w:val="18"/>
        </w:rPr>
        <w:t>31</w:t>
      </w:r>
      <w:r w:rsidRPr="00463386">
        <w:rPr>
          <w:b w:val="0"/>
          <w:noProof/>
          <w:sz w:val="18"/>
        </w:rPr>
        <w:fldChar w:fldCharType="end"/>
      </w:r>
    </w:p>
    <w:p w:rsidR="00463386" w:rsidRDefault="00463386">
      <w:pPr>
        <w:pStyle w:val="TOC4"/>
        <w:rPr>
          <w:rFonts w:asciiTheme="minorHAnsi" w:eastAsiaTheme="minorEastAsia" w:hAnsiTheme="minorHAnsi" w:cstheme="minorBidi"/>
          <w:b w:val="0"/>
          <w:noProof/>
          <w:kern w:val="0"/>
          <w:sz w:val="22"/>
          <w:szCs w:val="22"/>
        </w:rPr>
      </w:pPr>
      <w:r>
        <w:rPr>
          <w:noProof/>
        </w:rPr>
        <w:t>Subdivision 1—General requirements</w:t>
      </w:r>
      <w:r w:rsidRPr="00463386">
        <w:rPr>
          <w:b w:val="0"/>
          <w:noProof/>
          <w:sz w:val="18"/>
        </w:rPr>
        <w:tab/>
      </w:r>
      <w:r w:rsidRPr="00463386">
        <w:rPr>
          <w:b w:val="0"/>
          <w:noProof/>
          <w:sz w:val="18"/>
        </w:rPr>
        <w:fldChar w:fldCharType="begin"/>
      </w:r>
      <w:r w:rsidRPr="00463386">
        <w:rPr>
          <w:b w:val="0"/>
          <w:noProof/>
          <w:sz w:val="18"/>
        </w:rPr>
        <w:instrText xml:space="preserve"> PAGEREF _Toc53558970 \h </w:instrText>
      </w:r>
      <w:r w:rsidRPr="00463386">
        <w:rPr>
          <w:b w:val="0"/>
          <w:noProof/>
          <w:sz w:val="18"/>
        </w:rPr>
      </w:r>
      <w:r w:rsidRPr="00463386">
        <w:rPr>
          <w:b w:val="0"/>
          <w:noProof/>
          <w:sz w:val="18"/>
        </w:rPr>
        <w:fldChar w:fldCharType="separate"/>
      </w:r>
      <w:r w:rsidR="00A50F83">
        <w:rPr>
          <w:b w:val="0"/>
          <w:noProof/>
          <w:sz w:val="18"/>
        </w:rPr>
        <w:t>31</w:t>
      </w:r>
      <w:r w:rsidRPr="00463386">
        <w:rPr>
          <w:b w:val="0"/>
          <w:noProof/>
          <w:sz w:val="18"/>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30</w:t>
      </w:r>
      <w:r>
        <w:rPr>
          <w:noProof/>
        </w:rPr>
        <w:tab/>
        <w:t>How claims to be made—modified section 99AAA claiming</w:t>
      </w:r>
      <w:r w:rsidRPr="00463386">
        <w:rPr>
          <w:noProof/>
        </w:rPr>
        <w:tab/>
      </w:r>
      <w:r w:rsidRPr="00463386">
        <w:rPr>
          <w:noProof/>
        </w:rPr>
        <w:fldChar w:fldCharType="begin"/>
      </w:r>
      <w:r w:rsidRPr="00463386">
        <w:rPr>
          <w:noProof/>
        </w:rPr>
        <w:instrText xml:space="preserve"> PAGEREF _Toc53558971 \h </w:instrText>
      </w:r>
      <w:r w:rsidRPr="00463386">
        <w:rPr>
          <w:noProof/>
        </w:rPr>
      </w:r>
      <w:r w:rsidRPr="00463386">
        <w:rPr>
          <w:noProof/>
        </w:rPr>
        <w:fldChar w:fldCharType="separate"/>
      </w:r>
      <w:r w:rsidR="00A50F83">
        <w:rPr>
          <w:noProof/>
        </w:rPr>
        <w:t>31</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31</w:t>
      </w:r>
      <w:r>
        <w:rPr>
          <w:noProof/>
        </w:rPr>
        <w:tab/>
        <w:t>Limit on number of prescriptions in one claim</w:t>
      </w:r>
      <w:r w:rsidRPr="00463386">
        <w:rPr>
          <w:noProof/>
        </w:rPr>
        <w:tab/>
      </w:r>
      <w:r w:rsidRPr="00463386">
        <w:rPr>
          <w:noProof/>
        </w:rPr>
        <w:fldChar w:fldCharType="begin"/>
      </w:r>
      <w:r w:rsidRPr="00463386">
        <w:rPr>
          <w:noProof/>
        </w:rPr>
        <w:instrText xml:space="preserve"> PAGEREF _Toc53558972 \h </w:instrText>
      </w:r>
      <w:r w:rsidRPr="00463386">
        <w:rPr>
          <w:noProof/>
        </w:rPr>
      </w:r>
      <w:r w:rsidRPr="00463386">
        <w:rPr>
          <w:noProof/>
        </w:rPr>
        <w:fldChar w:fldCharType="separate"/>
      </w:r>
      <w:r w:rsidR="00A50F83">
        <w:rPr>
          <w:noProof/>
        </w:rPr>
        <w:t>31</w:t>
      </w:r>
      <w:r w:rsidRPr="00463386">
        <w:rPr>
          <w:noProof/>
        </w:rPr>
        <w:fldChar w:fldCharType="end"/>
      </w:r>
    </w:p>
    <w:p w:rsidR="00463386" w:rsidRDefault="00463386">
      <w:pPr>
        <w:pStyle w:val="TOC4"/>
        <w:rPr>
          <w:rFonts w:asciiTheme="minorHAnsi" w:eastAsiaTheme="minorEastAsia" w:hAnsiTheme="minorHAnsi" w:cstheme="minorBidi"/>
          <w:b w:val="0"/>
          <w:noProof/>
          <w:kern w:val="0"/>
          <w:sz w:val="22"/>
          <w:szCs w:val="22"/>
        </w:rPr>
      </w:pPr>
      <w:r>
        <w:rPr>
          <w:noProof/>
        </w:rPr>
        <w:t>Subdivision 3—Payment of claims</w:t>
      </w:r>
      <w:r w:rsidRPr="00463386">
        <w:rPr>
          <w:b w:val="0"/>
          <w:noProof/>
          <w:sz w:val="18"/>
        </w:rPr>
        <w:tab/>
      </w:r>
      <w:r w:rsidRPr="00463386">
        <w:rPr>
          <w:b w:val="0"/>
          <w:noProof/>
          <w:sz w:val="18"/>
        </w:rPr>
        <w:fldChar w:fldCharType="begin"/>
      </w:r>
      <w:r w:rsidRPr="00463386">
        <w:rPr>
          <w:b w:val="0"/>
          <w:noProof/>
          <w:sz w:val="18"/>
        </w:rPr>
        <w:instrText xml:space="preserve"> PAGEREF _Toc53558973 \h </w:instrText>
      </w:r>
      <w:r w:rsidRPr="00463386">
        <w:rPr>
          <w:b w:val="0"/>
          <w:noProof/>
          <w:sz w:val="18"/>
        </w:rPr>
      </w:r>
      <w:r w:rsidRPr="00463386">
        <w:rPr>
          <w:b w:val="0"/>
          <w:noProof/>
          <w:sz w:val="18"/>
        </w:rPr>
        <w:fldChar w:fldCharType="separate"/>
      </w:r>
      <w:r w:rsidR="00A50F83">
        <w:rPr>
          <w:b w:val="0"/>
          <w:noProof/>
          <w:sz w:val="18"/>
        </w:rPr>
        <w:t>31</w:t>
      </w:r>
      <w:r w:rsidRPr="00463386">
        <w:rPr>
          <w:b w:val="0"/>
          <w:noProof/>
          <w:sz w:val="18"/>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35</w:t>
      </w:r>
      <w:r>
        <w:rPr>
          <w:noProof/>
        </w:rPr>
        <w:tab/>
        <w:t>Payments to suppliers that are approved hospital authorities for public hospitals</w:t>
      </w:r>
      <w:r w:rsidRPr="00463386">
        <w:rPr>
          <w:noProof/>
        </w:rPr>
        <w:tab/>
      </w:r>
      <w:r w:rsidRPr="00463386">
        <w:rPr>
          <w:noProof/>
        </w:rPr>
        <w:fldChar w:fldCharType="begin"/>
      </w:r>
      <w:r w:rsidRPr="00463386">
        <w:rPr>
          <w:noProof/>
        </w:rPr>
        <w:instrText xml:space="preserve"> PAGEREF _Toc53558974 \h </w:instrText>
      </w:r>
      <w:r w:rsidRPr="00463386">
        <w:rPr>
          <w:noProof/>
        </w:rPr>
      </w:r>
      <w:r w:rsidRPr="00463386">
        <w:rPr>
          <w:noProof/>
        </w:rPr>
        <w:fldChar w:fldCharType="separate"/>
      </w:r>
      <w:r w:rsidR="00A50F83">
        <w:rPr>
          <w:noProof/>
        </w:rPr>
        <w:t>31</w:t>
      </w:r>
      <w:r w:rsidRPr="00463386">
        <w:rPr>
          <w:noProof/>
        </w:rPr>
        <w:fldChar w:fldCharType="end"/>
      </w:r>
    </w:p>
    <w:p w:rsidR="00463386" w:rsidRDefault="00463386">
      <w:pPr>
        <w:pStyle w:val="TOC3"/>
        <w:rPr>
          <w:rFonts w:asciiTheme="minorHAnsi" w:eastAsiaTheme="minorEastAsia" w:hAnsiTheme="minorHAnsi" w:cstheme="minorBidi"/>
          <w:b w:val="0"/>
          <w:noProof/>
          <w:kern w:val="0"/>
          <w:szCs w:val="22"/>
        </w:rPr>
      </w:pPr>
      <w:r>
        <w:rPr>
          <w:noProof/>
        </w:rPr>
        <w:t>Division 3—Payments to suppliers of HSD pharmaceutical benefits that are approved hospital authorities for private hospitals or approved pharmacists or approved medical practitioners</w:t>
      </w:r>
      <w:r w:rsidRPr="00463386">
        <w:rPr>
          <w:b w:val="0"/>
          <w:noProof/>
          <w:sz w:val="18"/>
        </w:rPr>
        <w:tab/>
      </w:r>
      <w:r w:rsidRPr="00463386">
        <w:rPr>
          <w:b w:val="0"/>
          <w:noProof/>
          <w:sz w:val="18"/>
        </w:rPr>
        <w:fldChar w:fldCharType="begin"/>
      </w:r>
      <w:r w:rsidRPr="00463386">
        <w:rPr>
          <w:b w:val="0"/>
          <w:noProof/>
          <w:sz w:val="18"/>
        </w:rPr>
        <w:instrText xml:space="preserve"> PAGEREF _Toc53558975 \h </w:instrText>
      </w:r>
      <w:r w:rsidRPr="00463386">
        <w:rPr>
          <w:b w:val="0"/>
          <w:noProof/>
          <w:sz w:val="18"/>
        </w:rPr>
      </w:r>
      <w:r w:rsidRPr="00463386">
        <w:rPr>
          <w:b w:val="0"/>
          <w:noProof/>
          <w:sz w:val="18"/>
        </w:rPr>
        <w:fldChar w:fldCharType="separate"/>
      </w:r>
      <w:r w:rsidR="00A50F83">
        <w:rPr>
          <w:b w:val="0"/>
          <w:noProof/>
          <w:sz w:val="18"/>
        </w:rPr>
        <w:t>32</w:t>
      </w:r>
      <w:r w:rsidRPr="00463386">
        <w:rPr>
          <w:b w:val="0"/>
          <w:noProof/>
          <w:sz w:val="18"/>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36</w:t>
      </w:r>
      <w:r>
        <w:rPr>
          <w:noProof/>
        </w:rPr>
        <w:tab/>
        <w:t>Payments to certain suppliers of HSD pharmaceutical benefits</w:t>
      </w:r>
      <w:r w:rsidRPr="00463386">
        <w:rPr>
          <w:noProof/>
        </w:rPr>
        <w:tab/>
      </w:r>
      <w:r w:rsidRPr="00463386">
        <w:rPr>
          <w:noProof/>
        </w:rPr>
        <w:fldChar w:fldCharType="begin"/>
      </w:r>
      <w:r w:rsidRPr="00463386">
        <w:rPr>
          <w:noProof/>
        </w:rPr>
        <w:instrText xml:space="preserve"> PAGEREF _Toc53558976 \h </w:instrText>
      </w:r>
      <w:r w:rsidRPr="00463386">
        <w:rPr>
          <w:noProof/>
        </w:rPr>
      </w:r>
      <w:r w:rsidRPr="00463386">
        <w:rPr>
          <w:noProof/>
        </w:rPr>
        <w:fldChar w:fldCharType="separate"/>
      </w:r>
      <w:r w:rsidR="00A50F83">
        <w:rPr>
          <w:noProof/>
        </w:rPr>
        <w:t>32</w:t>
      </w:r>
      <w:r w:rsidRPr="00463386">
        <w:rPr>
          <w:noProof/>
        </w:rPr>
        <w:fldChar w:fldCharType="end"/>
      </w:r>
    </w:p>
    <w:p w:rsidR="00463386" w:rsidRDefault="00463386">
      <w:pPr>
        <w:pStyle w:val="TOC2"/>
        <w:rPr>
          <w:rFonts w:asciiTheme="minorHAnsi" w:eastAsiaTheme="minorEastAsia" w:hAnsiTheme="minorHAnsi" w:cstheme="minorBidi"/>
          <w:b w:val="0"/>
          <w:noProof/>
          <w:kern w:val="0"/>
          <w:sz w:val="22"/>
          <w:szCs w:val="22"/>
        </w:rPr>
      </w:pPr>
      <w:r>
        <w:rPr>
          <w:noProof/>
        </w:rPr>
        <w:t>Part 5—Dispensed price</w:t>
      </w:r>
      <w:r w:rsidRPr="00463386">
        <w:rPr>
          <w:b w:val="0"/>
          <w:noProof/>
          <w:sz w:val="18"/>
        </w:rPr>
        <w:tab/>
      </w:r>
      <w:r w:rsidRPr="00463386">
        <w:rPr>
          <w:b w:val="0"/>
          <w:noProof/>
          <w:sz w:val="18"/>
        </w:rPr>
        <w:fldChar w:fldCharType="begin"/>
      </w:r>
      <w:r w:rsidRPr="00463386">
        <w:rPr>
          <w:b w:val="0"/>
          <w:noProof/>
          <w:sz w:val="18"/>
        </w:rPr>
        <w:instrText xml:space="preserve"> PAGEREF _Toc53558977 \h </w:instrText>
      </w:r>
      <w:r w:rsidRPr="00463386">
        <w:rPr>
          <w:b w:val="0"/>
          <w:noProof/>
          <w:sz w:val="18"/>
        </w:rPr>
      </w:r>
      <w:r w:rsidRPr="00463386">
        <w:rPr>
          <w:b w:val="0"/>
          <w:noProof/>
          <w:sz w:val="18"/>
        </w:rPr>
        <w:fldChar w:fldCharType="separate"/>
      </w:r>
      <w:r w:rsidR="00A50F83">
        <w:rPr>
          <w:b w:val="0"/>
          <w:noProof/>
          <w:sz w:val="18"/>
        </w:rPr>
        <w:t>33</w:t>
      </w:r>
      <w:r w:rsidRPr="00463386">
        <w:rPr>
          <w:b w:val="0"/>
          <w:noProof/>
          <w:sz w:val="18"/>
        </w:rPr>
        <w:fldChar w:fldCharType="end"/>
      </w:r>
    </w:p>
    <w:p w:rsidR="00463386" w:rsidRDefault="00463386">
      <w:pPr>
        <w:pStyle w:val="TOC3"/>
        <w:rPr>
          <w:rFonts w:asciiTheme="minorHAnsi" w:eastAsiaTheme="minorEastAsia" w:hAnsiTheme="minorHAnsi" w:cstheme="minorBidi"/>
          <w:b w:val="0"/>
          <w:noProof/>
          <w:kern w:val="0"/>
          <w:szCs w:val="22"/>
        </w:rPr>
      </w:pPr>
      <w:r>
        <w:rPr>
          <w:noProof/>
        </w:rPr>
        <w:t>Division 1—Dispensed price for supply of an HSD pharmaceutical benefit by a hospital authority for a public hospital</w:t>
      </w:r>
      <w:r w:rsidRPr="00463386">
        <w:rPr>
          <w:b w:val="0"/>
          <w:noProof/>
          <w:sz w:val="18"/>
        </w:rPr>
        <w:tab/>
      </w:r>
      <w:r w:rsidRPr="00463386">
        <w:rPr>
          <w:b w:val="0"/>
          <w:noProof/>
          <w:sz w:val="18"/>
        </w:rPr>
        <w:fldChar w:fldCharType="begin"/>
      </w:r>
      <w:r w:rsidRPr="00463386">
        <w:rPr>
          <w:b w:val="0"/>
          <w:noProof/>
          <w:sz w:val="18"/>
        </w:rPr>
        <w:instrText xml:space="preserve"> PAGEREF _Toc53558978 \h </w:instrText>
      </w:r>
      <w:r w:rsidRPr="00463386">
        <w:rPr>
          <w:b w:val="0"/>
          <w:noProof/>
          <w:sz w:val="18"/>
        </w:rPr>
      </w:r>
      <w:r w:rsidRPr="00463386">
        <w:rPr>
          <w:b w:val="0"/>
          <w:noProof/>
          <w:sz w:val="18"/>
        </w:rPr>
        <w:fldChar w:fldCharType="separate"/>
      </w:r>
      <w:r w:rsidR="00A50F83">
        <w:rPr>
          <w:b w:val="0"/>
          <w:noProof/>
          <w:sz w:val="18"/>
        </w:rPr>
        <w:t>33</w:t>
      </w:r>
      <w:r w:rsidRPr="00463386">
        <w:rPr>
          <w:b w:val="0"/>
          <w:noProof/>
          <w:sz w:val="18"/>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37</w:t>
      </w:r>
      <w:r>
        <w:rPr>
          <w:noProof/>
        </w:rPr>
        <w:tab/>
        <w:t>The dispensed price—supply by public hospital</w:t>
      </w:r>
      <w:r w:rsidRPr="00463386">
        <w:rPr>
          <w:noProof/>
        </w:rPr>
        <w:tab/>
      </w:r>
      <w:r w:rsidRPr="00463386">
        <w:rPr>
          <w:noProof/>
        </w:rPr>
        <w:fldChar w:fldCharType="begin"/>
      </w:r>
      <w:r w:rsidRPr="00463386">
        <w:rPr>
          <w:noProof/>
        </w:rPr>
        <w:instrText xml:space="preserve"> PAGEREF _Toc53558979 \h </w:instrText>
      </w:r>
      <w:r w:rsidRPr="00463386">
        <w:rPr>
          <w:noProof/>
        </w:rPr>
      </w:r>
      <w:r w:rsidRPr="00463386">
        <w:rPr>
          <w:noProof/>
        </w:rPr>
        <w:fldChar w:fldCharType="separate"/>
      </w:r>
      <w:r w:rsidR="00A50F83">
        <w:rPr>
          <w:noProof/>
        </w:rPr>
        <w:t>33</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38</w:t>
      </w:r>
      <w:r>
        <w:rPr>
          <w:noProof/>
        </w:rPr>
        <w:tab/>
        <w:t>Where quantity is less than a pack quantity</w:t>
      </w:r>
      <w:r w:rsidRPr="00463386">
        <w:rPr>
          <w:noProof/>
        </w:rPr>
        <w:tab/>
      </w:r>
      <w:r w:rsidRPr="00463386">
        <w:rPr>
          <w:noProof/>
        </w:rPr>
        <w:fldChar w:fldCharType="begin"/>
      </w:r>
      <w:r w:rsidRPr="00463386">
        <w:rPr>
          <w:noProof/>
        </w:rPr>
        <w:instrText xml:space="preserve"> PAGEREF _Toc53558980 \h </w:instrText>
      </w:r>
      <w:r w:rsidRPr="00463386">
        <w:rPr>
          <w:noProof/>
        </w:rPr>
      </w:r>
      <w:r w:rsidRPr="00463386">
        <w:rPr>
          <w:noProof/>
        </w:rPr>
        <w:fldChar w:fldCharType="separate"/>
      </w:r>
      <w:r w:rsidR="00A50F83">
        <w:rPr>
          <w:noProof/>
        </w:rPr>
        <w:t>33</w:t>
      </w:r>
      <w:r w:rsidRPr="00463386">
        <w:rPr>
          <w:noProof/>
        </w:rPr>
        <w:fldChar w:fldCharType="end"/>
      </w:r>
    </w:p>
    <w:p w:rsidR="00463386" w:rsidRDefault="00463386">
      <w:pPr>
        <w:pStyle w:val="TOC3"/>
        <w:rPr>
          <w:rFonts w:asciiTheme="minorHAnsi" w:eastAsiaTheme="minorEastAsia" w:hAnsiTheme="minorHAnsi" w:cstheme="minorBidi"/>
          <w:b w:val="0"/>
          <w:noProof/>
          <w:kern w:val="0"/>
          <w:szCs w:val="22"/>
        </w:rPr>
      </w:pPr>
      <w:r>
        <w:rPr>
          <w:noProof/>
        </w:rPr>
        <w:t>Division 2—Dispensed price for supply of HSD pharmaceutical benefit by an approved hospital authority for a private hospital or by an approved pharmacist or approved medical practitioner</w:t>
      </w:r>
      <w:r w:rsidRPr="00463386">
        <w:rPr>
          <w:b w:val="0"/>
          <w:noProof/>
          <w:sz w:val="18"/>
        </w:rPr>
        <w:tab/>
      </w:r>
      <w:r w:rsidRPr="00463386">
        <w:rPr>
          <w:b w:val="0"/>
          <w:noProof/>
          <w:sz w:val="18"/>
        </w:rPr>
        <w:fldChar w:fldCharType="begin"/>
      </w:r>
      <w:r w:rsidRPr="00463386">
        <w:rPr>
          <w:b w:val="0"/>
          <w:noProof/>
          <w:sz w:val="18"/>
        </w:rPr>
        <w:instrText xml:space="preserve"> PAGEREF _Toc53558981 \h </w:instrText>
      </w:r>
      <w:r w:rsidRPr="00463386">
        <w:rPr>
          <w:b w:val="0"/>
          <w:noProof/>
          <w:sz w:val="18"/>
        </w:rPr>
      </w:r>
      <w:r w:rsidRPr="00463386">
        <w:rPr>
          <w:b w:val="0"/>
          <w:noProof/>
          <w:sz w:val="18"/>
        </w:rPr>
        <w:fldChar w:fldCharType="separate"/>
      </w:r>
      <w:r w:rsidR="00A50F83">
        <w:rPr>
          <w:b w:val="0"/>
          <w:noProof/>
          <w:sz w:val="18"/>
        </w:rPr>
        <w:t>34</w:t>
      </w:r>
      <w:r w:rsidRPr="00463386">
        <w:rPr>
          <w:b w:val="0"/>
          <w:noProof/>
          <w:sz w:val="18"/>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39</w:t>
      </w:r>
      <w:r>
        <w:rPr>
          <w:noProof/>
        </w:rPr>
        <w:tab/>
        <w:t>The dispensed price—supply by an approved hospital authority for a private hospital or by an approved pharmacist or approved medical practitioner</w:t>
      </w:r>
      <w:r w:rsidRPr="00463386">
        <w:rPr>
          <w:noProof/>
        </w:rPr>
        <w:tab/>
      </w:r>
      <w:r w:rsidRPr="00463386">
        <w:rPr>
          <w:noProof/>
        </w:rPr>
        <w:fldChar w:fldCharType="begin"/>
      </w:r>
      <w:r w:rsidRPr="00463386">
        <w:rPr>
          <w:noProof/>
        </w:rPr>
        <w:instrText xml:space="preserve"> PAGEREF _Toc53558982 \h </w:instrText>
      </w:r>
      <w:r w:rsidRPr="00463386">
        <w:rPr>
          <w:noProof/>
        </w:rPr>
      </w:r>
      <w:r w:rsidRPr="00463386">
        <w:rPr>
          <w:noProof/>
        </w:rPr>
        <w:fldChar w:fldCharType="separate"/>
      </w:r>
      <w:r w:rsidR="00A50F83">
        <w:rPr>
          <w:noProof/>
        </w:rPr>
        <w:t>34</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40</w:t>
      </w:r>
      <w:r>
        <w:rPr>
          <w:rFonts w:cs="Arial"/>
          <w:noProof/>
          <w:lang w:eastAsia="en-US"/>
        </w:rPr>
        <w:tab/>
      </w:r>
      <w:r w:rsidRPr="00783190">
        <w:rPr>
          <w:rFonts w:cs="Arial"/>
          <w:noProof/>
          <w:lang w:eastAsia="en-US"/>
        </w:rPr>
        <w:t>Mark</w:t>
      </w:r>
      <w:r w:rsidRPr="00783190">
        <w:rPr>
          <w:rFonts w:cs="Arial"/>
          <w:noProof/>
          <w:lang w:eastAsia="en-US"/>
        </w:rPr>
        <w:noBreakHyphen/>
        <w:t>up</w:t>
      </w:r>
      <w:r w:rsidRPr="00463386">
        <w:rPr>
          <w:noProof/>
        </w:rPr>
        <w:tab/>
      </w:r>
      <w:r w:rsidRPr="00463386">
        <w:rPr>
          <w:noProof/>
        </w:rPr>
        <w:fldChar w:fldCharType="begin"/>
      </w:r>
      <w:r w:rsidRPr="00463386">
        <w:rPr>
          <w:noProof/>
        </w:rPr>
        <w:instrText xml:space="preserve"> PAGEREF _Toc53558983 \h </w:instrText>
      </w:r>
      <w:r w:rsidRPr="00463386">
        <w:rPr>
          <w:noProof/>
        </w:rPr>
      </w:r>
      <w:r w:rsidRPr="00463386">
        <w:rPr>
          <w:noProof/>
        </w:rPr>
        <w:fldChar w:fldCharType="separate"/>
      </w:r>
      <w:r w:rsidR="00A50F83">
        <w:rPr>
          <w:noProof/>
        </w:rPr>
        <w:t>35</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41</w:t>
      </w:r>
      <w:r>
        <w:rPr>
          <w:noProof/>
        </w:rPr>
        <w:tab/>
        <w:t>Where quantity is less than a pack quantity</w:t>
      </w:r>
      <w:r w:rsidRPr="00463386">
        <w:rPr>
          <w:noProof/>
        </w:rPr>
        <w:tab/>
      </w:r>
      <w:r w:rsidRPr="00463386">
        <w:rPr>
          <w:noProof/>
        </w:rPr>
        <w:fldChar w:fldCharType="begin"/>
      </w:r>
      <w:r w:rsidRPr="00463386">
        <w:rPr>
          <w:noProof/>
        </w:rPr>
        <w:instrText xml:space="preserve"> PAGEREF _Toc53558984 \h </w:instrText>
      </w:r>
      <w:r w:rsidRPr="00463386">
        <w:rPr>
          <w:noProof/>
        </w:rPr>
      </w:r>
      <w:r w:rsidRPr="00463386">
        <w:rPr>
          <w:noProof/>
        </w:rPr>
        <w:fldChar w:fldCharType="separate"/>
      </w:r>
      <w:r w:rsidR="00A50F83">
        <w:rPr>
          <w:noProof/>
        </w:rPr>
        <w:t>36</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42</w:t>
      </w:r>
      <w:r>
        <w:rPr>
          <w:noProof/>
        </w:rPr>
        <w:tab/>
        <w:t>Dispensing fee if quantity of repeated supply directed to be supplied on one occasion</w:t>
      </w:r>
      <w:r w:rsidRPr="00463386">
        <w:rPr>
          <w:noProof/>
        </w:rPr>
        <w:tab/>
      </w:r>
      <w:r w:rsidRPr="00463386">
        <w:rPr>
          <w:noProof/>
        </w:rPr>
        <w:fldChar w:fldCharType="begin"/>
      </w:r>
      <w:r w:rsidRPr="00463386">
        <w:rPr>
          <w:noProof/>
        </w:rPr>
        <w:instrText xml:space="preserve"> PAGEREF _Toc53558985 \h </w:instrText>
      </w:r>
      <w:r w:rsidRPr="00463386">
        <w:rPr>
          <w:noProof/>
        </w:rPr>
      </w:r>
      <w:r w:rsidRPr="00463386">
        <w:rPr>
          <w:noProof/>
        </w:rPr>
        <w:fldChar w:fldCharType="separate"/>
      </w:r>
      <w:r w:rsidR="00A50F83">
        <w:rPr>
          <w:noProof/>
        </w:rPr>
        <w:t>36</w:t>
      </w:r>
      <w:r w:rsidRPr="00463386">
        <w:rPr>
          <w:noProof/>
        </w:rPr>
        <w:fldChar w:fldCharType="end"/>
      </w:r>
    </w:p>
    <w:p w:rsidR="00463386" w:rsidRDefault="00463386">
      <w:pPr>
        <w:pStyle w:val="TOC3"/>
        <w:rPr>
          <w:rFonts w:asciiTheme="minorHAnsi" w:eastAsiaTheme="minorEastAsia" w:hAnsiTheme="minorHAnsi" w:cstheme="minorBidi"/>
          <w:b w:val="0"/>
          <w:noProof/>
          <w:kern w:val="0"/>
          <w:szCs w:val="22"/>
        </w:rPr>
      </w:pPr>
      <w:r>
        <w:rPr>
          <w:noProof/>
        </w:rPr>
        <w:t>Division 3—Dispensed price—other matters</w:t>
      </w:r>
      <w:r w:rsidRPr="00463386">
        <w:rPr>
          <w:b w:val="0"/>
          <w:noProof/>
          <w:sz w:val="18"/>
        </w:rPr>
        <w:tab/>
      </w:r>
      <w:r w:rsidRPr="00463386">
        <w:rPr>
          <w:b w:val="0"/>
          <w:noProof/>
          <w:sz w:val="18"/>
        </w:rPr>
        <w:fldChar w:fldCharType="begin"/>
      </w:r>
      <w:r w:rsidRPr="00463386">
        <w:rPr>
          <w:b w:val="0"/>
          <w:noProof/>
          <w:sz w:val="18"/>
        </w:rPr>
        <w:instrText xml:space="preserve"> PAGEREF _Toc53558986 \h </w:instrText>
      </w:r>
      <w:r w:rsidRPr="00463386">
        <w:rPr>
          <w:b w:val="0"/>
          <w:noProof/>
          <w:sz w:val="18"/>
        </w:rPr>
      </w:r>
      <w:r w:rsidRPr="00463386">
        <w:rPr>
          <w:b w:val="0"/>
          <w:noProof/>
          <w:sz w:val="18"/>
        </w:rPr>
        <w:fldChar w:fldCharType="separate"/>
      </w:r>
      <w:r w:rsidR="00A50F83">
        <w:rPr>
          <w:b w:val="0"/>
          <w:noProof/>
          <w:sz w:val="18"/>
        </w:rPr>
        <w:t>37</w:t>
      </w:r>
      <w:r w:rsidRPr="00463386">
        <w:rPr>
          <w:b w:val="0"/>
          <w:noProof/>
          <w:sz w:val="18"/>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44</w:t>
      </w:r>
      <w:r>
        <w:rPr>
          <w:noProof/>
        </w:rPr>
        <w:tab/>
        <w:t>Rounding up of dispensed price</w:t>
      </w:r>
      <w:r w:rsidRPr="00463386">
        <w:rPr>
          <w:noProof/>
        </w:rPr>
        <w:tab/>
      </w:r>
      <w:r w:rsidRPr="00463386">
        <w:rPr>
          <w:noProof/>
        </w:rPr>
        <w:fldChar w:fldCharType="begin"/>
      </w:r>
      <w:r w:rsidRPr="00463386">
        <w:rPr>
          <w:noProof/>
        </w:rPr>
        <w:instrText xml:space="preserve"> PAGEREF _Toc53558987 \h </w:instrText>
      </w:r>
      <w:r w:rsidRPr="00463386">
        <w:rPr>
          <w:noProof/>
        </w:rPr>
      </w:r>
      <w:r w:rsidRPr="00463386">
        <w:rPr>
          <w:noProof/>
        </w:rPr>
        <w:fldChar w:fldCharType="separate"/>
      </w:r>
      <w:r w:rsidR="00A50F83">
        <w:rPr>
          <w:noProof/>
        </w:rPr>
        <w:t>37</w:t>
      </w:r>
      <w:r w:rsidRPr="00463386">
        <w:rPr>
          <w:noProof/>
        </w:rPr>
        <w:fldChar w:fldCharType="end"/>
      </w:r>
    </w:p>
    <w:p w:rsidR="00463386" w:rsidRDefault="00463386">
      <w:pPr>
        <w:pStyle w:val="TOC2"/>
        <w:rPr>
          <w:rFonts w:asciiTheme="minorHAnsi" w:eastAsiaTheme="minorEastAsia" w:hAnsiTheme="minorHAnsi" w:cstheme="minorBidi"/>
          <w:b w:val="0"/>
          <w:noProof/>
          <w:kern w:val="0"/>
          <w:sz w:val="22"/>
          <w:szCs w:val="22"/>
        </w:rPr>
      </w:pPr>
      <w:r>
        <w:rPr>
          <w:noProof/>
        </w:rPr>
        <w:t>Part 6</w:t>
      </w:r>
      <w:r w:rsidRPr="00783190">
        <w:rPr>
          <w:noProof/>
          <w:color w:val="000000"/>
        </w:rPr>
        <w:t>—</w:t>
      </w:r>
      <w:r>
        <w:rPr>
          <w:noProof/>
        </w:rPr>
        <w:t>Patient contributions</w:t>
      </w:r>
      <w:r w:rsidRPr="00463386">
        <w:rPr>
          <w:b w:val="0"/>
          <w:noProof/>
          <w:sz w:val="18"/>
        </w:rPr>
        <w:tab/>
      </w:r>
      <w:r w:rsidRPr="00463386">
        <w:rPr>
          <w:b w:val="0"/>
          <w:noProof/>
          <w:sz w:val="18"/>
        </w:rPr>
        <w:fldChar w:fldCharType="begin"/>
      </w:r>
      <w:r w:rsidRPr="00463386">
        <w:rPr>
          <w:b w:val="0"/>
          <w:noProof/>
          <w:sz w:val="18"/>
        </w:rPr>
        <w:instrText xml:space="preserve"> PAGEREF _Toc53558988 \h </w:instrText>
      </w:r>
      <w:r w:rsidRPr="00463386">
        <w:rPr>
          <w:b w:val="0"/>
          <w:noProof/>
          <w:sz w:val="18"/>
        </w:rPr>
      </w:r>
      <w:r w:rsidRPr="00463386">
        <w:rPr>
          <w:b w:val="0"/>
          <w:noProof/>
          <w:sz w:val="18"/>
        </w:rPr>
        <w:fldChar w:fldCharType="separate"/>
      </w:r>
      <w:r w:rsidR="00A50F83">
        <w:rPr>
          <w:b w:val="0"/>
          <w:noProof/>
          <w:sz w:val="18"/>
        </w:rPr>
        <w:t>38</w:t>
      </w:r>
      <w:r w:rsidRPr="00463386">
        <w:rPr>
          <w:b w:val="0"/>
          <w:noProof/>
          <w:sz w:val="18"/>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46</w:t>
      </w:r>
      <w:r>
        <w:rPr>
          <w:noProof/>
        </w:rPr>
        <w:tab/>
        <w:t>Patient contributions in relation to approved hospital authorities</w:t>
      </w:r>
      <w:r w:rsidRPr="00463386">
        <w:rPr>
          <w:noProof/>
        </w:rPr>
        <w:tab/>
      </w:r>
      <w:r w:rsidRPr="00463386">
        <w:rPr>
          <w:noProof/>
        </w:rPr>
        <w:fldChar w:fldCharType="begin"/>
      </w:r>
      <w:r w:rsidRPr="00463386">
        <w:rPr>
          <w:noProof/>
        </w:rPr>
        <w:instrText xml:space="preserve"> PAGEREF _Toc53558989 \h </w:instrText>
      </w:r>
      <w:r w:rsidRPr="00463386">
        <w:rPr>
          <w:noProof/>
        </w:rPr>
      </w:r>
      <w:r w:rsidRPr="00463386">
        <w:rPr>
          <w:noProof/>
        </w:rPr>
        <w:fldChar w:fldCharType="separate"/>
      </w:r>
      <w:r w:rsidR="00A50F83">
        <w:rPr>
          <w:noProof/>
        </w:rPr>
        <w:t>38</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47</w:t>
      </w:r>
      <w:r>
        <w:rPr>
          <w:noProof/>
        </w:rPr>
        <w:tab/>
        <w:t>Patient contributions for claims by approved pharmacists or approved medical practitioners</w:t>
      </w:r>
      <w:r w:rsidRPr="00463386">
        <w:rPr>
          <w:noProof/>
        </w:rPr>
        <w:tab/>
      </w:r>
      <w:r w:rsidRPr="00463386">
        <w:rPr>
          <w:noProof/>
        </w:rPr>
        <w:fldChar w:fldCharType="begin"/>
      </w:r>
      <w:r w:rsidRPr="00463386">
        <w:rPr>
          <w:noProof/>
        </w:rPr>
        <w:instrText xml:space="preserve"> PAGEREF _Toc53558990 \h </w:instrText>
      </w:r>
      <w:r w:rsidRPr="00463386">
        <w:rPr>
          <w:noProof/>
        </w:rPr>
      </w:r>
      <w:r w:rsidRPr="00463386">
        <w:rPr>
          <w:noProof/>
        </w:rPr>
        <w:fldChar w:fldCharType="separate"/>
      </w:r>
      <w:r w:rsidR="00A50F83">
        <w:rPr>
          <w:noProof/>
        </w:rPr>
        <w:t>38</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48</w:t>
      </w:r>
      <w:r>
        <w:rPr>
          <w:noProof/>
        </w:rPr>
        <w:tab/>
        <w:t>Additional patient contributions</w:t>
      </w:r>
      <w:r w:rsidRPr="00463386">
        <w:rPr>
          <w:noProof/>
        </w:rPr>
        <w:tab/>
      </w:r>
      <w:r w:rsidRPr="00463386">
        <w:rPr>
          <w:noProof/>
        </w:rPr>
        <w:fldChar w:fldCharType="begin"/>
      </w:r>
      <w:r w:rsidRPr="00463386">
        <w:rPr>
          <w:noProof/>
        </w:rPr>
        <w:instrText xml:space="preserve"> PAGEREF _Toc53558991 \h </w:instrText>
      </w:r>
      <w:r w:rsidRPr="00463386">
        <w:rPr>
          <w:noProof/>
        </w:rPr>
      </w:r>
      <w:r w:rsidRPr="00463386">
        <w:rPr>
          <w:noProof/>
        </w:rPr>
        <w:fldChar w:fldCharType="separate"/>
      </w:r>
      <w:r w:rsidR="00A50F83">
        <w:rPr>
          <w:noProof/>
        </w:rPr>
        <w:t>38</w:t>
      </w:r>
      <w:r w:rsidRPr="00463386">
        <w:rPr>
          <w:noProof/>
        </w:rPr>
        <w:fldChar w:fldCharType="end"/>
      </w:r>
    </w:p>
    <w:p w:rsidR="00463386" w:rsidRDefault="00463386">
      <w:pPr>
        <w:pStyle w:val="TOC2"/>
        <w:rPr>
          <w:rFonts w:asciiTheme="minorHAnsi" w:eastAsiaTheme="minorEastAsia" w:hAnsiTheme="minorHAnsi" w:cstheme="minorBidi"/>
          <w:b w:val="0"/>
          <w:noProof/>
          <w:kern w:val="0"/>
          <w:sz w:val="22"/>
          <w:szCs w:val="22"/>
        </w:rPr>
      </w:pPr>
      <w:r>
        <w:rPr>
          <w:noProof/>
        </w:rPr>
        <w:t>Part 7</w:t>
      </w:r>
      <w:r w:rsidRPr="00783190">
        <w:rPr>
          <w:noProof/>
          <w:color w:val="000000"/>
        </w:rPr>
        <w:t>—</w:t>
      </w:r>
      <w:r>
        <w:rPr>
          <w:noProof/>
        </w:rPr>
        <w:t>Miscellaneous</w:t>
      </w:r>
      <w:r w:rsidRPr="00463386">
        <w:rPr>
          <w:b w:val="0"/>
          <w:noProof/>
          <w:sz w:val="18"/>
        </w:rPr>
        <w:tab/>
      </w:r>
      <w:r w:rsidRPr="00463386">
        <w:rPr>
          <w:b w:val="0"/>
          <w:noProof/>
          <w:sz w:val="18"/>
        </w:rPr>
        <w:fldChar w:fldCharType="begin"/>
      </w:r>
      <w:r w:rsidRPr="00463386">
        <w:rPr>
          <w:b w:val="0"/>
          <w:noProof/>
          <w:sz w:val="18"/>
        </w:rPr>
        <w:instrText xml:space="preserve"> PAGEREF _Toc53558992 \h </w:instrText>
      </w:r>
      <w:r w:rsidRPr="00463386">
        <w:rPr>
          <w:b w:val="0"/>
          <w:noProof/>
          <w:sz w:val="18"/>
        </w:rPr>
      </w:r>
      <w:r w:rsidRPr="00463386">
        <w:rPr>
          <w:b w:val="0"/>
          <w:noProof/>
          <w:sz w:val="18"/>
        </w:rPr>
        <w:fldChar w:fldCharType="separate"/>
      </w:r>
      <w:r w:rsidR="00A50F83">
        <w:rPr>
          <w:b w:val="0"/>
          <w:noProof/>
          <w:sz w:val="18"/>
        </w:rPr>
        <w:t>39</w:t>
      </w:r>
      <w:r w:rsidRPr="00463386">
        <w:rPr>
          <w:b w:val="0"/>
          <w:noProof/>
          <w:sz w:val="18"/>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49</w:t>
      </w:r>
      <w:r>
        <w:rPr>
          <w:noProof/>
        </w:rPr>
        <w:tab/>
        <w:t>Compliance and audit arrangements</w:t>
      </w:r>
      <w:r w:rsidRPr="00463386">
        <w:rPr>
          <w:noProof/>
        </w:rPr>
        <w:tab/>
      </w:r>
      <w:r w:rsidRPr="00463386">
        <w:rPr>
          <w:noProof/>
        </w:rPr>
        <w:fldChar w:fldCharType="begin"/>
      </w:r>
      <w:r w:rsidRPr="00463386">
        <w:rPr>
          <w:noProof/>
        </w:rPr>
        <w:instrText xml:space="preserve"> PAGEREF _Toc53558993 \h </w:instrText>
      </w:r>
      <w:r w:rsidRPr="00463386">
        <w:rPr>
          <w:noProof/>
        </w:rPr>
      </w:r>
      <w:r w:rsidRPr="00463386">
        <w:rPr>
          <w:noProof/>
        </w:rPr>
        <w:fldChar w:fldCharType="separate"/>
      </w:r>
      <w:r w:rsidR="00A50F83">
        <w:rPr>
          <w:noProof/>
        </w:rPr>
        <w:t>39</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50</w:t>
      </w:r>
      <w:r>
        <w:rPr>
          <w:noProof/>
        </w:rPr>
        <w:tab/>
        <w:t>PBS Safety Net</w:t>
      </w:r>
      <w:r w:rsidRPr="00463386">
        <w:rPr>
          <w:noProof/>
        </w:rPr>
        <w:tab/>
      </w:r>
      <w:r w:rsidRPr="00463386">
        <w:rPr>
          <w:noProof/>
        </w:rPr>
        <w:fldChar w:fldCharType="begin"/>
      </w:r>
      <w:r w:rsidRPr="00463386">
        <w:rPr>
          <w:noProof/>
        </w:rPr>
        <w:instrText xml:space="preserve"> PAGEREF _Toc53558994 \h </w:instrText>
      </w:r>
      <w:r w:rsidRPr="00463386">
        <w:rPr>
          <w:noProof/>
        </w:rPr>
      </w:r>
      <w:r w:rsidRPr="00463386">
        <w:rPr>
          <w:noProof/>
        </w:rPr>
        <w:fldChar w:fldCharType="separate"/>
      </w:r>
      <w:r w:rsidR="00A50F83">
        <w:rPr>
          <w:noProof/>
        </w:rPr>
        <w:t>39</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51</w:t>
      </w:r>
      <w:r>
        <w:rPr>
          <w:noProof/>
        </w:rPr>
        <w:tab/>
        <w:t>Application of Act and Part VII instruments to approved suppliers and prescriptions etc</w:t>
      </w:r>
      <w:r w:rsidRPr="00463386">
        <w:rPr>
          <w:noProof/>
        </w:rPr>
        <w:tab/>
      </w:r>
      <w:r w:rsidRPr="00463386">
        <w:rPr>
          <w:noProof/>
        </w:rPr>
        <w:fldChar w:fldCharType="begin"/>
      </w:r>
      <w:r w:rsidRPr="00463386">
        <w:rPr>
          <w:noProof/>
        </w:rPr>
        <w:instrText xml:space="preserve"> PAGEREF _Toc53558995 \h </w:instrText>
      </w:r>
      <w:r w:rsidRPr="00463386">
        <w:rPr>
          <w:noProof/>
        </w:rPr>
      </w:r>
      <w:r w:rsidRPr="00463386">
        <w:rPr>
          <w:noProof/>
        </w:rPr>
        <w:fldChar w:fldCharType="separate"/>
      </w:r>
      <w:r w:rsidR="00A50F83">
        <w:rPr>
          <w:noProof/>
        </w:rPr>
        <w:t>39</w:t>
      </w:r>
      <w:r w:rsidRPr="00463386">
        <w:rPr>
          <w:noProof/>
        </w:rPr>
        <w:fldChar w:fldCharType="end"/>
      </w:r>
    </w:p>
    <w:p w:rsidR="00463386" w:rsidRDefault="00463386">
      <w:pPr>
        <w:pStyle w:val="TOC2"/>
        <w:rPr>
          <w:rFonts w:asciiTheme="minorHAnsi" w:eastAsiaTheme="minorEastAsia" w:hAnsiTheme="minorHAnsi" w:cstheme="minorBidi"/>
          <w:b w:val="0"/>
          <w:noProof/>
          <w:kern w:val="0"/>
          <w:sz w:val="22"/>
          <w:szCs w:val="22"/>
        </w:rPr>
      </w:pPr>
      <w:r>
        <w:rPr>
          <w:noProof/>
        </w:rPr>
        <w:t>Part 8</w:t>
      </w:r>
      <w:r w:rsidRPr="00783190">
        <w:rPr>
          <w:noProof/>
          <w:color w:val="000000"/>
        </w:rPr>
        <w:t>—</w:t>
      </w:r>
      <w:r>
        <w:rPr>
          <w:noProof/>
        </w:rPr>
        <w:t>Approval of certain hospital authorities</w:t>
      </w:r>
      <w:r w:rsidRPr="00463386">
        <w:rPr>
          <w:b w:val="0"/>
          <w:noProof/>
          <w:sz w:val="18"/>
        </w:rPr>
        <w:tab/>
      </w:r>
      <w:r w:rsidRPr="00463386">
        <w:rPr>
          <w:b w:val="0"/>
          <w:noProof/>
          <w:sz w:val="18"/>
        </w:rPr>
        <w:fldChar w:fldCharType="begin"/>
      </w:r>
      <w:r w:rsidRPr="00463386">
        <w:rPr>
          <w:b w:val="0"/>
          <w:noProof/>
          <w:sz w:val="18"/>
        </w:rPr>
        <w:instrText xml:space="preserve"> PAGEREF _Toc53558996 \h </w:instrText>
      </w:r>
      <w:r w:rsidRPr="00463386">
        <w:rPr>
          <w:b w:val="0"/>
          <w:noProof/>
          <w:sz w:val="18"/>
        </w:rPr>
      </w:r>
      <w:r w:rsidRPr="00463386">
        <w:rPr>
          <w:b w:val="0"/>
          <w:noProof/>
          <w:sz w:val="18"/>
        </w:rPr>
        <w:fldChar w:fldCharType="separate"/>
      </w:r>
      <w:r w:rsidR="00A50F83">
        <w:rPr>
          <w:b w:val="0"/>
          <w:noProof/>
          <w:sz w:val="18"/>
        </w:rPr>
        <w:t>41</w:t>
      </w:r>
      <w:r w:rsidRPr="00463386">
        <w:rPr>
          <w:b w:val="0"/>
          <w:noProof/>
          <w:sz w:val="18"/>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52</w:t>
      </w:r>
      <w:r>
        <w:rPr>
          <w:noProof/>
        </w:rPr>
        <w:tab/>
        <w:t>Approval of certain public hospital authorities</w:t>
      </w:r>
      <w:r w:rsidRPr="00463386">
        <w:rPr>
          <w:noProof/>
        </w:rPr>
        <w:tab/>
      </w:r>
      <w:r w:rsidRPr="00463386">
        <w:rPr>
          <w:noProof/>
        </w:rPr>
        <w:fldChar w:fldCharType="begin"/>
      </w:r>
      <w:r w:rsidRPr="00463386">
        <w:rPr>
          <w:noProof/>
        </w:rPr>
        <w:instrText xml:space="preserve"> PAGEREF _Toc53558997 \h </w:instrText>
      </w:r>
      <w:r w:rsidRPr="00463386">
        <w:rPr>
          <w:noProof/>
        </w:rPr>
      </w:r>
      <w:r w:rsidRPr="00463386">
        <w:rPr>
          <w:noProof/>
        </w:rPr>
        <w:fldChar w:fldCharType="separate"/>
      </w:r>
      <w:r w:rsidR="00A50F83">
        <w:rPr>
          <w:noProof/>
        </w:rPr>
        <w:t>41</w:t>
      </w:r>
      <w:r w:rsidRPr="00463386">
        <w:rPr>
          <w:noProof/>
        </w:rPr>
        <w:fldChar w:fldCharType="end"/>
      </w:r>
    </w:p>
    <w:p w:rsidR="00463386" w:rsidRDefault="00463386">
      <w:pPr>
        <w:pStyle w:val="TOC2"/>
        <w:rPr>
          <w:rFonts w:asciiTheme="minorHAnsi" w:eastAsiaTheme="minorEastAsia" w:hAnsiTheme="minorHAnsi" w:cstheme="minorBidi"/>
          <w:b w:val="0"/>
          <w:noProof/>
          <w:kern w:val="0"/>
          <w:sz w:val="22"/>
          <w:szCs w:val="22"/>
        </w:rPr>
      </w:pPr>
      <w:r>
        <w:rPr>
          <w:noProof/>
        </w:rPr>
        <w:t>Part 9</w:t>
      </w:r>
      <w:r w:rsidRPr="00783190">
        <w:rPr>
          <w:noProof/>
          <w:color w:val="000000"/>
        </w:rPr>
        <w:t>—</w:t>
      </w:r>
      <w:r>
        <w:rPr>
          <w:noProof/>
        </w:rPr>
        <w:t>Transitional arrangements</w:t>
      </w:r>
      <w:r w:rsidRPr="00463386">
        <w:rPr>
          <w:b w:val="0"/>
          <w:noProof/>
          <w:sz w:val="18"/>
        </w:rPr>
        <w:tab/>
      </w:r>
      <w:r w:rsidRPr="00463386">
        <w:rPr>
          <w:b w:val="0"/>
          <w:noProof/>
          <w:sz w:val="18"/>
        </w:rPr>
        <w:fldChar w:fldCharType="begin"/>
      </w:r>
      <w:r w:rsidRPr="00463386">
        <w:rPr>
          <w:b w:val="0"/>
          <w:noProof/>
          <w:sz w:val="18"/>
        </w:rPr>
        <w:instrText xml:space="preserve"> PAGEREF _Toc53558998 \h </w:instrText>
      </w:r>
      <w:r w:rsidRPr="00463386">
        <w:rPr>
          <w:b w:val="0"/>
          <w:noProof/>
          <w:sz w:val="18"/>
        </w:rPr>
      </w:r>
      <w:r w:rsidRPr="00463386">
        <w:rPr>
          <w:b w:val="0"/>
          <w:noProof/>
          <w:sz w:val="18"/>
        </w:rPr>
        <w:fldChar w:fldCharType="separate"/>
      </w:r>
      <w:r w:rsidR="00A50F83">
        <w:rPr>
          <w:b w:val="0"/>
          <w:noProof/>
          <w:sz w:val="18"/>
        </w:rPr>
        <w:t>42</w:t>
      </w:r>
      <w:r w:rsidRPr="00463386">
        <w:rPr>
          <w:b w:val="0"/>
          <w:noProof/>
          <w:sz w:val="18"/>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53</w:t>
      </w:r>
      <w:r>
        <w:rPr>
          <w:noProof/>
        </w:rPr>
        <w:tab/>
        <w:t>Approvals of certain hospital authorities of public hospitals</w:t>
      </w:r>
      <w:r w:rsidRPr="00463386">
        <w:rPr>
          <w:noProof/>
        </w:rPr>
        <w:tab/>
      </w:r>
      <w:r w:rsidRPr="00463386">
        <w:rPr>
          <w:noProof/>
        </w:rPr>
        <w:fldChar w:fldCharType="begin"/>
      </w:r>
      <w:r w:rsidRPr="00463386">
        <w:rPr>
          <w:noProof/>
        </w:rPr>
        <w:instrText xml:space="preserve"> PAGEREF _Toc53558999 \h </w:instrText>
      </w:r>
      <w:r w:rsidRPr="00463386">
        <w:rPr>
          <w:noProof/>
        </w:rPr>
      </w:r>
      <w:r w:rsidRPr="00463386">
        <w:rPr>
          <w:noProof/>
        </w:rPr>
        <w:fldChar w:fldCharType="separate"/>
      </w:r>
      <w:r w:rsidR="00A50F83">
        <w:rPr>
          <w:noProof/>
        </w:rPr>
        <w:t>42</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54</w:t>
      </w:r>
      <w:r>
        <w:rPr>
          <w:noProof/>
        </w:rPr>
        <w:tab/>
        <w:t>Transitional arrangements for existing public hospital medication chart prescribing and paperless claiming</w:t>
      </w:r>
      <w:r w:rsidRPr="00463386">
        <w:rPr>
          <w:noProof/>
        </w:rPr>
        <w:tab/>
      </w:r>
      <w:r w:rsidRPr="00463386">
        <w:rPr>
          <w:noProof/>
        </w:rPr>
        <w:fldChar w:fldCharType="begin"/>
      </w:r>
      <w:r w:rsidRPr="00463386">
        <w:rPr>
          <w:noProof/>
        </w:rPr>
        <w:instrText xml:space="preserve"> PAGEREF _Toc53559000 \h </w:instrText>
      </w:r>
      <w:r w:rsidRPr="00463386">
        <w:rPr>
          <w:noProof/>
        </w:rPr>
      </w:r>
      <w:r w:rsidRPr="00463386">
        <w:rPr>
          <w:noProof/>
        </w:rPr>
        <w:fldChar w:fldCharType="separate"/>
      </w:r>
      <w:r w:rsidR="00A50F83">
        <w:rPr>
          <w:noProof/>
        </w:rPr>
        <w:t>42</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55</w:t>
      </w:r>
      <w:r>
        <w:rPr>
          <w:noProof/>
        </w:rPr>
        <w:tab/>
        <w:t>Transitional arrangements for existing non</w:t>
      </w:r>
      <w:r>
        <w:rPr>
          <w:noProof/>
        </w:rPr>
        <w:noBreakHyphen/>
        <w:t>medication chart public hospital paperless claiming</w:t>
      </w:r>
      <w:r w:rsidRPr="00463386">
        <w:rPr>
          <w:noProof/>
        </w:rPr>
        <w:tab/>
      </w:r>
      <w:r w:rsidRPr="00463386">
        <w:rPr>
          <w:noProof/>
        </w:rPr>
        <w:fldChar w:fldCharType="begin"/>
      </w:r>
      <w:r w:rsidRPr="00463386">
        <w:rPr>
          <w:noProof/>
        </w:rPr>
        <w:instrText xml:space="preserve"> PAGEREF _Toc53559001 \h </w:instrText>
      </w:r>
      <w:r w:rsidRPr="00463386">
        <w:rPr>
          <w:noProof/>
        </w:rPr>
      </w:r>
      <w:r w:rsidRPr="00463386">
        <w:rPr>
          <w:noProof/>
        </w:rPr>
        <w:fldChar w:fldCharType="separate"/>
      </w:r>
      <w:r w:rsidR="00A50F83">
        <w:rPr>
          <w:noProof/>
        </w:rPr>
        <w:t>42</w:t>
      </w:r>
      <w:r w:rsidRPr="00463386">
        <w:rPr>
          <w:noProof/>
        </w:rPr>
        <w:fldChar w:fldCharType="end"/>
      </w:r>
    </w:p>
    <w:p w:rsidR="00463386" w:rsidRDefault="00463386">
      <w:pPr>
        <w:pStyle w:val="TOC5"/>
        <w:rPr>
          <w:rFonts w:asciiTheme="minorHAnsi" w:eastAsiaTheme="minorEastAsia" w:hAnsiTheme="minorHAnsi" w:cstheme="minorBidi"/>
          <w:noProof/>
          <w:kern w:val="0"/>
          <w:sz w:val="22"/>
          <w:szCs w:val="22"/>
        </w:rPr>
      </w:pPr>
      <w:r>
        <w:rPr>
          <w:noProof/>
        </w:rPr>
        <w:t>56</w:t>
      </w:r>
      <w:r>
        <w:rPr>
          <w:noProof/>
        </w:rPr>
        <w:tab/>
        <w:t>Transitional arrangements for repeat prescriptions</w:t>
      </w:r>
      <w:r w:rsidRPr="00463386">
        <w:rPr>
          <w:noProof/>
        </w:rPr>
        <w:tab/>
      </w:r>
      <w:r w:rsidRPr="00463386">
        <w:rPr>
          <w:noProof/>
        </w:rPr>
        <w:fldChar w:fldCharType="begin"/>
      </w:r>
      <w:r w:rsidRPr="00463386">
        <w:rPr>
          <w:noProof/>
        </w:rPr>
        <w:instrText xml:space="preserve"> PAGEREF _Toc53559002 \h </w:instrText>
      </w:r>
      <w:r w:rsidRPr="00463386">
        <w:rPr>
          <w:noProof/>
        </w:rPr>
      </w:r>
      <w:r w:rsidRPr="00463386">
        <w:rPr>
          <w:noProof/>
        </w:rPr>
        <w:fldChar w:fldCharType="separate"/>
      </w:r>
      <w:r w:rsidR="00A50F83">
        <w:rPr>
          <w:noProof/>
        </w:rPr>
        <w:t>43</w:t>
      </w:r>
      <w:r w:rsidRPr="00463386">
        <w:rPr>
          <w:noProof/>
        </w:rPr>
        <w:fldChar w:fldCharType="end"/>
      </w:r>
    </w:p>
    <w:p w:rsidR="00463386" w:rsidRDefault="00463386">
      <w:pPr>
        <w:pStyle w:val="TOC1"/>
        <w:rPr>
          <w:rFonts w:asciiTheme="minorHAnsi" w:eastAsiaTheme="minorEastAsia" w:hAnsiTheme="minorHAnsi" w:cstheme="minorBidi"/>
          <w:b w:val="0"/>
          <w:noProof/>
          <w:kern w:val="0"/>
          <w:sz w:val="22"/>
          <w:szCs w:val="22"/>
        </w:rPr>
      </w:pPr>
      <w:r>
        <w:rPr>
          <w:noProof/>
        </w:rPr>
        <w:t>Schedule 1—Pharmaceutical benefits covered by this Special Arrangement and related information</w:t>
      </w:r>
      <w:r w:rsidRPr="00463386">
        <w:rPr>
          <w:b w:val="0"/>
          <w:noProof/>
          <w:sz w:val="18"/>
        </w:rPr>
        <w:tab/>
      </w:r>
      <w:r w:rsidRPr="00463386">
        <w:rPr>
          <w:b w:val="0"/>
          <w:noProof/>
          <w:sz w:val="18"/>
        </w:rPr>
        <w:fldChar w:fldCharType="begin"/>
      </w:r>
      <w:r w:rsidRPr="00463386">
        <w:rPr>
          <w:b w:val="0"/>
          <w:noProof/>
          <w:sz w:val="18"/>
        </w:rPr>
        <w:instrText xml:space="preserve"> PAGEREF _Toc53559003 \h </w:instrText>
      </w:r>
      <w:r w:rsidRPr="00463386">
        <w:rPr>
          <w:b w:val="0"/>
          <w:noProof/>
          <w:sz w:val="18"/>
        </w:rPr>
      </w:r>
      <w:r w:rsidRPr="00463386">
        <w:rPr>
          <w:b w:val="0"/>
          <w:noProof/>
          <w:sz w:val="18"/>
        </w:rPr>
        <w:fldChar w:fldCharType="separate"/>
      </w:r>
      <w:r w:rsidR="00A50F83">
        <w:rPr>
          <w:b w:val="0"/>
          <w:noProof/>
          <w:sz w:val="18"/>
        </w:rPr>
        <w:t>44</w:t>
      </w:r>
      <w:r w:rsidRPr="00463386">
        <w:rPr>
          <w:b w:val="0"/>
          <w:noProof/>
          <w:sz w:val="18"/>
        </w:rPr>
        <w:fldChar w:fldCharType="end"/>
      </w:r>
    </w:p>
    <w:p w:rsidR="00463386" w:rsidRDefault="00463386">
      <w:pPr>
        <w:pStyle w:val="TOC1"/>
        <w:rPr>
          <w:rFonts w:asciiTheme="minorHAnsi" w:eastAsiaTheme="minorEastAsia" w:hAnsiTheme="minorHAnsi" w:cstheme="minorBidi"/>
          <w:b w:val="0"/>
          <w:noProof/>
          <w:kern w:val="0"/>
          <w:sz w:val="22"/>
          <w:szCs w:val="22"/>
        </w:rPr>
      </w:pPr>
      <w:r>
        <w:rPr>
          <w:noProof/>
        </w:rPr>
        <w:t>Schedule 2—Responsible Person Codes</w:t>
      </w:r>
      <w:r w:rsidRPr="00463386">
        <w:rPr>
          <w:b w:val="0"/>
          <w:noProof/>
          <w:sz w:val="18"/>
        </w:rPr>
        <w:tab/>
      </w:r>
      <w:r w:rsidRPr="00463386">
        <w:rPr>
          <w:b w:val="0"/>
          <w:noProof/>
          <w:sz w:val="18"/>
        </w:rPr>
        <w:fldChar w:fldCharType="begin"/>
      </w:r>
      <w:r w:rsidRPr="00463386">
        <w:rPr>
          <w:b w:val="0"/>
          <w:noProof/>
          <w:sz w:val="18"/>
        </w:rPr>
        <w:instrText xml:space="preserve"> PAGEREF _Toc53559004 \h </w:instrText>
      </w:r>
      <w:r w:rsidRPr="00463386">
        <w:rPr>
          <w:b w:val="0"/>
          <w:noProof/>
          <w:sz w:val="18"/>
        </w:rPr>
      </w:r>
      <w:r w:rsidRPr="00463386">
        <w:rPr>
          <w:b w:val="0"/>
          <w:noProof/>
          <w:sz w:val="18"/>
        </w:rPr>
        <w:fldChar w:fldCharType="separate"/>
      </w:r>
      <w:r w:rsidR="00A50F83">
        <w:rPr>
          <w:b w:val="0"/>
          <w:noProof/>
          <w:sz w:val="18"/>
        </w:rPr>
        <w:t>124</w:t>
      </w:r>
      <w:r w:rsidRPr="00463386">
        <w:rPr>
          <w:b w:val="0"/>
          <w:noProof/>
          <w:sz w:val="18"/>
        </w:rPr>
        <w:fldChar w:fldCharType="end"/>
      </w:r>
    </w:p>
    <w:p w:rsidR="00463386" w:rsidRDefault="00463386">
      <w:pPr>
        <w:pStyle w:val="TOC1"/>
        <w:rPr>
          <w:rFonts w:asciiTheme="minorHAnsi" w:eastAsiaTheme="minorEastAsia" w:hAnsiTheme="minorHAnsi" w:cstheme="minorBidi"/>
          <w:b w:val="0"/>
          <w:noProof/>
          <w:kern w:val="0"/>
          <w:sz w:val="22"/>
          <w:szCs w:val="22"/>
        </w:rPr>
      </w:pPr>
      <w:r>
        <w:rPr>
          <w:noProof/>
        </w:rPr>
        <w:t>Schedule 3—Circumstances and Purposes Codes</w:t>
      </w:r>
      <w:r w:rsidRPr="00463386">
        <w:rPr>
          <w:b w:val="0"/>
          <w:noProof/>
          <w:sz w:val="18"/>
        </w:rPr>
        <w:tab/>
      </w:r>
      <w:r w:rsidRPr="00463386">
        <w:rPr>
          <w:b w:val="0"/>
          <w:noProof/>
          <w:sz w:val="18"/>
        </w:rPr>
        <w:fldChar w:fldCharType="begin"/>
      </w:r>
      <w:r w:rsidRPr="00463386">
        <w:rPr>
          <w:b w:val="0"/>
          <w:noProof/>
          <w:sz w:val="18"/>
        </w:rPr>
        <w:instrText xml:space="preserve"> PAGEREF _Toc53559005 \h </w:instrText>
      </w:r>
      <w:r w:rsidRPr="00463386">
        <w:rPr>
          <w:b w:val="0"/>
          <w:noProof/>
          <w:sz w:val="18"/>
        </w:rPr>
      </w:r>
      <w:r w:rsidRPr="00463386">
        <w:rPr>
          <w:b w:val="0"/>
          <w:noProof/>
          <w:sz w:val="18"/>
        </w:rPr>
        <w:fldChar w:fldCharType="separate"/>
      </w:r>
      <w:r w:rsidR="00A50F83">
        <w:rPr>
          <w:b w:val="0"/>
          <w:noProof/>
          <w:sz w:val="18"/>
        </w:rPr>
        <w:t>126</w:t>
      </w:r>
      <w:r w:rsidRPr="00463386">
        <w:rPr>
          <w:b w:val="0"/>
          <w:noProof/>
          <w:sz w:val="18"/>
        </w:rPr>
        <w:fldChar w:fldCharType="end"/>
      </w:r>
    </w:p>
    <w:p w:rsidR="00463386" w:rsidRDefault="00463386">
      <w:pPr>
        <w:pStyle w:val="TOC1"/>
        <w:rPr>
          <w:rFonts w:asciiTheme="minorHAnsi" w:eastAsiaTheme="minorEastAsia" w:hAnsiTheme="minorHAnsi" w:cstheme="minorBidi"/>
          <w:b w:val="0"/>
          <w:noProof/>
          <w:kern w:val="0"/>
          <w:sz w:val="22"/>
          <w:szCs w:val="22"/>
        </w:rPr>
      </w:pPr>
      <w:r>
        <w:rPr>
          <w:noProof/>
        </w:rPr>
        <w:t>Schedule 3 Part 1</w:t>
      </w:r>
      <w:r w:rsidRPr="00783190">
        <w:rPr>
          <w:noProof/>
          <w:color w:val="000000"/>
        </w:rPr>
        <w:t>—</w:t>
      </w:r>
      <w:r>
        <w:rPr>
          <w:noProof/>
        </w:rPr>
        <w:t>General statement for drugs for the treatment of hepatitis C</w:t>
      </w:r>
      <w:r w:rsidRPr="00463386">
        <w:rPr>
          <w:b w:val="0"/>
          <w:noProof/>
          <w:sz w:val="18"/>
        </w:rPr>
        <w:tab/>
      </w:r>
      <w:r w:rsidRPr="00463386">
        <w:rPr>
          <w:b w:val="0"/>
          <w:noProof/>
          <w:sz w:val="18"/>
        </w:rPr>
        <w:fldChar w:fldCharType="begin"/>
      </w:r>
      <w:r w:rsidRPr="00463386">
        <w:rPr>
          <w:b w:val="0"/>
          <w:noProof/>
          <w:sz w:val="18"/>
        </w:rPr>
        <w:instrText xml:space="preserve"> PAGEREF _Toc53559006 \h </w:instrText>
      </w:r>
      <w:r w:rsidRPr="00463386">
        <w:rPr>
          <w:b w:val="0"/>
          <w:noProof/>
          <w:sz w:val="18"/>
        </w:rPr>
      </w:r>
      <w:r w:rsidRPr="00463386">
        <w:rPr>
          <w:b w:val="0"/>
          <w:noProof/>
          <w:sz w:val="18"/>
        </w:rPr>
        <w:fldChar w:fldCharType="separate"/>
      </w:r>
      <w:r w:rsidR="00A50F83">
        <w:rPr>
          <w:b w:val="0"/>
          <w:noProof/>
          <w:sz w:val="18"/>
        </w:rPr>
        <w:t>496</w:t>
      </w:r>
      <w:r w:rsidRPr="00463386">
        <w:rPr>
          <w:b w:val="0"/>
          <w:noProof/>
          <w:sz w:val="18"/>
        </w:rPr>
        <w:fldChar w:fldCharType="end"/>
      </w:r>
    </w:p>
    <w:p w:rsidR="00463386" w:rsidRDefault="00463386">
      <w:pPr>
        <w:pStyle w:val="TOC1"/>
        <w:rPr>
          <w:rFonts w:asciiTheme="minorHAnsi" w:eastAsiaTheme="minorEastAsia" w:hAnsiTheme="minorHAnsi" w:cstheme="minorBidi"/>
          <w:b w:val="0"/>
          <w:noProof/>
          <w:kern w:val="0"/>
          <w:sz w:val="22"/>
          <w:szCs w:val="22"/>
        </w:rPr>
      </w:pPr>
      <w:r>
        <w:rPr>
          <w:noProof/>
        </w:rPr>
        <w:t>Schedule 4—Patient contributions</w:t>
      </w:r>
      <w:r w:rsidRPr="00463386">
        <w:rPr>
          <w:b w:val="0"/>
          <w:noProof/>
          <w:sz w:val="18"/>
        </w:rPr>
        <w:tab/>
      </w:r>
      <w:r w:rsidRPr="00463386">
        <w:rPr>
          <w:b w:val="0"/>
          <w:noProof/>
          <w:sz w:val="18"/>
        </w:rPr>
        <w:fldChar w:fldCharType="begin"/>
      </w:r>
      <w:r w:rsidRPr="00463386">
        <w:rPr>
          <w:b w:val="0"/>
          <w:noProof/>
          <w:sz w:val="18"/>
        </w:rPr>
        <w:instrText xml:space="preserve"> PAGEREF _Toc53559007 \h </w:instrText>
      </w:r>
      <w:r w:rsidRPr="00463386">
        <w:rPr>
          <w:b w:val="0"/>
          <w:noProof/>
          <w:sz w:val="18"/>
        </w:rPr>
      </w:r>
      <w:r w:rsidRPr="00463386">
        <w:rPr>
          <w:b w:val="0"/>
          <w:noProof/>
          <w:sz w:val="18"/>
        </w:rPr>
        <w:fldChar w:fldCharType="separate"/>
      </w:r>
      <w:r w:rsidR="00A50F83">
        <w:rPr>
          <w:b w:val="0"/>
          <w:noProof/>
          <w:sz w:val="18"/>
        </w:rPr>
        <w:t>502</w:t>
      </w:r>
      <w:r w:rsidRPr="00463386">
        <w:rPr>
          <w:b w:val="0"/>
          <w:noProof/>
          <w:sz w:val="18"/>
        </w:rPr>
        <w:fldChar w:fldCharType="end"/>
      </w:r>
    </w:p>
    <w:p w:rsidR="00463386" w:rsidRDefault="00463386">
      <w:pPr>
        <w:pStyle w:val="TOC1"/>
        <w:rPr>
          <w:rFonts w:asciiTheme="minorHAnsi" w:eastAsiaTheme="minorEastAsia" w:hAnsiTheme="minorHAnsi" w:cstheme="minorBidi"/>
          <w:b w:val="0"/>
          <w:noProof/>
          <w:kern w:val="0"/>
          <w:sz w:val="22"/>
          <w:szCs w:val="22"/>
        </w:rPr>
      </w:pPr>
      <w:r>
        <w:rPr>
          <w:noProof/>
        </w:rPr>
        <w:t>Schedule 5—HSD pharmaceutical benefits with modified prescription circumstances during COVID</w:t>
      </w:r>
      <w:r>
        <w:rPr>
          <w:noProof/>
        </w:rPr>
        <w:noBreakHyphen/>
        <w:t>19 pandemic</w:t>
      </w:r>
      <w:r w:rsidRPr="00463386">
        <w:rPr>
          <w:b w:val="0"/>
          <w:noProof/>
          <w:sz w:val="18"/>
        </w:rPr>
        <w:tab/>
      </w:r>
      <w:r w:rsidRPr="00463386">
        <w:rPr>
          <w:b w:val="0"/>
          <w:noProof/>
          <w:sz w:val="18"/>
        </w:rPr>
        <w:fldChar w:fldCharType="begin"/>
      </w:r>
      <w:r w:rsidRPr="00463386">
        <w:rPr>
          <w:b w:val="0"/>
          <w:noProof/>
          <w:sz w:val="18"/>
        </w:rPr>
        <w:instrText xml:space="preserve"> PAGEREF _Toc53559008 \h </w:instrText>
      </w:r>
      <w:r w:rsidRPr="00463386">
        <w:rPr>
          <w:b w:val="0"/>
          <w:noProof/>
          <w:sz w:val="18"/>
        </w:rPr>
      </w:r>
      <w:r w:rsidRPr="00463386">
        <w:rPr>
          <w:b w:val="0"/>
          <w:noProof/>
          <w:sz w:val="18"/>
        </w:rPr>
        <w:fldChar w:fldCharType="separate"/>
      </w:r>
      <w:r w:rsidR="00A50F83">
        <w:rPr>
          <w:b w:val="0"/>
          <w:noProof/>
          <w:sz w:val="18"/>
        </w:rPr>
        <w:t>503</w:t>
      </w:r>
      <w:r w:rsidRPr="00463386">
        <w:rPr>
          <w:b w:val="0"/>
          <w:noProof/>
          <w:sz w:val="18"/>
        </w:rPr>
        <w:fldChar w:fldCharType="end"/>
      </w:r>
    </w:p>
    <w:p w:rsidR="00463386" w:rsidRDefault="00463386" w:rsidP="00463386">
      <w:pPr>
        <w:pStyle w:val="TOC2"/>
        <w:rPr>
          <w:rFonts w:asciiTheme="minorHAnsi" w:eastAsiaTheme="minorEastAsia" w:hAnsiTheme="minorHAnsi" w:cstheme="minorBidi"/>
          <w:b w:val="0"/>
          <w:noProof/>
          <w:kern w:val="0"/>
          <w:sz w:val="22"/>
          <w:szCs w:val="22"/>
        </w:rPr>
      </w:pPr>
      <w:r>
        <w:rPr>
          <w:noProof/>
        </w:rPr>
        <w:t>Endnotes</w:t>
      </w:r>
      <w:r w:rsidRPr="00463386">
        <w:rPr>
          <w:b w:val="0"/>
          <w:noProof/>
          <w:sz w:val="18"/>
        </w:rPr>
        <w:tab/>
      </w:r>
      <w:r w:rsidRPr="00463386">
        <w:rPr>
          <w:b w:val="0"/>
          <w:noProof/>
          <w:sz w:val="18"/>
        </w:rPr>
        <w:fldChar w:fldCharType="begin"/>
      </w:r>
      <w:r w:rsidRPr="00463386">
        <w:rPr>
          <w:b w:val="0"/>
          <w:noProof/>
          <w:sz w:val="18"/>
        </w:rPr>
        <w:instrText xml:space="preserve"> PAGEREF _Toc53559009 \h </w:instrText>
      </w:r>
      <w:r w:rsidRPr="00463386">
        <w:rPr>
          <w:b w:val="0"/>
          <w:noProof/>
          <w:sz w:val="18"/>
        </w:rPr>
      </w:r>
      <w:r w:rsidRPr="00463386">
        <w:rPr>
          <w:b w:val="0"/>
          <w:noProof/>
          <w:sz w:val="18"/>
        </w:rPr>
        <w:fldChar w:fldCharType="separate"/>
      </w:r>
      <w:r w:rsidR="00A50F83">
        <w:rPr>
          <w:b w:val="0"/>
          <w:noProof/>
          <w:sz w:val="18"/>
        </w:rPr>
        <w:t>506</w:t>
      </w:r>
      <w:r w:rsidRPr="00463386">
        <w:rPr>
          <w:b w:val="0"/>
          <w:noProof/>
          <w:sz w:val="18"/>
        </w:rPr>
        <w:fldChar w:fldCharType="end"/>
      </w:r>
    </w:p>
    <w:p w:rsidR="00463386" w:rsidRDefault="00463386">
      <w:pPr>
        <w:pStyle w:val="TOC3"/>
        <w:rPr>
          <w:rFonts w:asciiTheme="minorHAnsi" w:eastAsiaTheme="minorEastAsia" w:hAnsiTheme="minorHAnsi" w:cstheme="minorBidi"/>
          <w:b w:val="0"/>
          <w:noProof/>
          <w:kern w:val="0"/>
          <w:szCs w:val="22"/>
        </w:rPr>
      </w:pPr>
      <w:r>
        <w:rPr>
          <w:noProof/>
        </w:rPr>
        <w:t>Endnote 1—About the endnotes</w:t>
      </w:r>
      <w:r w:rsidRPr="00463386">
        <w:rPr>
          <w:b w:val="0"/>
          <w:noProof/>
          <w:sz w:val="18"/>
        </w:rPr>
        <w:tab/>
      </w:r>
      <w:r w:rsidRPr="00463386">
        <w:rPr>
          <w:b w:val="0"/>
          <w:noProof/>
          <w:sz w:val="18"/>
        </w:rPr>
        <w:fldChar w:fldCharType="begin"/>
      </w:r>
      <w:r w:rsidRPr="00463386">
        <w:rPr>
          <w:b w:val="0"/>
          <w:noProof/>
          <w:sz w:val="18"/>
        </w:rPr>
        <w:instrText xml:space="preserve"> PAGEREF _Toc53559010 \h </w:instrText>
      </w:r>
      <w:r w:rsidRPr="00463386">
        <w:rPr>
          <w:b w:val="0"/>
          <w:noProof/>
          <w:sz w:val="18"/>
        </w:rPr>
      </w:r>
      <w:r w:rsidRPr="00463386">
        <w:rPr>
          <w:b w:val="0"/>
          <w:noProof/>
          <w:sz w:val="18"/>
        </w:rPr>
        <w:fldChar w:fldCharType="separate"/>
      </w:r>
      <w:r w:rsidR="00A50F83">
        <w:rPr>
          <w:b w:val="0"/>
          <w:noProof/>
          <w:sz w:val="18"/>
        </w:rPr>
        <w:t>506</w:t>
      </w:r>
      <w:r w:rsidRPr="00463386">
        <w:rPr>
          <w:b w:val="0"/>
          <w:noProof/>
          <w:sz w:val="18"/>
        </w:rPr>
        <w:fldChar w:fldCharType="end"/>
      </w:r>
    </w:p>
    <w:p w:rsidR="00463386" w:rsidRDefault="00463386">
      <w:pPr>
        <w:pStyle w:val="TOC3"/>
        <w:rPr>
          <w:rFonts w:asciiTheme="minorHAnsi" w:eastAsiaTheme="minorEastAsia" w:hAnsiTheme="minorHAnsi" w:cstheme="minorBidi"/>
          <w:b w:val="0"/>
          <w:noProof/>
          <w:kern w:val="0"/>
          <w:szCs w:val="22"/>
        </w:rPr>
      </w:pPr>
      <w:r>
        <w:rPr>
          <w:noProof/>
        </w:rPr>
        <w:t>Endnote 2—Abbreviation key</w:t>
      </w:r>
      <w:r w:rsidRPr="00463386">
        <w:rPr>
          <w:b w:val="0"/>
          <w:noProof/>
          <w:sz w:val="18"/>
        </w:rPr>
        <w:tab/>
      </w:r>
      <w:r w:rsidRPr="00463386">
        <w:rPr>
          <w:b w:val="0"/>
          <w:noProof/>
          <w:sz w:val="18"/>
        </w:rPr>
        <w:fldChar w:fldCharType="begin"/>
      </w:r>
      <w:r w:rsidRPr="00463386">
        <w:rPr>
          <w:b w:val="0"/>
          <w:noProof/>
          <w:sz w:val="18"/>
        </w:rPr>
        <w:instrText xml:space="preserve"> PAGEREF _Toc53559011 \h </w:instrText>
      </w:r>
      <w:r w:rsidRPr="00463386">
        <w:rPr>
          <w:b w:val="0"/>
          <w:noProof/>
          <w:sz w:val="18"/>
        </w:rPr>
      </w:r>
      <w:r w:rsidRPr="00463386">
        <w:rPr>
          <w:b w:val="0"/>
          <w:noProof/>
          <w:sz w:val="18"/>
        </w:rPr>
        <w:fldChar w:fldCharType="separate"/>
      </w:r>
      <w:r w:rsidR="00A50F83">
        <w:rPr>
          <w:b w:val="0"/>
          <w:noProof/>
          <w:sz w:val="18"/>
        </w:rPr>
        <w:t>507</w:t>
      </w:r>
      <w:r w:rsidRPr="00463386">
        <w:rPr>
          <w:b w:val="0"/>
          <w:noProof/>
          <w:sz w:val="18"/>
        </w:rPr>
        <w:fldChar w:fldCharType="end"/>
      </w:r>
    </w:p>
    <w:p w:rsidR="00463386" w:rsidRDefault="00463386">
      <w:pPr>
        <w:pStyle w:val="TOC3"/>
        <w:rPr>
          <w:rFonts w:asciiTheme="minorHAnsi" w:eastAsiaTheme="minorEastAsia" w:hAnsiTheme="minorHAnsi" w:cstheme="minorBidi"/>
          <w:b w:val="0"/>
          <w:noProof/>
          <w:kern w:val="0"/>
          <w:szCs w:val="22"/>
        </w:rPr>
      </w:pPr>
      <w:r>
        <w:rPr>
          <w:noProof/>
        </w:rPr>
        <w:t>Endnote 3—Legislation history</w:t>
      </w:r>
      <w:r w:rsidRPr="00463386">
        <w:rPr>
          <w:b w:val="0"/>
          <w:noProof/>
          <w:sz w:val="18"/>
        </w:rPr>
        <w:tab/>
      </w:r>
      <w:r w:rsidRPr="00463386">
        <w:rPr>
          <w:b w:val="0"/>
          <w:noProof/>
          <w:sz w:val="18"/>
        </w:rPr>
        <w:fldChar w:fldCharType="begin"/>
      </w:r>
      <w:r w:rsidRPr="00463386">
        <w:rPr>
          <w:b w:val="0"/>
          <w:noProof/>
          <w:sz w:val="18"/>
        </w:rPr>
        <w:instrText xml:space="preserve"> PAGEREF _Toc53559012 \h </w:instrText>
      </w:r>
      <w:r w:rsidRPr="00463386">
        <w:rPr>
          <w:b w:val="0"/>
          <w:noProof/>
          <w:sz w:val="18"/>
        </w:rPr>
      </w:r>
      <w:r w:rsidRPr="00463386">
        <w:rPr>
          <w:b w:val="0"/>
          <w:noProof/>
          <w:sz w:val="18"/>
        </w:rPr>
        <w:fldChar w:fldCharType="separate"/>
      </w:r>
      <w:r w:rsidR="00A50F83">
        <w:rPr>
          <w:b w:val="0"/>
          <w:noProof/>
          <w:sz w:val="18"/>
        </w:rPr>
        <w:t>508</w:t>
      </w:r>
      <w:r w:rsidRPr="00463386">
        <w:rPr>
          <w:b w:val="0"/>
          <w:noProof/>
          <w:sz w:val="18"/>
        </w:rPr>
        <w:fldChar w:fldCharType="end"/>
      </w:r>
    </w:p>
    <w:p w:rsidR="00463386" w:rsidRDefault="00463386">
      <w:pPr>
        <w:pStyle w:val="TOC3"/>
        <w:rPr>
          <w:rFonts w:asciiTheme="minorHAnsi" w:eastAsiaTheme="minorEastAsia" w:hAnsiTheme="minorHAnsi" w:cstheme="minorBidi"/>
          <w:b w:val="0"/>
          <w:noProof/>
          <w:kern w:val="0"/>
          <w:szCs w:val="22"/>
        </w:rPr>
      </w:pPr>
      <w:r>
        <w:rPr>
          <w:noProof/>
        </w:rPr>
        <w:t>Endnote 4—Amendment history</w:t>
      </w:r>
      <w:r w:rsidRPr="00463386">
        <w:rPr>
          <w:b w:val="0"/>
          <w:noProof/>
          <w:sz w:val="18"/>
        </w:rPr>
        <w:tab/>
      </w:r>
      <w:r w:rsidRPr="00463386">
        <w:rPr>
          <w:b w:val="0"/>
          <w:noProof/>
          <w:sz w:val="18"/>
        </w:rPr>
        <w:fldChar w:fldCharType="begin"/>
      </w:r>
      <w:r w:rsidRPr="00463386">
        <w:rPr>
          <w:b w:val="0"/>
          <w:noProof/>
          <w:sz w:val="18"/>
        </w:rPr>
        <w:instrText xml:space="preserve"> PAGEREF _Toc53559013 \h </w:instrText>
      </w:r>
      <w:r w:rsidRPr="00463386">
        <w:rPr>
          <w:b w:val="0"/>
          <w:noProof/>
          <w:sz w:val="18"/>
        </w:rPr>
      </w:r>
      <w:r w:rsidRPr="00463386">
        <w:rPr>
          <w:b w:val="0"/>
          <w:noProof/>
          <w:sz w:val="18"/>
        </w:rPr>
        <w:fldChar w:fldCharType="separate"/>
      </w:r>
      <w:r w:rsidR="00A50F83">
        <w:rPr>
          <w:b w:val="0"/>
          <w:noProof/>
          <w:sz w:val="18"/>
        </w:rPr>
        <w:t>514</w:t>
      </w:r>
      <w:r w:rsidRPr="00463386">
        <w:rPr>
          <w:b w:val="0"/>
          <w:noProof/>
          <w:sz w:val="18"/>
        </w:rPr>
        <w:fldChar w:fldCharType="end"/>
      </w:r>
    </w:p>
    <w:p w:rsidR="00787ADC" w:rsidRPr="00E106BD" w:rsidRDefault="00394757" w:rsidP="00FF558F">
      <w:pPr>
        <w:keepNext/>
        <w:keepLines/>
        <w:ind w:right="1792"/>
        <w:sectPr w:rsidR="00787ADC" w:rsidRPr="00E106BD" w:rsidSect="00AF69B5">
          <w:headerReference w:type="even" r:id="rId16"/>
          <w:headerReference w:type="default" r:id="rId17"/>
          <w:footerReference w:type="even" r:id="rId18"/>
          <w:footerReference w:type="default" r:id="rId19"/>
          <w:headerReference w:type="first" r:id="rId20"/>
          <w:footerReference w:type="first" r:id="rId21"/>
          <w:pgSz w:w="11907" w:h="16839"/>
          <w:pgMar w:top="2381" w:right="1797" w:bottom="1440" w:left="1797" w:header="720" w:footer="709" w:gutter="0"/>
          <w:pgNumType w:fmt="lowerRoman" w:start="1"/>
          <w:cols w:space="708"/>
          <w:docGrid w:linePitch="360"/>
        </w:sectPr>
      </w:pPr>
      <w:r w:rsidRPr="00E106BD">
        <w:rPr>
          <w:rFonts w:cs="Times New Roman"/>
          <w:sz w:val="18"/>
        </w:rPr>
        <w:fldChar w:fldCharType="end"/>
      </w:r>
      <w:bookmarkStart w:id="1" w:name="OPCSB_ContentA4"/>
    </w:p>
    <w:p w:rsidR="00A869FA" w:rsidRPr="00E106BD" w:rsidRDefault="00295F4A" w:rsidP="004E4760">
      <w:pPr>
        <w:pStyle w:val="ActHead2"/>
        <w:keepNext w:val="0"/>
        <w:keepLines w:val="0"/>
      </w:pPr>
      <w:bookmarkStart w:id="2" w:name="_Toc53558931"/>
      <w:bookmarkEnd w:id="1"/>
      <w:r w:rsidRPr="00E106BD">
        <w:rPr>
          <w:rStyle w:val="CharPartNo"/>
        </w:rPr>
        <w:t>Part</w:t>
      </w:r>
      <w:r w:rsidR="00E106BD">
        <w:rPr>
          <w:rStyle w:val="CharPartNo"/>
        </w:rPr>
        <w:t> </w:t>
      </w:r>
      <w:r w:rsidR="00A869FA" w:rsidRPr="00E106BD">
        <w:rPr>
          <w:rStyle w:val="CharPartNo"/>
        </w:rPr>
        <w:t>1</w:t>
      </w:r>
      <w:r w:rsidRPr="00E106BD">
        <w:rPr>
          <w:color w:val="000000"/>
        </w:rPr>
        <w:t>—</w:t>
      </w:r>
      <w:r w:rsidR="00A869FA" w:rsidRPr="00E106BD">
        <w:rPr>
          <w:rStyle w:val="CharPartText"/>
        </w:rPr>
        <w:t>Preliminary</w:t>
      </w:r>
      <w:bookmarkEnd w:id="2"/>
    </w:p>
    <w:p w:rsidR="00A869FA" w:rsidRPr="00E106BD" w:rsidRDefault="00295F4A" w:rsidP="004E4760">
      <w:pPr>
        <w:pStyle w:val="ActHead3"/>
        <w:keepNext w:val="0"/>
        <w:keepLines w:val="0"/>
      </w:pPr>
      <w:bookmarkStart w:id="3" w:name="_Toc53558932"/>
      <w:r w:rsidRPr="00E106BD">
        <w:rPr>
          <w:rStyle w:val="CharDivNo"/>
        </w:rPr>
        <w:t>Division</w:t>
      </w:r>
      <w:r w:rsidR="00E106BD">
        <w:rPr>
          <w:rStyle w:val="CharDivNo"/>
        </w:rPr>
        <w:t> </w:t>
      </w:r>
      <w:r w:rsidR="00A869FA" w:rsidRPr="00E106BD">
        <w:rPr>
          <w:rStyle w:val="CharDivNo"/>
        </w:rPr>
        <w:t>1</w:t>
      </w:r>
      <w:r w:rsidRPr="00E106BD">
        <w:t>—</w:t>
      </w:r>
      <w:r w:rsidR="00A869FA" w:rsidRPr="00E106BD">
        <w:rPr>
          <w:rStyle w:val="CharDivText"/>
        </w:rPr>
        <w:t>General</w:t>
      </w:r>
      <w:bookmarkEnd w:id="3"/>
    </w:p>
    <w:p w:rsidR="00A869FA" w:rsidRPr="00E106BD" w:rsidRDefault="00A869FA" w:rsidP="004E4760">
      <w:pPr>
        <w:pStyle w:val="ActHead5"/>
        <w:keepNext w:val="0"/>
        <w:keepLines w:val="0"/>
        <w:rPr>
          <w:sz w:val="18"/>
        </w:rPr>
      </w:pPr>
      <w:bookmarkStart w:id="4" w:name="_Toc53558933"/>
      <w:r w:rsidRPr="00E106BD">
        <w:rPr>
          <w:rStyle w:val="CharSectno"/>
        </w:rPr>
        <w:t>1</w:t>
      </w:r>
      <w:r w:rsidR="00295F4A" w:rsidRPr="00E106BD">
        <w:t xml:space="preserve">  </w:t>
      </w:r>
      <w:r w:rsidRPr="00E106BD">
        <w:t>Name of Special Arrangement</w:t>
      </w:r>
      <w:bookmarkEnd w:id="4"/>
    </w:p>
    <w:p w:rsidR="005066C1" w:rsidRPr="00E106BD" w:rsidRDefault="005066C1" w:rsidP="005066C1">
      <w:pPr>
        <w:pStyle w:val="subsection"/>
      </w:pPr>
      <w:r w:rsidRPr="00E106BD">
        <w:tab/>
      </w:r>
      <w:r w:rsidR="00055EFA" w:rsidRPr="00E106BD">
        <w:rPr>
          <w:color w:val="000000"/>
          <w:szCs w:val="24"/>
        </w:rPr>
        <w:t>(1)</w:t>
      </w:r>
      <w:r w:rsidRPr="00E106BD">
        <w:tab/>
        <w:t>This Special Arrangement is the</w:t>
      </w:r>
      <w:r w:rsidRPr="00E106BD">
        <w:rPr>
          <w:i/>
        </w:rPr>
        <w:t xml:space="preserve"> National Health (Highly specialised drugs program) Special Arrangement 2010</w:t>
      </w:r>
      <w:r w:rsidRPr="00E106BD">
        <w:t>.</w:t>
      </w:r>
    </w:p>
    <w:p w:rsidR="00A869FA" w:rsidRPr="00E106BD" w:rsidRDefault="00A869FA" w:rsidP="004E4760">
      <w:pPr>
        <w:pStyle w:val="subsection"/>
      </w:pPr>
      <w:r w:rsidRPr="00E106BD">
        <w:rPr>
          <w:color w:val="000000"/>
          <w:szCs w:val="24"/>
        </w:rPr>
        <w:tab/>
        <w:t>(2)</w:t>
      </w:r>
      <w:r w:rsidRPr="00E106BD">
        <w:rPr>
          <w:color w:val="000000"/>
          <w:szCs w:val="24"/>
        </w:rPr>
        <w:tab/>
        <w:t>This Special Arrangement may also be cited as PB 116 of 2010.</w:t>
      </w:r>
    </w:p>
    <w:p w:rsidR="00A869FA" w:rsidRPr="00E106BD" w:rsidRDefault="00A869FA" w:rsidP="004E4760">
      <w:pPr>
        <w:pStyle w:val="ActHead5"/>
        <w:keepNext w:val="0"/>
        <w:keepLines w:val="0"/>
      </w:pPr>
      <w:bookmarkStart w:id="5" w:name="_Toc53558934"/>
      <w:r w:rsidRPr="00E106BD">
        <w:rPr>
          <w:rStyle w:val="CharSectno"/>
        </w:rPr>
        <w:t>4</w:t>
      </w:r>
      <w:r w:rsidR="00295F4A" w:rsidRPr="00E106BD">
        <w:t xml:space="preserve">  </w:t>
      </w:r>
      <w:r w:rsidRPr="00E106BD">
        <w:t>Definitions</w:t>
      </w:r>
      <w:bookmarkEnd w:id="5"/>
    </w:p>
    <w:p w:rsidR="00A869FA" w:rsidRPr="00E106BD" w:rsidRDefault="00A869FA" w:rsidP="004E4760">
      <w:pPr>
        <w:pStyle w:val="subsection"/>
      </w:pPr>
      <w:r w:rsidRPr="00E106BD">
        <w:rPr>
          <w:szCs w:val="24"/>
        </w:rPr>
        <w:tab/>
      </w:r>
      <w:r w:rsidRPr="00E106BD">
        <w:rPr>
          <w:szCs w:val="24"/>
        </w:rPr>
        <w:tab/>
        <w:t>In this Special Arrangement:</w:t>
      </w:r>
    </w:p>
    <w:p w:rsidR="00A869FA" w:rsidRPr="00E106BD" w:rsidRDefault="00A869FA" w:rsidP="004E4760">
      <w:pPr>
        <w:pStyle w:val="Definition"/>
      </w:pPr>
      <w:r w:rsidRPr="00E106BD">
        <w:rPr>
          <w:b/>
          <w:i/>
          <w:szCs w:val="24"/>
        </w:rPr>
        <w:t>ABN</w:t>
      </w:r>
      <w:r w:rsidRPr="00E106BD">
        <w:rPr>
          <w:b/>
          <w:szCs w:val="24"/>
        </w:rPr>
        <w:t xml:space="preserve"> </w:t>
      </w:r>
      <w:r w:rsidRPr="00E106BD">
        <w:rPr>
          <w:szCs w:val="24"/>
        </w:rPr>
        <w:t xml:space="preserve">has the same meaning as in the </w:t>
      </w:r>
      <w:r w:rsidRPr="00E106BD">
        <w:rPr>
          <w:i/>
          <w:szCs w:val="24"/>
        </w:rPr>
        <w:t>A New Tax System (Australian Business Number) Act 1999</w:t>
      </w:r>
      <w:r w:rsidRPr="00E106BD">
        <w:rPr>
          <w:szCs w:val="24"/>
        </w:rPr>
        <w:t>.</w:t>
      </w:r>
    </w:p>
    <w:p w:rsidR="00F518DC" w:rsidRPr="00E106BD" w:rsidRDefault="00F518DC" w:rsidP="00F518DC">
      <w:pPr>
        <w:pStyle w:val="Definition"/>
      </w:pPr>
      <w:r w:rsidRPr="00E106BD">
        <w:rPr>
          <w:b/>
          <w:bCs/>
          <w:i/>
          <w:iCs/>
        </w:rPr>
        <w:t>accredited prescriber of medication for the treatment of hepatitis B</w:t>
      </w:r>
      <w:r w:rsidRPr="00E106BD">
        <w:t xml:space="preserve"> means a medical practitioner</w:t>
      </w:r>
      <w:r w:rsidR="00CA7652" w:rsidRPr="00E106BD">
        <w:t>, or an authorised nurse practitioner,</w:t>
      </w:r>
      <w:r w:rsidRPr="00E106BD">
        <w:t xml:space="preserve"> approved by a State or Territory to prescribe medication for the treatment of hepatitis B for this Special Arrangement.</w:t>
      </w:r>
    </w:p>
    <w:p w:rsidR="00A869FA" w:rsidRPr="00E106BD" w:rsidRDefault="00A869FA" w:rsidP="004E4760">
      <w:pPr>
        <w:pStyle w:val="Definition"/>
      </w:pPr>
      <w:r w:rsidRPr="00E106BD">
        <w:rPr>
          <w:b/>
          <w:bCs/>
          <w:i/>
          <w:iCs/>
        </w:rPr>
        <w:t xml:space="preserve">accredited prescriber of medication for the treatment of </w:t>
      </w:r>
      <w:r w:rsidR="001A6D4D" w:rsidRPr="00E106BD">
        <w:rPr>
          <w:b/>
          <w:bCs/>
          <w:i/>
          <w:iCs/>
        </w:rPr>
        <w:t xml:space="preserve">hepatitis </w:t>
      </w:r>
      <w:r w:rsidRPr="00E106BD">
        <w:rPr>
          <w:b/>
          <w:bCs/>
          <w:i/>
          <w:iCs/>
        </w:rPr>
        <w:t>C</w:t>
      </w:r>
      <w:r w:rsidRPr="00E106BD">
        <w:t xml:space="preserve"> means a medical practitioner</w:t>
      </w:r>
      <w:r w:rsidR="00CA7652" w:rsidRPr="00E106BD">
        <w:t>, or an authorised nurse practitioner,</w:t>
      </w:r>
      <w:r w:rsidRPr="00E106BD">
        <w:t xml:space="preserve"> approved by a State or Territory to prescribe medication for the treatment of </w:t>
      </w:r>
      <w:r w:rsidR="001A6D4D" w:rsidRPr="00E106BD">
        <w:t xml:space="preserve">hepatitis </w:t>
      </w:r>
      <w:r w:rsidRPr="00E106BD">
        <w:t>C for this Special Arrangement.</w:t>
      </w:r>
    </w:p>
    <w:p w:rsidR="00A869FA" w:rsidRPr="00E106BD" w:rsidRDefault="00A869FA" w:rsidP="004E4760">
      <w:pPr>
        <w:pStyle w:val="Definition"/>
      </w:pPr>
      <w:r w:rsidRPr="00E106BD">
        <w:rPr>
          <w:b/>
          <w:bCs/>
          <w:i/>
          <w:iCs/>
        </w:rPr>
        <w:t>accredited prescriber of medication for the treatment of HIV or AIDS</w:t>
      </w:r>
      <w:r w:rsidRPr="00E106BD">
        <w:t xml:space="preserve"> means a medical practitioner</w:t>
      </w:r>
      <w:r w:rsidR="00CA7652" w:rsidRPr="00E106BD">
        <w:t>, or an authorised nurse practitioner,</w:t>
      </w:r>
      <w:r w:rsidRPr="00E106BD">
        <w:t xml:space="preserve"> approved by a State or Territory to prescribe medication for the treatment of HIV or AIDS for this Special Arrangement.</w:t>
      </w:r>
    </w:p>
    <w:p w:rsidR="00F518DC" w:rsidRPr="00E106BD" w:rsidRDefault="00F518DC" w:rsidP="00F518DC">
      <w:pPr>
        <w:pStyle w:val="Definition"/>
      </w:pPr>
      <w:r w:rsidRPr="00E106BD">
        <w:rPr>
          <w:b/>
          <w:bCs/>
          <w:i/>
          <w:iCs/>
        </w:rPr>
        <w:t>accredited prescriber of medication for the treatment of</w:t>
      </w:r>
      <w:r w:rsidRPr="00E106BD">
        <w:rPr>
          <w:b/>
          <w:i/>
        </w:rPr>
        <w:t xml:space="preserve"> schizophrenia</w:t>
      </w:r>
      <w:r w:rsidRPr="00E106BD">
        <w:t xml:space="preserve"> means a medical practitioner approved by a State or Territory to prescribe medication for the treatment of schizophrenia for this Special Arrangement.</w:t>
      </w:r>
    </w:p>
    <w:p w:rsidR="00A869FA" w:rsidRPr="00E106BD" w:rsidRDefault="00A869FA" w:rsidP="004E4760">
      <w:pPr>
        <w:pStyle w:val="Definition"/>
        <w:rPr>
          <w:b/>
          <w:i/>
          <w:color w:val="000000"/>
        </w:rPr>
      </w:pPr>
      <w:r w:rsidRPr="00E106BD">
        <w:rPr>
          <w:b/>
          <w:bCs/>
          <w:i/>
          <w:iCs/>
          <w:color w:val="000000"/>
        </w:rPr>
        <w:t>Act</w:t>
      </w:r>
      <w:r w:rsidRPr="00E106BD">
        <w:rPr>
          <w:color w:val="000000"/>
        </w:rPr>
        <w:t xml:space="preserve"> means the </w:t>
      </w:r>
      <w:r w:rsidRPr="00E106BD">
        <w:rPr>
          <w:i/>
          <w:iCs/>
          <w:color w:val="000000"/>
        </w:rPr>
        <w:t>National Health Act 1953</w:t>
      </w:r>
      <w:r w:rsidRPr="00E106BD">
        <w:rPr>
          <w:color w:val="000000"/>
        </w:rPr>
        <w:t>.</w:t>
      </w:r>
    </w:p>
    <w:p w:rsidR="00A869FA" w:rsidRPr="00E106BD" w:rsidRDefault="00A869FA" w:rsidP="004E4760">
      <w:pPr>
        <w:pStyle w:val="Definition"/>
        <w:rPr>
          <w:color w:val="000000"/>
        </w:rPr>
      </w:pPr>
      <w:r w:rsidRPr="00E106BD">
        <w:rPr>
          <w:b/>
          <w:i/>
          <w:color w:val="000000"/>
        </w:rPr>
        <w:t>affiliated specialist medical practitioner</w:t>
      </w:r>
      <w:r w:rsidRPr="00E106BD">
        <w:rPr>
          <w:color w:val="000000"/>
        </w:rPr>
        <w:t xml:space="preserve"> means a medical practitioner who:</w:t>
      </w:r>
    </w:p>
    <w:p w:rsidR="00A869FA" w:rsidRPr="00E106BD" w:rsidRDefault="00A869FA" w:rsidP="004E4760">
      <w:pPr>
        <w:pStyle w:val="paragraph"/>
      </w:pPr>
      <w:r w:rsidRPr="00E106BD">
        <w:rPr>
          <w:szCs w:val="24"/>
        </w:rPr>
        <w:tab/>
        <w:t>(a)</w:t>
      </w:r>
      <w:r w:rsidRPr="00E106BD">
        <w:rPr>
          <w:szCs w:val="24"/>
        </w:rPr>
        <w:tab/>
        <w:t>is affiliated with the hospital at or from which the patient is receiving treatment; and</w:t>
      </w:r>
    </w:p>
    <w:p w:rsidR="00A869FA" w:rsidRPr="00E106BD" w:rsidRDefault="00A56D30" w:rsidP="004E4760">
      <w:pPr>
        <w:pStyle w:val="paragraph"/>
      </w:pPr>
      <w:r w:rsidRPr="00E106BD">
        <w:tab/>
      </w:r>
      <w:r w:rsidR="00A869FA" w:rsidRPr="00E106BD">
        <w:t>(b)</w:t>
      </w:r>
      <w:r w:rsidRPr="00E106BD">
        <w:tab/>
      </w:r>
      <w:r w:rsidR="00A869FA" w:rsidRPr="00E106BD">
        <w:t>is either:</w:t>
      </w:r>
    </w:p>
    <w:p w:rsidR="00A869FA" w:rsidRPr="00E106BD" w:rsidRDefault="00A869FA" w:rsidP="004E4760">
      <w:pPr>
        <w:pStyle w:val="paragraphsub"/>
      </w:pPr>
      <w:r w:rsidRPr="00E106BD">
        <w:rPr>
          <w:szCs w:val="24"/>
        </w:rPr>
        <w:tab/>
        <w:t>(i)</w:t>
      </w:r>
      <w:r w:rsidRPr="00E106BD">
        <w:rPr>
          <w:szCs w:val="24"/>
        </w:rPr>
        <w:tab/>
        <w:t>a staff hospital specialist; or</w:t>
      </w:r>
    </w:p>
    <w:p w:rsidR="00A869FA" w:rsidRPr="00E106BD" w:rsidRDefault="00A869FA" w:rsidP="004E4760">
      <w:pPr>
        <w:pStyle w:val="paragraphsub"/>
      </w:pPr>
      <w:r w:rsidRPr="00E106BD">
        <w:tab/>
        <w:t>(ii)</w:t>
      </w:r>
      <w:r w:rsidRPr="00E106BD">
        <w:tab/>
        <w:t>a visiting or consulting specialist of the hospital.</w:t>
      </w:r>
    </w:p>
    <w:p w:rsidR="00A869FA" w:rsidRPr="00E106BD" w:rsidRDefault="00A869FA" w:rsidP="004E4760">
      <w:pPr>
        <w:pStyle w:val="Definition"/>
      </w:pPr>
      <w:r w:rsidRPr="00E106BD">
        <w:rPr>
          <w:b/>
          <w:bCs/>
          <w:i/>
          <w:iCs/>
          <w:color w:val="000000"/>
          <w:szCs w:val="24"/>
        </w:rPr>
        <w:t>approved hospital authority</w:t>
      </w:r>
      <w:r w:rsidRPr="00E106BD">
        <w:rPr>
          <w:szCs w:val="24"/>
        </w:rPr>
        <w:t>, for a hospital, means the hospital authority for the hospital that:</w:t>
      </w:r>
    </w:p>
    <w:p w:rsidR="00A869FA" w:rsidRPr="00E106BD" w:rsidRDefault="00A95289" w:rsidP="004E4760">
      <w:pPr>
        <w:pStyle w:val="paragraph"/>
      </w:pPr>
      <w:r w:rsidRPr="00E106BD">
        <w:tab/>
      </w:r>
      <w:r w:rsidR="00A869FA" w:rsidRPr="00E106BD">
        <w:t>(a)</w:t>
      </w:r>
      <w:r w:rsidR="00A869FA" w:rsidRPr="00E106BD">
        <w:tab/>
        <w:t>is approved:</w:t>
      </w:r>
    </w:p>
    <w:p w:rsidR="00A869FA" w:rsidRPr="00E106BD" w:rsidRDefault="00A869FA" w:rsidP="004E4760">
      <w:pPr>
        <w:pStyle w:val="paragraphsub"/>
      </w:pPr>
      <w:r w:rsidRPr="00E106BD">
        <w:rPr>
          <w:szCs w:val="24"/>
        </w:rPr>
        <w:tab/>
        <w:t>(i)</w:t>
      </w:r>
      <w:r w:rsidRPr="00E106BD">
        <w:rPr>
          <w:szCs w:val="24"/>
        </w:rPr>
        <w:tab/>
        <w:t>by the Minister under section</w:t>
      </w:r>
      <w:r w:rsidR="00E106BD">
        <w:rPr>
          <w:szCs w:val="24"/>
        </w:rPr>
        <w:t> </w:t>
      </w:r>
      <w:r w:rsidRPr="00E106BD">
        <w:rPr>
          <w:szCs w:val="24"/>
        </w:rPr>
        <w:t>94 of the Act; or</w:t>
      </w:r>
    </w:p>
    <w:p w:rsidR="00A869FA" w:rsidRPr="00E106BD" w:rsidRDefault="00A869FA" w:rsidP="004E4760">
      <w:pPr>
        <w:pStyle w:val="paragraphsub"/>
      </w:pPr>
      <w:r w:rsidRPr="00E106BD">
        <w:tab/>
        <w:t>(ii)</w:t>
      </w:r>
      <w:r w:rsidRPr="00E106BD">
        <w:tab/>
        <w:t xml:space="preserve">by the </w:t>
      </w:r>
      <w:r w:rsidR="00376D5A" w:rsidRPr="00E106BD">
        <w:t>Secretary</w:t>
      </w:r>
      <w:r w:rsidR="00C051BF" w:rsidRPr="00E106BD">
        <w:t xml:space="preserve"> </w:t>
      </w:r>
      <w:r w:rsidRPr="00E106BD">
        <w:t>under section</w:t>
      </w:r>
      <w:r w:rsidR="00E106BD">
        <w:t> </w:t>
      </w:r>
      <w:r w:rsidRPr="00E106BD">
        <w:t>52 of this Special Arrangement; or</w:t>
      </w:r>
    </w:p>
    <w:p w:rsidR="00A869FA" w:rsidRPr="00E106BD" w:rsidRDefault="00A869FA" w:rsidP="004E4760">
      <w:pPr>
        <w:pStyle w:val="paragraph"/>
      </w:pPr>
      <w:r w:rsidRPr="00E106BD">
        <w:rPr>
          <w:color w:val="000000"/>
          <w:szCs w:val="24"/>
        </w:rPr>
        <w:tab/>
        <w:t>(b)</w:t>
      </w:r>
      <w:r w:rsidRPr="00E106BD">
        <w:rPr>
          <w:color w:val="000000"/>
          <w:szCs w:val="24"/>
        </w:rPr>
        <w:tab/>
        <w:t>was approved under section</w:t>
      </w:r>
      <w:r w:rsidR="00E106BD">
        <w:rPr>
          <w:color w:val="000000"/>
          <w:szCs w:val="24"/>
        </w:rPr>
        <w:t> </w:t>
      </w:r>
      <w:r w:rsidRPr="00E106BD">
        <w:rPr>
          <w:color w:val="000000"/>
          <w:szCs w:val="24"/>
        </w:rPr>
        <w:t xml:space="preserve">52 of the </w:t>
      </w:r>
      <w:r w:rsidRPr="00E106BD">
        <w:rPr>
          <w:i/>
          <w:color w:val="000000"/>
          <w:szCs w:val="24"/>
        </w:rPr>
        <w:t>National Health (Highly specialised drugs program for public hospitals) Special Arrangements Instrument 2010</w:t>
      </w:r>
      <w:r w:rsidRPr="00E106BD">
        <w:rPr>
          <w:color w:val="000000"/>
          <w:szCs w:val="24"/>
        </w:rPr>
        <w:t xml:space="preserve"> and the approval:</w:t>
      </w:r>
    </w:p>
    <w:p w:rsidR="00A869FA" w:rsidRPr="00E106BD" w:rsidRDefault="00A869FA" w:rsidP="004E4760">
      <w:pPr>
        <w:pStyle w:val="paragraphsub"/>
      </w:pPr>
      <w:r w:rsidRPr="00E106BD">
        <w:rPr>
          <w:szCs w:val="24"/>
        </w:rPr>
        <w:tab/>
        <w:t>(i)</w:t>
      </w:r>
      <w:r w:rsidRPr="00E106BD">
        <w:rPr>
          <w:szCs w:val="24"/>
        </w:rPr>
        <w:tab/>
        <w:t>is not suspended; or</w:t>
      </w:r>
    </w:p>
    <w:p w:rsidR="00A869FA" w:rsidRPr="00E106BD" w:rsidRDefault="00A869FA" w:rsidP="004E4760">
      <w:pPr>
        <w:pStyle w:val="paragraphsub"/>
      </w:pPr>
      <w:r w:rsidRPr="00E106BD">
        <w:tab/>
        <w:t>(ii)</w:t>
      </w:r>
      <w:r w:rsidRPr="00E106BD">
        <w:tab/>
        <w:t>has not been revoked.</w:t>
      </w:r>
    </w:p>
    <w:p w:rsidR="00A869FA" w:rsidRPr="00E106BD" w:rsidRDefault="00295F4A" w:rsidP="004E4760">
      <w:pPr>
        <w:pStyle w:val="notetext"/>
      </w:pPr>
      <w:r w:rsidRPr="00E106BD">
        <w:t>Note:</w:t>
      </w:r>
      <w:r w:rsidRPr="00E106BD">
        <w:tab/>
      </w:r>
      <w:r w:rsidR="00A869FA" w:rsidRPr="00E106BD">
        <w:t xml:space="preserve">The Instrument mentioned in </w:t>
      </w:r>
      <w:r w:rsidR="00E106BD">
        <w:t>paragraph (</w:t>
      </w:r>
      <w:r w:rsidR="00A869FA" w:rsidRPr="00E106BD">
        <w:t>b) is also known as PB 63 of 2010.</w:t>
      </w:r>
    </w:p>
    <w:p w:rsidR="00D67FF3" w:rsidRPr="00E106BD" w:rsidRDefault="00D67FF3" w:rsidP="00D67FF3">
      <w:pPr>
        <w:pStyle w:val="Definition"/>
        <w:rPr>
          <w:b/>
        </w:rPr>
      </w:pPr>
      <w:r w:rsidRPr="00E106BD">
        <w:rPr>
          <w:b/>
          <w:i/>
        </w:rPr>
        <w:t xml:space="preserve">approved private hospital </w:t>
      </w:r>
      <w:r w:rsidRPr="00E106BD">
        <w:rPr>
          <w:szCs w:val="22"/>
        </w:rPr>
        <w:t>means a private hospital that has an approved hospital authority.</w:t>
      </w:r>
    </w:p>
    <w:p w:rsidR="00A869FA" w:rsidRPr="00E106BD" w:rsidRDefault="00A869FA" w:rsidP="004E4760">
      <w:pPr>
        <w:pStyle w:val="Definition"/>
      </w:pPr>
      <w:r w:rsidRPr="00E106BD">
        <w:rPr>
          <w:b/>
          <w:bCs/>
          <w:i/>
          <w:iCs/>
          <w:color w:val="000000"/>
          <w:szCs w:val="24"/>
        </w:rPr>
        <w:t>approved public hospital</w:t>
      </w:r>
      <w:r w:rsidRPr="00E106BD">
        <w:rPr>
          <w:color w:val="000000"/>
          <w:szCs w:val="24"/>
        </w:rPr>
        <w:t xml:space="preserve"> means a public hospital that has an approved hospital authority.</w:t>
      </w:r>
    </w:p>
    <w:p w:rsidR="00CA7652" w:rsidRPr="00E106BD" w:rsidRDefault="00CA7652" w:rsidP="00CA7652">
      <w:pPr>
        <w:pStyle w:val="Definition"/>
      </w:pPr>
      <w:r w:rsidRPr="00E106BD">
        <w:rPr>
          <w:b/>
          <w:i/>
        </w:rPr>
        <w:t>authorised nurse practitioner</w:t>
      </w:r>
      <w:r w:rsidRPr="00E106BD">
        <w:t xml:space="preserve"> has the same meaning as in Part VII of the Act.</w:t>
      </w:r>
    </w:p>
    <w:p w:rsidR="00CA7652" w:rsidRPr="00E106BD" w:rsidRDefault="00CA7652" w:rsidP="00CA7652">
      <w:pPr>
        <w:pStyle w:val="Definition"/>
      </w:pPr>
      <w:r w:rsidRPr="00E106BD">
        <w:rPr>
          <w:b/>
          <w:i/>
        </w:rPr>
        <w:t>authorised prescriber</w:t>
      </w:r>
      <w:r w:rsidRPr="00E106BD">
        <w:t xml:space="preserve"> has the meaning given by section</w:t>
      </w:r>
      <w:r w:rsidR="00E106BD">
        <w:t> </w:t>
      </w:r>
      <w:r w:rsidRPr="00E106BD">
        <w:t>4A.</w:t>
      </w:r>
    </w:p>
    <w:p w:rsidR="00A869FA" w:rsidRPr="00E106BD" w:rsidRDefault="00A869FA" w:rsidP="004E4760">
      <w:pPr>
        <w:pStyle w:val="Definition"/>
      </w:pPr>
      <w:r w:rsidRPr="00E106BD">
        <w:rPr>
          <w:b/>
          <w:bCs/>
          <w:i/>
          <w:iCs/>
          <w:color w:val="000000"/>
          <w:szCs w:val="24"/>
        </w:rPr>
        <w:t>benefit card</w:t>
      </w:r>
      <w:r w:rsidRPr="00E106BD">
        <w:rPr>
          <w:szCs w:val="24"/>
        </w:rPr>
        <w:t xml:space="preserve"> means any of the following:</w:t>
      </w:r>
    </w:p>
    <w:p w:rsidR="00A869FA" w:rsidRPr="00E106BD" w:rsidRDefault="00A869FA" w:rsidP="004E4760">
      <w:pPr>
        <w:pStyle w:val="paragraph"/>
      </w:pPr>
      <w:r w:rsidRPr="00E106BD">
        <w:rPr>
          <w:color w:val="000000"/>
          <w:szCs w:val="24"/>
        </w:rPr>
        <w:tab/>
        <w:t>(a)</w:t>
      </w:r>
      <w:r w:rsidRPr="00E106BD">
        <w:rPr>
          <w:color w:val="000000"/>
          <w:szCs w:val="24"/>
        </w:rPr>
        <w:tab/>
        <w:t>a PBS Entitlement Card;</w:t>
      </w:r>
    </w:p>
    <w:p w:rsidR="00A869FA" w:rsidRPr="00E106BD" w:rsidRDefault="00A869FA" w:rsidP="004E4760">
      <w:pPr>
        <w:pStyle w:val="paragraph"/>
      </w:pPr>
      <w:r w:rsidRPr="00E106BD">
        <w:tab/>
        <w:t>(b)</w:t>
      </w:r>
      <w:r w:rsidRPr="00E106BD">
        <w:tab/>
        <w:t>a PBS Safety Net Concession Card;</w:t>
      </w:r>
    </w:p>
    <w:p w:rsidR="00A869FA" w:rsidRPr="00E106BD" w:rsidRDefault="00A869FA" w:rsidP="004E4760">
      <w:pPr>
        <w:pStyle w:val="paragraph"/>
      </w:pPr>
      <w:r w:rsidRPr="00E106BD">
        <w:tab/>
        <w:t>(c)</w:t>
      </w:r>
      <w:r w:rsidRPr="00E106BD">
        <w:tab/>
        <w:t>a Pensioner Concession Card;</w:t>
      </w:r>
    </w:p>
    <w:p w:rsidR="00A869FA" w:rsidRPr="00E106BD" w:rsidRDefault="00A869FA" w:rsidP="004E4760">
      <w:pPr>
        <w:pStyle w:val="paragraph"/>
      </w:pPr>
      <w:r w:rsidRPr="00E106BD">
        <w:tab/>
        <w:t>(d)</w:t>
      </w:r>
      <w:r w:rsidRPr="00E106BD">
        <w:tab/>
        <w:t>a Health Care Card (including Low Income Health Care Card and Foster Child Health Care Card);</w:t>
      </w:r>
    </w:p>
    <w:p w:rsidR="00A869FA" w:rsidRPr="00E106BD" w:rsidRDefault="00A869FA" w:rsidP="004E4760">
      <w:pPr>
        <w:pStyle w:val="paragraph"/>
      </w:pPr>
      <w:r w:rsidRPr="00E106BD">
        <w:tab/>
        <w:t>(e)</w:t>
      </w:r>
      <w:r w:rsidRPr="00E106BD">
        <w:tab/>
        <w:t>a Commonwealth Seniors Health Card;</w:t>
      </w:r>
    </w:p>
    <w:p w:rsidR="00A869FA" w:rsidRPr="00E106BD" w:rsidRDefault="00A869FA" w:rsidP="004E4760">
      <w:pPr>
        <w:pStyle w:val="paragraph"/>
      </w:pPr>
      <w:r w:rsidRPr="00E106BD">
        <w:tab/>
        <w:t>(f)</w:t>
      </w:r>
      <w:r w:rsidRPr="00E106BD">
        <w:tab/>
        <w:t>a Cleft Lip and Palate Card;</w:t>
      </w:r>
    </w:p>
    <w:p w:rsidR="00A869FA" w:rsidRPr="00E106BD" w:rsidRDefault="00A869FA" w:rsidP="004E4760">
      <w:pPr>
        <w:pStyle w:val="paragraph"/>
      </w:pPr>
      <w:r w:rsidRPr="00E106BD">
        <w:tab/>
        <w:t>(g)</w:t>
      </w:r>
      <w:r w:rsidRPr="00E106BD">
        <w:tab/>
        <w:t>a DVA Gold Card;</w:t>
      </w:r>
    </w:p>
    <w:p w:rsidR="00A869FA" w:rsidRPr="00E106BD" w:rsidRDefault="00A869FA" w:rsidP="004E4760">
      <w:pPr>
        <w:pStyle w:val="paragraph"/>
      </w:pPr>
      <w:r w:rsidRPr="00E106BD">
        <w:tab/>
        <w:t>(h)</w:t>
      </w:r>
      <w:r w:rsidRPr="00E106BD">
        <w:tab/>
        <w:t>a DVA White Card;</w:t>
      </w:r>
    </w:p>
    <w:p w:rsidR="00A869FA" w:rsidRPr="00E106BD" w:rsidRDefault="00A869FA" w:rsidP="004E4760">
      <w:pPr>
        <w:pStyle w:val="paragraph"/>
      </w:pPr>
      <w:r w:rsidRPr="00E106BD">
        <w:tab/>
        <w:t>(i)</w:t>
      </w:r>
      <w:r w:rsidRPr="00E106BD">
        <w:tab/>
        <w:t>a DVA Orange Card;</w:t>
      </w:r>
    </w:p>
    <w:p w:rsidR="00A869FA" w:rsidRPr="00E106BD" w:rsidRDefault="00A869FA" w:rsidP="004E4760">
      <w:pPr>
        <w:pStyle w:val="paragraph"/>
      </w:pPr>
      <w:r w:rsidRPr="00E106BD">
        <w:tab/>
        <w:t>(j)</w:t>
      </w:r>
      <w:r w:rsidRPr="00E106BD">
        <w:tab/>
        <w:t>War Widow/Widower Transport Card;</w:t>
      </w:r>
    </w:p>
    <w:p w:rsidR="00A869FA" w:rsidRPr="00E106BD" w:rsidRDefault="00A869FA" w:rsidP="004E4760">
      <w:pPr>
        <w:pStyle w:val="paragraph"/>
      </w:pPr>
      <w:r w:rsidRPr="00E106BD">
        <w:tab/>
        <w:t>(k)</w:t>
      </w:r>
      <w:r w:rsidRPr="00E106BD">
        <w:tab/>
        <w:t xml:space="preserve">a card or voucher approved by the </w:t>
      </w:r>
      <w:r w:rsidR="00C051BF" w:rsidRPr="00E106BD">
        <w:t xml:space="preserve">Chief Executive Medicare </w:t>
      </w:r>
      <w:r w:rsidRPr="00E106BD">
        <w:t>for this paragraph.</w:t>
      </w:r>
    </w:p>
    <w:p w:rsidR="00817448" w:rsidRPr="00E106BD" w:rsidRDefault="00817448" w:rsidP="00817448">
      <w:pPr>
        <w:shd w:val="clear" w:color="auto" w:fill="FFFFFF"/>
        <w:spacing w:before="180"/>
        <w:ind w:left="567"/>
        <w:rPr>
          <w:color w:val="000000"/>
          <w:lang w:eastAsia="en-AU"/>
        </w:rPr>
      </w:pPr>
      <w:r w:rsidRPr="00E106BD">
        <w:rPr>
          <w:b/>
          <w:bCs/>
          <w:i/>
          <w:iCs/>
          <w:color w:val="000000"/>
          <w:szCs w:val="22"/>
          <w:lang w:eastAsia="en-AU"/>
        </w:rPr>
        <w:t>CAR drug</w:t>
      </w:r>
      <w:r w:rsidRPr="00E106BD">
        <w:rPr>
          <w:color w:val="000000"/>
          <w:szCs w:val="22"/>
          <w:lang w:eastAsia="en-AU"/>
        </w:rPr>
        <w:t> (Complex Authority Required drug) means any of the following highly specialised drugs:</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(a)</w:t>
      </w:r>
      <w:r w:rsidRPr="00E106BD">
        <w:rPr>
          <w:color w:val="000000"/>
          <w:sz w:val="14"/>
          <w:szCs w:val="14"/>
          <w:lang w:eastAsia="en-AU"/>
        </w:rPr>
        <w:t>          </w:t>
      </w:r>
      <w:r w:rsidRPr="00E106BD">
        <w:rPr>
          <w:color w:val="000000"/>
          <w:szCs w:val="22"/>
          <w:lang w:eastAsia="en-AU"/>
        </w:rPr>
        <w:t>abatacept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(b)</w:t>
      </w:r>
      <w:r w:rsidRPr="00E106BD">
        <w:rPr>
          <w:color w:val="000000"/>
          <w:sz w:val="14"/>
          <w:szCs w:val="14"/>
          <w:lang w:eastAsia="en-AU"/>
        </w:rPr>
        <w:t>          </w:t>
      </w:r>
      <w:r w:rsidRPr="00E106BD">
        <w:rPr>
          <w:color w:val="000000"/>
          <w:szCs w:val="22"/>
          <w:lang w:eastAsia="en-AU"/>
        </w:rPr>
        <w:t>adalimumab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(c)</w:t>
      </w:r>
      <w:r w:rsidRPr="00E106BD">
        <w:rPr>
          <w:color w:val="000000"/>
          <w:sz w:val="14"/>
          <w:szCs w:val="14"/>
          <w:lang w:eastAsia="en-AU"/>
        </w:rPr>
        <w:t>          </w:t>
      </w:r>
      <w:r w:rsidR="009D3D5C" w:rsidRPr="00037848">
        <w:t>ambrisentan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(d)</w:t>
      </w:r>
      <w:r w:rsidRPr="00E106BD">
        <w:rPr>
          <w:color w:val="000000"/>
          <w:sz w:val="14"/>
          <w:szCs w:val="14"/>
          <w:lang w:eastAsia="en-AU"/>
        </w:rPr>
        <w:t>          </w:t>
      </w:r>
      <w:r w:rsidRPr="00E106BD">
        <w:rPr>
          <w:color w:val="000000"/>
          <w:szCs w:val="22"/>
          <w:lang w:eastAsia="en-AU"/>
        </w:rPr>
        <w:t>azacitidine</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(e)</w:t>
      </w:r>
      <w:r w:rsidRPr="00E106BD">
        <w:rPr>
          <w:color w:val="000000"/>
          <w:sz w:val="14"/>
          <w:szCs w:val="14"/>
          <w:lang w:eastAsia="en-AU"/>
        </w:rPr>
        <w:t>          </w:t>
      </w:r>
      <w:r w:rsidRPr="00E106BD">
        <w:rPr>
          <w:color w:val="000000"/>
          <w:szCs w:val="22"/>
          <w:lang w:eastAsia="en-AU"/>
        </w:rPr>
        <w:t>benralizumab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(f)</w:t>
      </w:r>
      <w:r w:rsidRPr="00E106BD">
        <w:rPr>
          <w:color w:val="000000"/>
          <w:sz w:val="14"/>
          <w:szCs w:val="14"/>
          <w:lang w:eastAsia="en-AU"/>
        </w:rPr>
        <w:t>           </w:t>
      </w:r>
      <w:r w:rsidRPr="00E106BD">
        <w:rPr>
          <w:color w:val="000000"/>
          <w:szCs w:val="22"/>
          <w:lang w:eastAsia="en-AU"/>
        </w:rPr>
        <w:t>bosentan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(g)</w:t>
      </w:r>
      <w:r w:rsidRPr="00E106BD">
        <w:rPr>
          <w:color w:val="000000"/>
          <w:sz w:val="14"/>
          <w:szCs w:val="14"/>
          <w:lang w:eastAsia="en-AU"/>
        </w:rPr>
        <w:t>          </w:t>
      </w:r>
      <w:r w:rsidRPr="00E106BD">
        <w:rPr>
          <w:color w:val="000000"/>
          <w:szCs w:val="22"/>
          <w:lang w:eastAsia="en-AU"/>
        </w:rPr>
        <w:t>eculizumab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(h)</w:t>
      </w:r>
      <w:r w:rsidRPr="00E106BD">
        <w:rPr>
          <w:color w:val="000000"/>
          <w:sz w:val="14"/>
          <w:szCs w:val="14"/>
          <w:lang w:eastAsia="en-AU"/>
        </w:rPr>
        <w:t>          </w:t>
      </w:r>
      <w:r w:rsidRPr="00E106BD">
        <w:rPr>
          <w:color w:val="000000"/>
          <w:szCs w:val="22"/>
          <w:lang w:eastAsia="en-AU"/>
        </w:rPr>
        <w:t>eltrombopag</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(i)</w:t>
      </w:r>
      <w:r w:rsidRPr="00E106BD">
        <w:rPr>
          <w:color w:val="000000"/>
          <w:sz w:val="14"/>
          <w:szCs w:val="14"/>
          <w:lang w:eastAsia="en-AU"/>
        </w:rPr>
        <w:t>            </w:t>
      </w:r>
      <w:r w:rsidRPr="00E106BD">
        <w:rPr>
          <w:color w:val="000000"/>
          <w:szCs w:val="22"/>
          <w:lang w:eastAsia="en-AU"/>
        </w:rPr>
        <w:t>epoprostenol</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(j)</w:t>
      </w:r>
      <w:r w:rsidRPr="00E106BD">
        <w:rPr>
          <w:color w:val="000000"/>
          <w:sz w:val="14"/>
          <w:szCs w:val="14"/>
          <w:lang w:eastAsia="en-AU"/>
        </w:rPr>
        <w:t>            </w:t>
      </w:r>
      <w:r w:rsidRPr="00E106BD">
        <w:rPr>
          <w:color w:val="000000"/>
          <w:szCs w:val="22"/>
          <w:lang w:eastAsia="en-AU"/>
        </w:rPr>
        <w:t>etanercept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(k)</w:t>
      </w:r>
      <w:r w:rsidRPr="00E106BD">
        <w:rPr>
          <w:color w:val="000000"/>
          <w:sz w:val="14"/>
          <w:szCs w:val="14"/>
          <w:lang w:eastAsia="en-AU"/>
        </w:rPr>
        <w:t>          </w:t>
      </w:r>
      <w:r w:rsidRPr="00E106BD">
        <w:rPr>
          <w:color w:val="000000"/>
          <w:szCs w:val="22"/>
          <w:lang w:eastAsia="en-AU"/>
        </w:rPr>
        <w:t>iloprost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(l)</w:t>
      </w:r>
      <w:r w:rsidRPr="00E106BD">
        <w:rPr>
          <w:color w:val="000000"/>
          <w:sz w:val="14"/>
          <w:szCs w:val="14"/>
          <w:lang w:eastAsia="en-AU"/>
        </w:rPr>
        <w:t>            </w:t>
      </w:r>
      <w:r w:rsidRPr="00E106BD">
        <w:rPr>
          <w:color w:val="000000"/>
          <w:szCs w:val="22"/>
          <w:lang w:eastAsia="en-AU"/>
        </w:rPr>
        <w:t>infliximab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(m)</w:t>
      </w:r>
      <w:r w:rsidRPr="00E106BD">
        <w:rPr>
          <w:color w:val="000000"/>
          <w:sz w:val="14"/>
          <w:szCs w:val="14"/>
          <w:lang w:eastAsia="en-AU"/>
        </w:rPr>
        <w:t>        </w:t>
      </w:r>
      <w:r w:rsidRPr="00E106BD">
        <w:rPr>
          <w:color w:val="000000"/>
          <w:szCs w:val="22"/>
          <w:lang w:eastAsia="en-AU"/>
        </w:rPr>
        <w:t>ivacaftor</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(n)</w:t>
      </w:r>
      <w:r w:rsidRPr="00E106BD">
        <w:rPr>
          <w:color w:val="000000"/>
          <w:sz w:val="14"/>
          <w:szCs w:val="14"/>
          <w:lang w:eastAsia="en-AU"/>
        </w:rPr>
        <w:t>          </w:t>
      </w:r>
      <w:r w:rsidRPr="00E106BD">
        <w:rPr>
          <w:color w:val="000000"/>
          <w:szCs w:val="22"/>
          <w:lang w:eastAsia="en-AU"/>
        </w:rPr>
        <w:t>lenalidomide</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(o)</w:t>
      </w:r>
      <w:r w:rsidRPr="00E106BD">
        <w:rPr>
          <w:color w:val="000000"/>
          <w:sz w:val="14"/>
          <w:szCs w:val="14"/>
          <w:lang w:eastAsia="en-AU"/>
        </w:rPr>
        <w:t>          </w:t>
      </w:r>
      <w:r w:rsidRPr="00E106BD">
        <w:rPr>
          <w:color w:val="000000"/>
          <w:szCs w:val="22"/>
          <w:lang w:eastAsia="en-AU"/>
        </w:rPr>
        <w:t>lumacaftor with ivacaftor</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(p)</w:t>
      </w:r>
      <w:r w:rsidRPr="00E106BD">
        <w:rPr>
          <w:color w:val="000000"/>
          <w:sz w:val="14"/>
          <w:szCs w:val="14"/>
          <w:lang w:eastAsia="en-AU"/>
        </w:rPr>
        <w:t>          </w:t>
      </w:r>
      <w:r w:rsidRPr="00E106BD">
        <w:rPr>
          <w:color w:val="000000"/>
          <w:szCs w:val="22"/>
          <w:lang w:eastAsia="en-AU"/>
        </w:rPr>
        <w:t>macitentan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(q)</w:t>
      </w:r>
      <w:r w:rsidRPr="00E106BD">
        <w:rPr>
          <w:color w:val="000000"/>
          <w:sz w:val="14"/>
          <w:szCs w:val="14"/>
          <w:lang w:eastAsia="en-AU"/>
        </w:rPr>
        <w:t>          </w:t>
      </w:r>
      <w:r w:rsidRPr="00E106BD">
        <w:rPr>
          <w:color w:val="000000"/>
          <w:szCs w:val="22"/>
          <w:lang w:eastAsia="en-AU"/>
        </w:rPr>
        <w:t>mepolizumab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(r)</w:t>
      </w:r>
      <w:r w:rsidRPr="00E106BD">
        <w:rPr>
          <w:color w:val="000000"/>
          <w:sz w:val="14"/>
          <w:szCs w:val="14"/>
          <w:lang w:eastAsia="en-AU"/>
        </w:rPr>
        <w:t>           </w:t>
      </w:r>
      <w:r w:rsidRPr="00E106BD">
        <w:rPr>
          <w:color w:val="000000"/>
          <w:szCs w:val="22"/>
          <w:lang w:eastAsia="en-AU"/>
        </w:rPr>
        <w:t>midostaurin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(s)</w:t>
      </w:r>
      <w:r w:rsidRPr="00E106BD">
        <w:rPr>
          <w:color w:val="000000"/>
          <w:sz w:val="14"/>
          <w:szCs w:val="14"/>
          <w:lang w:eastAsia="en-AU"/>
        </w:rPr>
        <w:t>           </w:t>
      </w:r>
      <w:r w:rsidRPr="00E106BD">
        <w:rPr>
          <w:color w:val="000000"/>
          <w:szCs w:val="22"/>
          <w:lang w:eastAsia="en-AU"/>
        </w:rPr>
        <w:t>nusinersen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(t)</w:t>
      </w:r>
      <w:r w:rsidRPr="00E106BD">
        <w:rPr>
          <w:color w:val="000000"/>
          <w:sz w:val="14"/>
          <w:szCs w:val="14"/>
          <w:lang w:eastAsia="en-AU"/>
        </w:rPr>
        <w:t>            </w:t>
      </w:r>
      <w:r w:rsidRPr="00E106BD">
        <w:rPr>
          <w:color w:val="000000"/>
          <w:szCs w:val="22"/>
          <w:lang w:eastAsia="en-AU"/>
        </w:rPr>
        <w:t>omalizumab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(u)</w:t>
      </w:r>
      <w:r w:rsidRPr="00E106BD">
        <w:rPr>
          <w:color w:val="000000"/>
          <w:sz w:val="14"/>
          <w:szCs w:val="14"/>
          <w:lang w:eastAsia="en-AU"/>
        </w:rPr>
        <w:t>          </w:t>
      </w:r>
      <w:r w:rsidRPr="00E106BD">
        <w:rPr>
          <w:color w:val="000000"/>
          <w:szCs w:val="22"/>
          <w:lang w:eastAsia="en-AU"/>
        </w:rPr>
        <w:t>pasireotide</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(v)</w:t>
      </w:r>
      <w:r w:rsidRPr="00E106BD">
        <w:rPr>
          <w:color w:val="000000"/>
          <w:sz w:val="14"/>
          <w:szCs w:val="14"/>
          <w:lang w:eastAsia="en-AU"/>
        </w:rPr>
        <w:t>          </w:t>
      </w:r>
      <w:r w:rsidRPr="00E106BD">
        <w:rPr>
          <w:color w:val="000000"/>
          <w:szCs w:val="22"/>
          <w:lang w:eastAsia="en-AU"/>
        </w:rPr>
        <w:t>pegvisomant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(w)</w:t>
      </w:r>
      <w:r w:rsidRPr="00E106BD">
        <w:rPr>
          <w:color w:val="000000"/>
          <w:sz w:val="14"/>
          <w:szCs w:val="14"/>
          <w:lang w:eastAsia="en-AU"/>
        </w:rPr>
        <w:t>        </w:t>
      </w:r>
      <w:r w:rsidRPr="00E106BD">
        <w:rPr>
          <w:color w:val="000000"/>
          <w:szCs w:val="22"/>
          <w:lang w:eastAsia="en-AU"/>
        </w:rPr>
        <w:t>pomalidomide</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(x)</w:t>
      </w:r>
      <w:r w:rsidRPr="00E106BD">
        <w:rPr>
          <w:color w:val="000000"/>
          <w:sz w:val="14"/>
          <w:szCs w:val="14"/>
          <w:lang w:eastAsia="en-AU"/>
        </w:rPr>
        <w:t>          </w:t>
      </w:r>
      <w:r w:rsidRPr="00E106BD">
        <w:rPr>
          <w:color w:val="000000"/>
          <w:szCs w:val="22"/>
          <w:lang w:eastAsia="en-AU"/>
        </w:rPr>
        <w:t>riociguat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(y)</w:t>
      </w:r>
      <w:r w:rsidRPr="00E106BD">
        <w:rPr>
          <w:color w:val="000000"/>
          <w:sz w:val="14"/>
          <w:szCs w:val="14"/>
          <w:lang w:eastAsia="en-AU"/>
        </w:rPr>
        <w:t>          </w:t>
      </w:r>
      <w:r w:rsidRPr="00E106BD">
        <w:rPr>
          <w:color w:val="000000"/>
          <w:szCs w:val="22"/>
          <w:lang w:eastAsia="en-AU"/>
        </w:rPr>
        <w:t>rituximab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(z)</w:t>
      </w:r>
      <w:r w:rsidRPr="00E106BD">
        <w:rPr>
          <w:color w:val="000000"/>
          <w:sz w:val="14"/>
          <w:szCs w:val="14"/>
          <w:lang w:eastAsia="en-AU"/>
        </w:rPr>
        <w:t>          </w:t>
      </w:r>
      <w:r w:rsidRPr="00E106BD">
        <w:rPr>
          <w:color w:val="000000"/>
          <w:szCs w:val="22"/>
          <w:lang w:eastAsia="en-AU"/>
        </w:rPr>
        <w:t>romiplostim</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(aa)</w:t>
      </w:r>
      <w:r w:rsidRPr="00E106BD">
        <w:rPr>
          <w:color w:val="000000"/>
          <w:sz w:val="14"/>
          <w:szCs w:val="14"/>
          <w:lang w:eastAsia="en-AU"/>
        </w:rPr>
        <w:t>       </w:t>
      </w:r>
      <w:r w:rsidRPr="00E106BD">
        <w:rPr>
          <w:color w:val="000000"/>
          <w:szCs w:val="22"/>
          <w:lang w:eastAsia="en-AU"/>
        </w:rPr>
        <w:t>sildenafil</w:t>
      </w:r>
    </w:p>
    <w:p w:rsidR="00817448" w:rsidRPr="00E106BD" w:rsidRDefault="00817448" w:rsidP="00817448">
      <w:pPr>
        <w:shd w:val="clear" w:color="auto" w:fill="FFFFFF"/>
        <w:spacing w:before="40"/>
        <w:ind w:left="1134"/>
        <w:rPr>
          <w:color w:val="000000"/>
          <w:szCs w:val="22"/>
          <w:lang w:eastAsia="en-AU"/>
        </w:rPr>
      </w:pPr>
      <w:r w:rsidRPr="00E106BD">
        <w:rPr>
          <w:color w:val="000000"/>
          <w:szCs w:val="22"/>
          <w:lang w:eastAsia="en-AU"/>
        </w:rPr>
        <w:t>(bb)</w:t>
      </w:r>
      <w:r w:rsidRPr="00E106BD">
        <w:rPr>
          <w:color w:val="000000"/>
          <w:sz w:val="14"/>
          <w:szCs w:val="14"/>
          <w:lang w:eastAsia="en-AU"/>
        </w:rPr>
        <w:t>      </w:t>
      </w:r>
      <w:r w:rsidRPr="00E106BD">
        <w:rPr>
          <w:color w:val="000000"/>
          <w:szCs w:val="22"/>
          <w:lang w:eastAsia="en-AU"/>
        </w:rPr>
        <w:t>tadalafil</w:t>
      </w:r>
    </w:p>
    <w:p w:rsidR="00435431" w:rsidRPr="00E106BD" w:rsidRDefault="00A22F44" w:rsidP="00A22F44">
      <w:pPr>
        <w:shd w:val="clear" w:color="auto" w:fill="FFFFFF"/>
        <w:spacing w:before="40"/>
        <w:ind w:left="1134"/>
        <w:rPr>
          <w:color w:val="000000"/>
          <w:szCs w:val="22"/>
          <w:lang w:eastAsia="en-AU"/>
        </w:rPr>
      </w:pPr>
      <w:r>
        <w:rPr>
          <w:color w:val="000000"/>
          <w:szCs w:val="22"/>
          <w:lang w:eastAsia="en-AU"/>
        </w:rPr>
        <w:t>(cc)</w:t>
      </w:r>
      <w:r w:rsidRPr="00E106BD">
        <w:rPr>
          <w:color w:val="000000"/>
          <w:sz w:val="14"/>
          <w:szCs w:val="14"/>
          <w:lang w:eastAsia="en-AU"/>
        </w:rPr>
        <w:t>       </w:t>
      </w:r>
      <w:r w:rsidR="00041198" w:rsidRPr="00E106BD">
        <w:rPr>
          <w:color w:val="000000"/>
          <w:szCs w:val="22"/>
          <w:lang w:eastAsia="en-AU"/>
        </w:rPr>
        <w:t>t</w:t>
      </w:r>
      <w:r w:rsidR="00435431" w:rsidRPr="00E106BD">
        <w:rPr>
          <w:color w:val="000000"/>
          <w:szCs w:val="22"/>
          <w:lang w:eastAsia="en-AU"/>
        </w:rPr>
        <w:t>eduglutide</w:t>
      </w:r>
    </w:p>
    <w:p w:rsidR="00435431" w:rsidRPr="00E106BD" w:rsidRDefault="00A22F44" w:rsidP="00A22F44">
      <w:pPr>
        <w:shd w:val="clear" w:color="auto" w:fill="FFFFFF"/>
        <w:spacing w:before="40"/>
        <w:ind w:left="1134"/>
        <w:rPr>
          <w:color w:val="000000"/>
          <w:szCs w:val="22"/>
          <w:lang w:eastAsia="en-AU"/>
        </w:rPr>
      </w:pPr>
      <w:r>
        <w:rPr>
          <w:color w:val="000000"/>
          <w:szCs w:val="22"/>
          <w:lang w:eastAsia="en-AU"/>
        </w:rPr>
        <w:t>(dd)</w:t>
      </w:r>
      <w:r w:rsidRPr="00E106BD">
        <w:rPr>
          <w:color w:val="000000"/>
          <w:sz w:val="14"/>
          <w:szCs w:val="14"/>
          <w:lang w:eastAsia="en-AU"/>
        </w:rPr>
        <w:t>      </w:t>
      </w:r>
      <w:r w:rsidR="00041198" w:rsidRPr="00E106BD">
        <w:rPr>
          <w:color w:val="000000"/>
          <w:szCs w:val="22"/>
          <w:lang w:eastAsia="en-AU"/>
        </w:rPr>
        <w:t>t</w:t>
      </w:r>
      <w:r w:rsidR="00435431" w:rsidRPr="00E106BD">
        <w:rPr>
          <w:color w:val="000000"/>
          <w:szCs w:val="22"/>
          <w:lang w:eastAsia="en-AU"/>
        </w:rPr>
        <w:t>ezacaftor with ivacaftor and ivacaftor</w:t>
      </w:r>
    </w:p>
    <w:p w:rsidR="00435431" w:rsidRPr="00E106BD" w:rsidRDefault="00A22F44" w:rsidP="00A22F44">
      <w:pPr>
        <w:shd w:val="clear" w:color="auto" w:fill="FFFFFF"/>
        <w:spacing w:before="40"/>
        <w:ind w:left="1134"/>
        <w:rPr>
          <w:color w:val="000000"/>
          <w:szCs w:val="22"/>
          <w:lang w:eastAsia="en-AU"/>
        </w:rPr>
      </w:pPr>
      <w:r>
        <w:rPr>
          <w:color w:val="000000"/>
          <w:szCs w:val="22"/>
          <w:lang w:eastAsia="en-AU"/>
        </w:rPr>
        <w:t>(ee)</w:t>
      </w:r>
      <w:r w:rsidRPr="00E106BD">
        <w:rPr>
          <w:color w:val="000000"/>
          <w:sz w:val="14"/>
          <w:szCs w:val="14"/>
          <w:lang w:eastAsia="en-AU"/>
        </w:rPr>
        <w:t>       </w:t>
      </w:r>
      <w:r w:rsidR="00041198" w:rsidRPr="00E106BD">
        <w:rPr>
          <w:color w:val="000000"/>
          <w:szCs w:val="22"/>
          <w:lang w:eastAsia="en-AU"/>
        </w:rPr>
        <w:t>t</w:t>
      </w:r>
      <w:r w:rsidR="00435431" w:rsidRPr="00E106BD">
        <w:rPr>
          <w:color w:val="000000"/>
          <w:szCs w:val="22"/>
          <w:lang w:eastAsia="en-AU"/>
        </w:rPr>
        <w:t>ocilizumab</w:t>
      </w:r>
    </w:p>
    <w:p w:rsidR="00435431" w:rsidRPr="00E106BD" w:rsidRDefault="00A22F44" w:rsidP="00A22F44">
      <w:pPr>
        <w:shd w:val="clear" w:color="auto" w:fill="FFFFFF"/>
        <w:spacing w:before="40"/>
        <w:ind w:left="1134"/>
        <w:rPr>
          <w:color w:val="000000"/>
          <w:szCs w:val="22"/>
          <w:lang w:eastAsia="en-AU"/>
        </w:rPr>
      </w:pPr>
      <w:r>
        <w:rPr>
          <w:color w:val="000000"/>
          <w:szCs w:val="22"/>
          <w:lang w:eastAsia="en-AU"/>
        </w:rPr>
        <w:t>(ff)</w:t>
      </w:r>
      <w:r w:rsidRPr="00E106BD">
        <w:rPr>
          <w:color w:val="000000"/>
          <w:sz w:val="14"/>
          <w:szCs w:val="14"/>
          <w:lang w:eastAsia="en-AU"/>
        </w:rPr>
        <w:t>         </w:t>
      </w:r>
      <w:r w:rsidR="00041198" w:rsidRPr="00E106BD">
        <w:rPr>
          <w:color w:val="000000"/>
          <w:szCs w:val="22"/>
          <w:lang w:eastAsia="en-AU"/>
        </w:rPr>
        <w:t>u</w:t>
      </w:r>
      <w:r w:rsidR="00435431" w:rsidRPr="00E106BD">
        <w:rPr>
          <w:color w:val="000000"/>
          <w:szCs w:val="22"/>
          <w:lang w:eastAsia="en-AU"/>
        </w:rPr>
        <w:t>stekinumab</w:t>
      </w:r>
    </w:p>
    <w:p w:rsidR="00435431" w:rsidRPr="00E106BD" w:rsidRDefault="00A22F44" w:rsidP="00A22F44">
      <w:pPr>
        <w:shd w:val="clear" w:color="auto" w:fill="FFFFFF"/>
        <w:spacing w:before="40"/>
        <w:ind w:left="1134"/>
        <w:rPr>
          <w:color w:val="000000"/>
          <w:szCs w:val="22"/>
          <w:lang w:eastAsia="en-AU"/>
        </w:rPr>
      </w:pPr>
      <w:r>
        <w:rPr>
          <w:color w:val="000000"/>
          <w:szCs w:val="22"/>
          <w:lang w:eastAsia="en-AU"/>
        </w:rPr>
        <w:t>(gg)</w:t>
      </w:r>
      <w:r w:rsidRPr="00E106BD">
        <w:rPr>
          <w:color w:val="000000"/>
          <w:sz w:val="14"/>
          <w:szCs w:val="14"/>
          <w:lang w:eastAsia="en-AU"/>
        </w:rPr>
        <w:t>       </w:t>
      </w:r>
      <w:r w:rsidR="00041198" w:rsidRPr="00E106BD">
        <w:rPr>
          <w:color w:val="000000"/>
          <w:szCs w:val="22"/>
          <w:lang w:eastAsia="en-AU"/>
        </w:rPr>
        <w:t>v</w:t>
      </w:r>
      <w:r w:rsidR="00435431" w:rsidRPr="00E106BD">
        <w:rPr>
          <w:color w:val="000000"/>
          <w:szCs w:val="22"/>
          <w:lang w:eastAsia="en-AU"/>
        </w:rPr>
        <w:t>edolizumab</w:t>
      </w:r>
    </w:p>
    <w:p w:rsidR="00A869FA" w:rsidRPr="00E106BD" w:rsidRDefault="00A869FA" w:rsidP="004E4760">
      <w:pPr>
        <w:pStyle w:val="Definition"/>
      </w:pPr>
      <w:r w:rsidRPr="00E106BD">
        <w:rPr>
          <w:b/>
          <w:i/>
          <w:szCs w:val="24"/>
        </w:rPr>
        <w:t>circumstances code</w:t>
      </w:r>
      <w:r w:rsidRPr="00E106BD">
        <w:rPr>
          <w:b/>
          <w:szCs w:val="24"/>
        </w:rPr>
        <w:t xml:space="preserve"> </w:t>
      </w:r>
      <w:r w:rsidRPr="00E106BD">
        <w:rPr>
          <w:szCs w:val="24"/>
        </w:rPr>
        <w:t>means the letter ‘C’ followed by a number.</w:t>
      </w:r>
    </w:p>
    <w:p w:rsidR="00A869FA" w:rsidRPr="00E106BD" w:rsidRDefault="00A869FA" w:rsidP="004E4760">
      <w:pPr>
        <w:pStyle w:val="Definition"/>
        <w:rPr>
          <w:color w:val="000000"/>
        </w:rPr>
      </w:pPr>
      <w:r w:rsidRPr="00E106BD">
        <w:rPr>
          <w:b/>
          <w:bCs/>
          <w:i/>
          <w:iCs/>
          <w:color w:val="000000"/>
        </w:rPr>
        <w:t>Department</w:t>
      </w:r>
      <w:r w:rsidRPr="00E106BD">
        <w:rPr>
          <w:color w:val="000000"/>
        </w:rPr>
        <w:t xml:space="preserve"> means the Department administered by the Minister who administers the </w:t>
      </w:r>
      <w:r w:rsidRPr="00E106BD">
        <w:rPr>
          <w:i/>
          <w:iCs/>
          <w:color w:val="000000"/>
        </w:rPr>
        <w:t>National Health Act 1953</w:t>
      </w:r>
      <w:r w:rsidRPr="00E106BD">
        <w:rPr>
          <w:color w:val="000000"/>
        </w:rPr>
        <w:t>.</w:t>
      </w:r>
    </w:p>
    <w:p w:rsidR="00A869FA" w:rsidRPr="00E106BD" w:rsidRDefault="00A869FA" w:rsidP="004E4760">
      <w:pPr>
        <w:pStyle w:val="Definition"/>
      </w:pPr>
      <w:r w:rsidRPr="00E106BD">
        <w:rPr>
          <w:b/>
          <w:i/>
          <w:szCs w:val="24"/>
        </w:rPr>
        <w:t>dispensed price</w:t>
      </w:r>
      <w:r w:rsidRPr="00E106BD">
        <w:rPr>
          <w:szCs w:val="24"/>
        </w:rPr>
        <w:t>:</w:t>
      </w:r>
    </w:p>
    <w:p w:rsidR="00A869FA" w:rsidRPr="00E106BD" w:rsidRDefault="00A869FA" w:rsidP="004E4760">
      <w:pPr>
        <w:pStyle w:val="paragraph"/>
      </w:pPr>
      <w:r w:rsidRPr="00E106BD">
        <w:rPr>
          <w:szCs w:val="24"/>
        </w:rPr>
        <w:tab/>
        <w:t>(a)</w:t>
      </w:r>
      <w:r w:rsidRPr="00E106BD">
        <w:rPr>
          <w:szCs w:val="24"/>
        </w:rPr>
        <w:tab/>
        <w:t>for the supply of an HSD pharmaceutical benefit by a hospital authority for a public hospital</w:t>
      </w:r>
      <w:r w:rsidR="00295F4A" w:rsidRPr="00E106BD">
        <w:rPr>
          <w:szCs w:val="24"/>
        </w:rPr>
        <w:t>—</w:t>
      </w:r>
      <w:r w:rsidRPr="00E106BD">
        <w:rPr>
          <w:szCs w:val="24"/>
        </w:rPr>
        <w:t>has the meaning given by section</w:t>
      </w:r>
      <w:r w:rsidR="00E106BD">
        <w:rPr>
          <w:szCs w:val="24"/>
        </w:rPr>
        <w:t> </w:t>
      </w:r>
      <w:r w:rsidRPr="00E106BD">
        <w:rPr>
          <w:szCs w:val="24"/>
        </w:rPr>
        <w:t>37; and</w:t>
      </w:r>
    </w:p>
    <w:p w:rsidR="00A869FA" w:rsidRPr="00E106BD" w:rsidRDefault="00A869FA" w:rsidP="004E4760">
      <w:pPr>
        <w:pStyle w:val="paragraph"/>
      </w:pPr>
      <w:r w:rsidRPr="00E106BD">
        <w:tab/>
        <w:t>(b)</w:t>
      </w:r>
      <w:r w:rsidRPr="00E106BD">
        <w:tab/>
        <w:t>for the supply of an HSD pharmaceutical benefit by an approved hospital authority for a private hospital or by an approved pharmacist</w:t>
      </w:r>
      <w:r w:rsidR="00295F4A" w:rsidRPr="00E106BD">
        <w:t>—</w:t>
      </w:r>
      <w:r w:rsidRPr="00E106BD">
        <w:t>has the meaning given by section</w:t>
      </w:r>
      <w:r w:rsidR="00E106BD">
        <w:t> </w:t>
      </w:r>
      <w:r w:rsidRPr="00E106BD">
        <w:t>39.</w:t>
      </w:r>
    </w:p>
    <w:p w:rsidR="00A869FA" w:rsidRPr="00E106BD" w:rsidRDefault="00A869FA" w:rsidP="004E4760">
      <w:pPr>
        <w:pStyle w:val="Definition"/>
      </w:pPr>
      <w:r w:rsidRPr="00E106BD">
        <w:rPr>
          <w:b/>
          <w:i/>
          <w:szCs w:val="24"/>
        </w:rPr>
        <w:t>eligible medical practitioner</w:t>
      </w:r>
      <w:r w:rsidRPr="00E106BD">
        <w:rPr>
          <w:i/>
          <w:szCs w:val="24"/>
        </w:rPr>
        <w:t xml:space="preserve">, </w:t>
      </w:r>
      <w:r w:rsidRPr="00E106BD">
        <w:rPr>
          <w:szCs w:val="24"/>
        </w:rPr>
        <w:t>for the prescription of an HSD pharmaceutical benefit under this Special Arrangement to an eligible patient, means a person:</w:t>
      </w:r>
    </w:p>
    <w:p w:rsidR="00A869FA" w:rsidRPr="00E106BD" w:rsidRDefault="00A869FA" w:rsidP="004E4760">
      <w:pPr>
        <w:pStyle w:val="paragraph"/>
      </w:pPr>
      <w:r w:rsidRPr="00E106BD">
        <w:rPr>
          <w:szCs w:val="24"/>
        </w:rPr>
        <w:tab/>
        <w:t>(a)</w:t>
      </w:r>
      <w:r w:rsidRPr="00E106BD">
        <w:rPr>
          <w:szCs w:val="24"/>
        </w:rPr>
        <w:tab/>
        <w:t>who is an affiliated specialist medical practitioner; or</w:t>
      </w:r>
    </w:p>
    <w:p w:rsidR="00F518DC" w:rsidRPr="00E106BD" w:rsidRDefault="00F518DC" w:rsidP="00F518DC">
      <w:pPr>
        <w:pStyle w:val="paragraph"/>
      </w:pPr>
      <w:r w:rsidRPr="00E106BD">
        <w:tab/>
        <w:t>(bb)</w:t>
      </w:r>
      <w:r w:rsidRPr="00E106BD">
        <w:tab/>
        <w:t>who is, for the prescription of medication for the treatment of schizophrenia</w:t>
      </w:r>
      <w:r w:rsidR="00E01E60" w:rsidRPr="00E106BD">
        <w:t>—</w:t>
      </w:r>
      <w:r w:rsidRPr="00E106BD">
        <w:t>an accredited prescriber of medication for the treatment of schizophrenia; or</w:t>
      </w:r>
    </w:p>
    <w:p w:rsidR="00A869FA" w:rsidRPr="00E106BD" w:rsidRDefault="00A869FA" w:rsidP="004E4760">
      <w:pPr>
        <w:pStyle w:val="paragraph"/>
      </w:pPr>
      <w:r w:rsidRPr="00E106BD">
        <w:rPr>
          <w:color w:val="000000"/>
        </w:rPr>
        <w:tab/>
        <w:t>(d)</w:t>
      </w:r>
      <w:r w:rsidRPr="00E106BD">
        <w:rPr>
          <w:color w:val="000000"/>
        </w:rPr>
        <w:tab/>
        <w:t xml:space="preserve">who is, for the prescription of medication for maintenance therapy if it is impractical to </w:t>
      </w:r>
      <w:r w:rsidRPr="00E106BD">
        <w:t>obtain a prescription from the treating affiliated specialist medical practitioner and the treating staff hospital specialist has agreed to the prescription</w:t>
      </w:r>
      <w:r w:rsidR="00295F4A" w:rsidRPr="00E106BD">
        <w:t>—</w:t>
      </w:r>
      <w:r w:rsidRPr="00E106BD">
        <w:t>a medical practitioner; or</w:t>
      </w:r>
    </w:p>
    <w:p w:rsidR="00A869FA" w:rsidRPr="00E106BD" w:rsidRDefault="00A869FA" w:rsidP="004E4760">
      <w:pPr>
        <w:pStyle w:val="paragraph"/>
      </w:pPr>
      <w:r w:rsidRPr="00E106BD">
        <w:rPr>
          <w:color w:val="000000"/>
        </w:rPr>
        <w:tab/>
        <w:t>(e)</w:t>
      </w:r>
      <w:r w:rsidRPr="00E106BD">
        <w:rPr>
          <w:color w:val="000000"/>
        </w:rPr>
        <w:tab/>
        <w:t>who is, for the prescription of medication for maintenance therapy</w:t>
      </w:r>
      <w:r w:rsidR="00295F4A" w:rsidRPr="00E106BD">
        <w:t>—</w:t>
      </w:r>
      <w:r w:rsidRPr="00E106BD">
        <w:t>a medical practitioner whom the Commonwealth and the State or Territory Government has agreed may give such a prescription.</w:t>
      </w:r>
    </w:p>
    <w:p w:rsidR="00A6516C" w:rsidRPr="00E106BD" w:rsidRDefault="00A6516C" w:rsidP="004E4760">
      <w:pPr>
        <w:pStyle w:val="Definition"/>
        <w:rPr>
          <w:szCs w:val="24"/>
        </w:rPr>
      </w:pPr>
      <w:r w:rsidRPr="00E106BD">
        <w:rPr>
          <w:b/>
          <w:i/>
          <w:szCs w:val="24"/>
        </w:rPr>
        <w:t xml:space="preserve">eligible patient </w:t>
      </w:r>
      <w:r w:rsidRPr="00E106BD">
        <w:rPr>
          <w:szCs w:val="24"/>
        </w:rPr>
        <w:t>means a person who</w:t>
      </w:r>
    </w:p>
    <w:p w:rsidR="00A6516C" w:rsidRPr="00E106BD" w:rsidRDefault="00A6516C" w:rsidP="004E4760">
      <w:pPr>
        <w:pStyle w:val="paragraph"/>
      </w:pPr>
      <w:r w:rsidRPr="00E106BD">
        <w:tab/>
        <w:t>(a)</w:t>
      </w:r>
      <w:r w:rsidR="00C40460" w:rsidRPr="00E106BD">
        <w:tab/>
      </w:r>
      <w:r w:rsidRPr="00E106BD">
        <w:t>is, or is to be treated as, an eligible person within the meaning of the Health Insurance Act 1973; and</w:t>
      </w:r>
    </w:p>
    <w:p w:rsidR="00A6516C" w:rsidRPr="00E106BD" w:rsidRDefault="00A6516C" w:rsidP="004E4760">
      <w:pPr>
        <w:pStyle w:val="paragraph"/>
      </w:pPr>
      <w:r w:rsidRPr="00E106BD">
        <w:tab/>
        <w:t>(b)</w:t>
      </w:r>
      <w:r w:rsidR="00C40460" w:rsidRPr="00E106BD">
        <w:tab/>
      </w:r>
      <w:r w:rsidRPr="00E106BD">
        <w:t>if receiving treatment at or from a public hospital, is receiving medical treatment by a medical practitioner as:</w:t>
      </w:r>
    </w:p>
    <w:p w:rsidR="00A6516C" w:rsidRPr="00E106BD" w:rsidRDefault="00EF55DE" w:rsidP="004E4760">
      <w:pPr>
        <w:pStyle w:val="paragraphsub"/>
      </w:pPr>
      <w:r w:rsidRPr="00E106BD">
        <w:tab/>
        <w:t>(i)</w:t>
      </w:r>
      <w:r w:rsidRPr="00E106BD">
        <w:tab/>
      </w:r>
      <w:r w:rsidR="00A6516C" w:rsidRPr="00E106BD">
        <w:t>a non</w:t>
      </w:r>
      <w:r w:rsidR="00E106BD">
        <w:noBreakHyphen/>
      </w:r>
      <w:r w:rsidR="00A6516C" w:rsidRPr="00E106BD">
        <w:t>admitted patient; or</w:t>
      </w:r>
    </w:p>
    <w:p w:rsidR="00A6516C" w:rsidRPr="00E106BD" w:rsidRDefault="00EF55DE" w:rsidP="004E4760">
      <w:pPr>
        <w:pStyle w:val="paragraphsub"/>
      </w:pPr>
      <w:r w:rsidRPr="00E106BD">
        <w:tab/>
        <w:t>(ii)</w:t>
      </w:r>
      <w:r w:rsidRPr="00E106BD">
        <w:tab/>
      </w:r>
      <w:r w:rsidR="00A6516C" w:rsidRPr="00E106BD">
        <w:t xml:space="preserve">a day admitted patient; or </w:t>
      </w:r>
    </w:p>
    <w:p w:rsidR="00A6516C" w:rsidRPr="00E106BD" w:rsidRDefault="00EF55DE" w:rsidP="004E4760">
      <w:pPr>
        <w:pStyle w:val="paragraphsub"/>
      </w:pPr>
      <w:r w:rsidRPr="00E106BD">
        <w:tab/>
      </w:r>
      <w:r w:rsidR="00A6516C" w:rsidRPr="00E106BD">
        <w:t>(iii)</w:t>
      </w:r>
      <w:r w:rsidRPr="00E106BD">
        <w:tab/>
      </w:r>
      <w:r w:rsidR="00A6516C" w:rsidRPr="00E106BD">
        <w:t xml:space="preserve">a patient on discharge; or </w:t>
      </w:r>
    </w:p>
    <w:p w:rsidR="00A6516C" w:rsidRPr="00E106BD" w:rsidRDefault="00EF55DE" w:rsidP="004E4760">
      <w:pPr>
        <w:pStyle w:val="paragraphsub"/>
      </w:pPr>
      <w:r w:rsidRPr="00E106BD">
        <w:tab/>
        <w:t>(iv)</w:t>
      </w:r>
      <w:r w:rsidRPr="00E106BD">
        <w:tab/>
      </w:r>
      <w:r w:rsidR="00A6516C" w:rsidRPr="00E106BD">
        <w:t>an admitted patient who has been prescribed a HSD pharmaceutical benefit referred to in section</w:t>
      </w:r>
      <w:r w:rsidR="00E106BD">
        <w:t> </w:t>
      </w:r>
      <w:r w:rsidR="00A6516C" w:rsidRPr="00E106BD">
        <w:t xml:space="preserve">9A. </w:t>
      </w:r>
    </w:p>
    <w:p w:rsidR="009172D1" w:rsidRPr="00E106BD" w:rsidRDefault="00A869FA" w:rsidP="00D436F5">
      <w:pPr>
        <w:pStyle w:val="Definition"/>
        <w:rPr>
          <w:color w:val="000000"/>
          <w:szCs w:val="24"/>
        </w:rPr>
      </w:pPr>
      <w:r w:rsidRPr="00E106BD">
        <w:rPr>
          <w:b/>
          <w:bCs/>
          <w:i/>
          <w:iCs/>
          <w:color w:val="000000"/>
          <w:szCs w:val="24"/>
        </w:rPr>
        <w:t>entitlement number</w:t>
      </w:r>
      <w:r w:rsidRPr="00E106BD">
        <w:rPr>
          <w:color w:val="000000"/>
          <w:szCs w:val="24"/>
        </w:rPr>
        <w:t>, for a patient, means the number listed on the patient’s benefit card.</w:t>
      </w:r>
    </w:p>
    <w:p w:rsidR="00D775B8" w:rsidRPr="00E106BD" w:rsidRDefault="00D775B8" w:rsidP="00D436F5">
      <w:pPr>
        <w:pStyle w:val="Definition"/>
      </w:pPr>
      <w:r w:rsidRPr="00E106BD">
        <w:rPr>
          <w:b/>
          <w:i/>
        </w:rPr>
        <w:t xml:space="preserve">General Statement for drugs for the treatment of hepatitis C </w:t>
      </w:r>
      <w:r w:rsidRPr="00E106BD">
        <w:t>means the statement set out in Schedule</w:t>
      </w:r>
      <w:r w:rsidR="00E106BD">
        <w:t> </w:t>
      </w:r>
      <w:r w:rsidRPr="00E106BD">
        <w:t>3 Part</w:t>
      </w:r>
      <w:r w:rsidR="00E106BD">
        <w:t> </w:t>
      </w:r>
      <w:r w:rsidRPr="00E106BD">
        <w:t>1.</w:t>
      </w:r>
    </w:p>
    <w:p w:rsidR="00A869FA" w:rsidRPr="00E106BD" w:rsidRDefault="00A869FA" w:rsidP="004E4760">
      <w:pPr>
        <w:pStyle w:val="Definition"/>
      </w:pPr>
      <w:r w:rsidRPr="00E106BD">
        <w:rPr>
          <w:b/>
          <w:bCs/>
          <w:i/>
          <w:iCs/>
          <w:szCs w:val="24"/>
        </w:rPr>
        <w:t>highly specialised drug</w:t>
      </w:r>
      <w:r w:rsidRPr="00E106BD">
        <w:rPr>
          <w:szCs w:val="24"/>
        </w:rPr>
        <w:t xml:space="preserve"> means a listed drug mentioned in Schedule</w:t>
      </w:r>
      <w:r w:rsidR="00E106BD">
        <w:rPr>
          <w:szCs w:val="24"/>
        </w:rPr>
        <w:t> </w:t>
      </w:r>
      <w:r w:rsidRPr="00E106BD">
        <w:rPr>
          <w:szCs w:val="24"/>
        </w:rPr>
        <w:t xml:space="preserve">1. </w:t>
      </w:r>
    </w:p>
    <w:p w:rsidR="00A869FA" w:rsidRPr="00E106BD" w:rsidRDefault="00295F4A" w:rsidP="004E4760">
      <w:pPr>
        <w:pStyle w:val="notetext"/>
      </w:pPr>
      <w:r w:rsidRPr="00E106BD">
        <w:rPr>
          <w:iCs/>
          <w:color w:val="000000"/>
        </w:rPr>
        <w:t>Note:</w:t>
      </w:r>
      <w:r w:rsidRPr="00E106BD">
        <w:rPr>
          <w:iCs/>
          <w:color w:val="000000"/>
        </w:rPr>
        <w:tab/>
      </w:r>
      <w:r w:rsidR="00A869FA" w:rsidRPr="00E106BD">
        <w:rPr>
          <w:color w:val="000000"/>
        </w:rPr>
        <w:t>Special Arrangements under section</w:t>
      </w:r>
      <w:r w:rsidR="00E106BD">
        <w:rPr>
          <w:color w:val="000000"/>
        </w:rPr>
        <w:t> </w:t>
      </w:r>
      <w:r w:rsidR="00A869FA" w:rsidRPr="00E106BD">
        <w:rPr>
          <w:color w:val="000000"/>
        </w:rPr>
        <w:t>100 of the Act apply to pharmaceutical benefits with drugs that have been declared by the Minister under subsection</w:t>
      </w:r>
      <w:r w:rsidR="00E106BD">
        <w:rPr>
          <w:color w:val="000000"/>
        </w:rPr>
        <w:t> </w:t>
      </w:r>
      <w:r w:rsidR="00A869FA" w:rsidRPr="00E106BD">
        <w:rPr>
          <w:color w:val="000000"/>
        </w:rPr>
        <w:t xml:space="preserve">85(2) of the Act. The drugs in </w:t>
      </w:r>
      <w:r w:rsidRPr="00E106BD">
        <w:rPr>
          <w:color w:val="000000"/>
        </w:rPr>
        <w:t>Schedule</w:t>
      </w:r>
      <w:r w:rsidR="00E106BD">
        <w:rPr>
          <w:color w:val="000000"/>
        </w:rPr>
        <w:t> </w:t>
      </w:r>
      <w:r w:rsidR="00A869FA" w:rsidRPr="00E106BD">
        <w:rPr>
          <w:color w:val="000000"/>
        </w:rPr>
        <w:t>1 have all been so declared.</w:t>
      </w:r>
    </w:p>
    <w:p w:rsidR="00A869FA" w:rsidRPr="00E106BD" w:rsidRDefault="00A869FA" w:rsidP="004E4760">
      <w:pPr>
        <w:pStyle w:val="Definition"/>
      </w:pPr>
      <w:r w:rsidRPr="00E106BD">
        <w:rPr>
          <w:b/>
          <w:bCs/>
          <w:i/>
          <w:iCs/>
          <w:color w:val="000000"/>
          <w:szCs w:val="24"/>
        </w:rPr>
        <w:t>hospital authority</w:t>
      </w:r>
      <w:r w:rsidRPr="00E106BD">
        <w:rPr>
          <w:color w:val="000000"/>
          <w:szCs w:val="24"/>
        </w:rPr>
        <w:t xml:space="preserve"> means:</w:t>
      </w:r>
    </w:p>
    <w:p w:rsidR="00A869FA" w:rsidRPr="00E106BD" w:rsidRDefault="00A869FA" w:rsidP="004E4760">
      <w:pPr>
        <w:pStyle w:val="Definition"/>
      </w:pPr>
      <w:r w:rsidRPr="00E106BD">
        <w:t>(a)</w:t>
      </w:r>
      <w:r w:rsidRPr="00E106BD">
        <w:tab/>
        <w:t>for a public hospital</w:t>
      </w:r>
      <w:r w:rsidR="00295F4A" w:rsidRPr="00E106BD">
        <w:t>—</w:t>
      </w:r>
      <w:r w:rsidRPr="00E106BD">
        <w:t>the governing body of the hospital; or</w:t>
      </w:r>
    </w:p>
    <w:p w:rsidR="00A869FA" w:rsidRPr="00E106BD" w:rsidRDefault="00A869FA" w:rsidP="004E4760">
      <w:pPr>
        <w:pStyle w:val="Definition"/>
      </w:pPr>
      <w:r w:rsidRPr="00E106BD">
        <w:t>(b)</w:t>
      </w:r>
      <w:r w:rsidRPr="00E106BD">
        <w:tab/>
        <w:t>for a private hospital</w:t>
      </w:r>
      <w:r w:rsidR="00295F4A" w:rsidRPr="00E106BD">
        <w:t>—</w:t>
      </w:r>
      <w:r w:rsidRPr="00E106BD">
        <w:t>the proprietor of the hospital.</w:t>
      </w:r>
    </w:p>
    <w:p w:rsidR="00A869FA" w:rsidRPr="00E106BD" w:rsidRDefault="00A869FA" w:rsidP="004E4760">
      <w:pPr>
        <w:pStyle w:val="Definition"/>
      </w:pPr>
      <w:r w:rsidRPr="00E106BD">
        <w:rPr>
          <w:b/>
          <w:i/>
        </w:rPr>
        <w:t>HSD pharmaceutical benefit</w:t>
      </w:r>
      <w:r w:rsidRPr="00E106BD">
        <w:rPr>
          <w:b/>
        </w:rPr>
        <w:t xml:space="preserve"> </w:t>
      </w:r>
      <w:r w:rsidRPr="00E106BD">
        <w:t>means a pharmaceutical benefit mentioned in Schedule</w:t>
      </w:r>
      <w:r w:rsidR="00E106BD">
        <w:t> </w:t>
      </w:r>
      <w:r w:rsidRPr="00E106BD">
        <w:t>1.</w:t>
      </w:r>
    </w:p>
    <w:p w:rsidR="00A869FA" w:rsidRPr="00E106BD" w:rsidRDefault="00A869FA" w:rsidP="004E4760">
      <w:pPr>
        <w:pStyle w:val="Definition"/>
      </w:pPr>
      <w:r w:rsidRPr="00E106BD">
        <w:rPr>
          <w:b/>
          <w:bCs/>
          <w:i/>
          <w:iCs/>
        </w:rPr>
        <w:t>item code</w:t>
      </w:r>
      <w:r w:rsidRPr="00E106BD">
        <w:t>, for a drug that has a particular form, manner of administration and brand, means the code for the form, manner of administration and brand for the drug set out in the Department’s website.</w:t>
      </w:r>
    </w:p>
    <w:p w:rsidR="00A869FA" w:rsidRPr="00E106BD" w:rsidRDefault="00295F4A" w:rsidP="004E4760">
      <w:pPr>
        <w:pStyle w:val="notetext"/>
      </w:pPr>
      <w:r w:rsidRPr="00E106BD">
        <w:rPr>
          <w:iCs/>
          <w:color w:val="000000"/>
        </w:rPr>
        <w:t>Note:</w:t>
      </w:r>
      <w:r w:rsidRPr="00E106BD">
        <w:rPr>
          <w:iCs/>
          <w:color w:val="000000"/>
        </w:rPr>
        <w:tab/>
      </w:r>
      <w:r w:rsidR="00A869FA" w:rsidRPr="00E106BD">
        <w:rPr>
          <w:color w:val="000000"/>
        </w:rPr>
        <w:t>The website address is http://www.pbs.gov.au.</w:t>
      </w:r>
    </w:p>
    <w:p w:rsidR="00736FDB" w:rsidRPr="00E106BD" w:rsidRDefault="00736FDB" w:rsidP="004E4760">
      <w:pPr>
        <w:pStyle w:val="Definition"/>
        <w:spacing w:before="120"/>
      </w:pPr>
      <w:r w:rsidRPr="00E106BD">
        <w:rPr>
          <w:b/>
          <w:i/>
        </w:rPr>
        <w:t xml:space="preserve">medication chart prescription </w:t>
      </w:r>
      <w:r w:rsidRPr="00E106BD">
        <w:t xml:space="preserve">has the meaning given in the Regulations, but does not include a medication chart prescription for a person receiving treatment in a residential care service. </w:t>
      </w:r>
    </w:p>
    <w:p w:rsidR="00B242FD" w:rsidRPr="00E106BD" w:rsidRDefault="00B242FD" w:rsidP="00F518DC">
      <w:pPr>
        <w:pStyle w:val="Definition"/>
      </w:pPr>
      <w:r w:rsidRPr="00E106BD">
        <w:rPr>
          <w:b/>
          <w:bCs/>
          <w:i/>
          <w:iCs/>
          <w:color w:val="000000"/>
        </w:rPr>
        <w:t>medication for the treatment of hepatitis B</w:t>
      </w:r>
      <w:r w:rsidRPr="00E106BD">
        <w:t xml:space="preserve"> means any of the following:</w:t>
      </w:r>
    </w:p>
    <w:p w:rsidR="00B242FD" w:rsidRPr="00E106BD" w:rsidRDefault="00B242FD" w:rsidP="00EC09C9">
      <w:pPr>
        <w:pStyle w:val="paragraph"/>
      </w:pPr>
      <w:r w:rsidRPr="00E106BD">
        <w:tab/>
        <w:t>(a)</w:t>
      </w:r>
      <w:r w:rsidRPr="00E106BD">
        <w:tab/>
        <w:t>adefovir</w:t>
      </w:r>
    </w:p>
    <w:p w:rsidR="00B242FD" w:rsidRPr="00E106BD" w:rsidRDefault="00B242FD" w:rsidP="00EC09C9">
      <w:pPr>
        <w:pStyle w:val="paragraph"/>
        <w:rPr>
          <w:szCs w:val="22"/>
        </w:rPr>
      </w:pPr>
      <w:r w:rsidRPr="00E106BD">
        <w:rPr>
          <w:szCs w:val="22"/>
        </w:rPr>
        <w:tab/>
        <w:t>(b)</w:t>
      </w:r>
      <w:r w:rsidRPr="00E106BD">
        <w:rPr>
          <w:szCs w:val="22"/>
        </w:rPr>
        <w:tab/>
      </w:r>
      <w:r w:rsidR="001F5EED" w:rsidRPr="00E106BD">
        <w:rPr>
          <w:szCs w:val="22"/>
        </w:rPr>
        <w:t>entecavir</w:t>
      </w:r>
    </w:p>
    <w:p w:rsidR="00B242FD" w:rsidRPr="00E106BD" w:rsidRDefault="00B242FD" w:rsidP="00EC09C9">
      <w:pPr>
        <w:pStyle w:val="paragraph"/>
      </w:pPr>
      <w:r w:rsidRPr="00E106BD">
        <w:tab/>
        <w:t>(c)</w:t>
      </w:r>
      <w:r w:rsidRPr="00E106BD">
        <w:tab/>
      </w:r>
      <w:r w:rsidR="001B3AC1" w:rsidRPr="00E106BD">
        <w:t>interferon a</w:t>
      </w:r>
      <w:r w:rsidR="00EC1AC3" w:rsidRPr="00E106BD">
        <w:t>lfa</w:t>
      </w:r>
      <w:r w:rsidR="00E106BD">
        <w:noBreakHyphen/>
      </w:r>
      <w:r w:rsidR="001B3AC1" w:rsidRPr="00E106BD">
        <w:t>2a</w:t>
      </w:r>
    </w:p>
    <w:p w:rsidR="00B242FD" w:rsidRPr="00E106BD" w:rsidRDefault="00B242FD" w:rsidP="00EC09C9">
      <w:pPr>
        <w:pStyle w:val="paragraph"/>
      </w:pPr>
      <w:r w:rsidRPr="00E106BD">
        <w:tab/>
        <w:t>(e)</w:t>
      </w:r>
      <w:r w:rsidRPr="00E106BD">
        <w:tab/>
      </w:r>
      <w:r w:rsidR="001B3AC1" w:rsidRPr="00E106BD">
        <w:t>lamivudine</w:t>
      </w:r>
    </w:p>
    <w:p w:rsidR="00B242FD" w:rsidRPr="00E106BD" w:rsidRDefault="00B242FD" w:rsidP="00EC09C9">
      <w:pPr>
        <w:pStyle w:val="paragraph"/>
      </w:pPr>
      <w:r w:rsidRPr="00E106BD">
        <w:tab/>
        <w:t>(g)</w:t>
      </w:r>
      <w:r w:rsidRPr="00E106BD">
        <w:tab/>
      </w:r>
      <w:r w:rsidR="001B3AC1" w:rsidRPr="00E106BD">
        <w:t>tenofovir</w:t>
      </w:r>
    </w:p>
    <w:p w:rsidR="00CA7652" w:rsidRPr="00E106BD" w:rsidRDefault="00CA7652" w:rsidP="00CA7652">
      <w:pPr>
        <w:pStyle w:val="Definition"/>
      </w:pPr>
      <w:r w:rsidRPr="00E106BD">
        <w:rPr>
          <w:b/>
          <w:i/>
        </w:rPr>
        <w:t>medication for the treatment of hepatitis C</w:t>
      </w:r>
      <w:r w:rsidRPr="00E106BD">
        <w:t xml:space="preserve"> means medication mentioned in the table in paragraph</w:t>
      </w:r>
      <w:r w:rsidR="00E106BD">
        <w:t> </w:t>
      </w:r>
      <w:r w:rsidRPr="00E106BD">
        <w:t>3 of the General Statement for drugs for the treatment of hepatitis C.</w:t>
      </w:r>
    </w:p>
    <w:p w:rsidR="002815E1" w:rsidRPr="00E106BD" w:rsidRDefault="002815E1" w:rsidP="00A56A88">
      <w:pPr>
        <w:pStyle w:val="Definition"/>
        <w:rPr>
          <w:iCs/>
          <w:color w:val="000000"/>
        </w:rPr>
      </w:pPr>
      <w:r w:rsidRPr="00E106BD">
        <w:rPr>
          <w:b/>
          <w:bCs/>
          <w:i/>
          <w:iCs/>
          <w:color w:val="000000"/>
        </w:rPr>
        <w:t>medication for the treatment of HIV or AIDS</w:t>
      </w:r>
      <w:r w:rsidRPr="00E106BD">
        <w:rPr>
          <w:bCs/>
          <w:iCs/>
          <w:color w:val="000000"/>
        </w:rPr>
        <w:t xml:space="preserve"> means any of the following:</w:t>
      </w:r>
    </w:p>
    <w:p w:rsidR="002815E1" w:rsidRPr="00E106BD" w:rsidRDefault="00CC41A2" w:rsidP="00CC41A2">
      <w:pPr>
        <w:pStyle w:val="paragraph"/>
      </w:pPr>
      <w:r w:rsidRPr="00E106BD">
        <w:tab/>
      </w:r>
      <w:r w:rsidR="002815E1" w:rsidRPr="00E106BD">
        <w:t>(a)</w:t>
      </w:r>
      <w:r w:rsidR="002815E1" w:rsidRPr="00E106BD">
        <w:tab/>
        <w:t>abacavir</w:t>
      </w:r>
    </w:p>
    <w:p w:rsidR="002815E1" w:rsidRPr="00E106BD" w:rsidRDefault="00CC41A2" w:rsidP="00CC41A2">
      <w:pPr>
        <w:pStyle w:val="paragraph"/>
      </w:pPr>
      <w:r w:rsidRPr="00E106BD">
        <w:tab/>
      </w:r>
      <w:r w:rsidR="002815E1" w:rsidRPr="00E106BD">
        <w:t>(b)</w:t>
      </w:r>
      <w:r w:rsidR="002815E1" w:rsidRPr="00E106BD">
        <w:tab/>
        <w:t>abacavir with lamivudine</w:t>
      </w:r>
    </w:p>
    <w:p w:rsidR="002815E1" w:rsidRPr="00E106BD" w:rsidRDefault="00CC41A2" w:rsidP="00CC41A2">
      <w:pPr>
        <w:pStyle w:val="paragraph"/>
      </w:pPr>
      <w:r w:rsidRPr="00E106BD">
        <w:tab/>
      </w:r>
      <w:r w:rsidR="002815E1" w:rsidRPr="00E106BD">
        <w:t>(c)</w:t>
      </w:r>
      <w:r w:rsidR="002815E1" w:rsidRPr="00E106BD">
        <w:tab/>
        <w:t>abacavir with lamivudine and zidovudine</w:t>
      </w:r>
    </w:p>
    <w:p w:rsidR="002815E1" w:rsidRPr="00E106BD" w:rsidRDefault="00CC41A2" w:rsidP="00CC41A2">
      <w:pPr>
        <w:pStyle w:val="paragraph"/>
      </w:pPr>
      <w:r w:rsidRPr="00E106BD">
        <w:tab/>
      </w:r>
      <w:r w:rsidR="002815E1" w:rsidRPr="00E106BD">
        <w:t>(d)</w:t>
      </w:r>
      <w:r w:rsidR="002815E1" w:rsidRPr="00E106BD">
        <w:tab/>
        <w:t>atazanavir</w:t>
      </w:r>
    </w:p>
    <w:p w:rsidR="002815E1" w:rsidRPr="00E106BD" w:rsidRDefault="00CC41A2" w:rsidP="00CC41A2">
      <w:pPr>
        <w:pStyle w:val="paragraph"/>
      </w:pPr>
      <w:r w:rsidRPr="00E106BD">
        <w:tab/>
      </w:r>
      <w:r w:rsidR="002815E1" w:rsidRPr="00E106BD">
        <w:t>(e)</w:t>
      </w:r>
      <w:r w:rsidR="002815E1" w:rsidRPr="00E106BD">
        <w:tab/>
        <w:t>atazanavir with cobicistat</w:t>
      </w:r>
    </w:p>
    <w:p w:rsidR="002815E1" w:rsidRPr="00E106BD" w:rsidRDefault="00CC41A2" w:rsidP="00CC41A2">
      <w:pPr>
        <w:pStyle w:val="paragraph"/>
      </w:pPr>
      <w:r w:rsidRPr="00E106BD">
        <w:tab/>
      </w:r>
      <w:r w:rsidR="002815E1" w:rsidRPr="00E106BD">
        <w:t>(f)</w:t>
      </w:r>
      <w:r w:rsidR="002815E1" w:rsidRPr="00E106BD">
        <w:tab/>
        <w:t>azithromycin</w:t>
      </w:r>
    </w:p>
    <w:p w:rsidR="002815E1" w:rsidRPr="00E106BD" w:rsidRDefault="00CC41A2" w:rsidP="00CC41A2">
      <w:pPr>
        <w:pStyle w:val="paragraph"/>
      </w:pPr>
      <w:r w:rsidRPr="00E106BD">
        <w:tab/>
      </w:r>
      <w:r w:rsidR="002815E1" w:rsidRPr="00E106BD">
        <w:t>(g)</w:t>
      </w:r>
      <w:r w:rsidR="002815E1" w:rsidRPr="00E106BD">
        <w:tab/>
        <w:t>bictegravir with emtricitabine with tenofovir alafenamide</w:t>
      </w:r>
    </w:p>
    <w:p w:rsidR="002815E1" w:rsidRPr="00E106BD" w:rsidRDefault="00CC41A2" w:rsidP="00CC41A2">
      <w:pPr>
        <w:pStyle w:val="paragraph"/>
      </w:pPr>
      <w:r w:rsidRPr="00E106BD">
        <w:tab/>
      </w:r>
      <w:r w:rsidR="002815E1" w:rsidRPr="00E106BD">
        <w:t>(h)</w:t>
      </w:r>
      <w:r w:rsidR="002815E1" w:rsidRPr="00E106BD">
        <w:tab/>
        <w:t>darunavir</w:t>
      </w:r>
    </w:p>
    <w:p w:rsidR="002815E1" w:rsidRPr="00E106BD" w:rsidRDefault="00CC41A2" w:rsidP="00CC41A2">
      <w:pPr>
        <w:pStyle w:val="paragraph"/>
      </w:pPr>
      <w:r w:rsidRPr="00E106BD">
        <w:tab/>
      </w:r>
      <w:r w:rsidR="002815E1" w:rsidRPr="00E106BD">
        <w:t>(i)</w:t>
      </w:r>
      <w:r w:rsidR="002815E1" w:rsidRPr="00E106BD">
        <w:tab/>
        <w:t>darunavir with cobicistat</w:t>
      </w:r>
    </w:p>
    <w:p w:rsidR="002815E1" w:rsidRPr="00E106BD" w:rsidRDefault="00CC41A2" w:rsidP="00CC41A2">
      <w:pPr>
        <w:pStyle w:val="paragraph"/>
      </w:pPr>
      <w:r w:rsidRPr="00E106BD">
        <w:tab/>
      </w:r>
      <w:r w:rsidR="002815E1" w:rsidRPr="00E106BD">
        <w:t>(j)</w:t>
      </w:r>
      <w:r w:rsidR="002815E1" w:rsidRPr="00E106BD">
        <w:tab/>
        <w:t>dolutegravir</w:t>
      </w:r>
    </w:p>
    <w:p w:rsidR="002815E1" w:rsidRPr="00E106BD" w:rsidRDefault="00CC41A2" w:rsidP="00CC41A2">
      <w:pPr>
        <w:pStyle w:val="paragraph"/>
      </w:pPr>
      <w:r w:rsidRPr="00E106BD">
        <w:tab/>
      </w:r>
      <w:r w:rsidR="002815E1" w:rsidRPr="00E106BD">
        <w:t>(k)</w:t>
      </w:r>
      <w:r w:rsidR="002815E1" w:rsidRPr="00E106BD">
        <w:tab/>
        <w:t>dolutegravir with abacavir and lamivudine</w:t>
      </w:r>
    </w:p>
    <w:p w:rsidR="002815E1" w:rsidRPr="00E106BD" w:rsidRDefault="00CC41A2" w:rsidP="00CC41A2">
      <w:pPr>
        <w:pStyle w:val="paragraph"/>
      </w:pPr>
      <w:r w:rsidRPr="00E106BD">
        <w:tab/>
      </w:r>
      <w:r w:rsidR="002815E1" w:rsidRPr="00E106BD">
        <w:t>(l)</w:t>
      </w:r>
      <w:r w:rsidR="002815E1" w:rsidRPr="00E106BD">
        <w:tab/>
        <w:t>dolutegravir with lamivudine</w:t>
      </w:r>
    </w:p>
    <w:p w:rsidR="002815E1" w:rsidRPr="00E106BD" w:rsidRDefault="00CC41A2" w:rsidP="00CC41A2">
      <w:pPr>
        <w:pStyle w:val="paragraph"/>
      </w:pPr>
      <w:r w:rsidRPr="00E106BD">
        <w:tab/>
      </w:r>
      <w:r w:rsidR="002815E1" w:rsidRPr="00E106BD">
        <w:t>(m)</w:t>
      </w:r>
      <w:r w:rsidR="002815E1" w:rsidRPr="00E106BD">
        <w:tab/>
        <w:t>dolutegravir with rilpivirine</w:t>
      </w:r>
    </w:p>
    <w:p w:rsidR="002815E1" w:rsidRPr="00E106BD" w:rsidRDefault="00CC41A2" w:rsidP="00CC41A2">
      <w:pPr>
        <w:pStyle w:val="paragraph"/>
      </w:pPr>
      <w:r w:rsidRPr="00E106BD">
        <w:tab/>
      </w:r>
      <w:r w:rsidR="002815E1" w:rsidRPr="00E106BD">
        <w:t>(n)</w:t>
      </w:r>
      <w:r w:rsidR="002815E1" w:rsidRPr="00E106BD">
        <w:tab/>
        <w:t xml:space="preserve">doxorubicin </w:t>
      </w:r>
      <w:r w:rsidR="00E106BD">
        <w:noBreakHyphen/>
      </w:r>
      <w:r w:rsidR="002815E1" w:rsidRPr="00E106BD">
        <w:t xml:space="preserve"> pegylated liposomal</w:t>
      </w:r>
    </w:p>
    <w:p w:rsidR="002815E1" w:rsidRPr="00E106BD" w:rsidRDefault="00CC41A2" w:rsidP="00CC41A2">
      <w:pPr>
        <w:pStyle w:val="paragraph"/>
      </w:pPr>
      <w:r w:rsidRPr="00E106BD">
        <w:tab/>
      </w:r>
      <w:r w:rsidR="002815E1" w:rsidRPr="00E106BD">
        <w:t>(o)</w:t>
      </w:r>
      <w:r w:rsidR="002815E1" w:rsidRPr="00E106BD">
        <w:tab/>
        <w:t>efavirenz</w:t>
      </w:r>
    </w:p>
    <w:p w:rsidR="002815E1" w:rsidRPr="00E106BD" w:rsidRDefault="00CC41A2" w:rsidP="00CC41A2">
      <w:pPr>
        <w:pStyle w:val="paragraph"/>
      </w:pPr>
      <w:r w:rsidRPr="00E106BD">
        <w:tab/>
      </w:r>
      <w:r w:rsidR="002815E1" w:rsidRPr="00E106BD">
        <w:t>(p)</w:t>
      </w:r>
      <w:r w:rsidR="002815E1" w:rsidRPr="00E106BD">
        <w:tab/>
        <w:t>emtricitabine with rilpivirine with tenofovir alafenamide</w:t>
      </w:r>
    </w:p>
    <w:p w:rsidR="002815E1" w:rsidRPr="00E106BD" w:rsidRDefault="00CC41A2" w:rsidP="00CC41A2">
      <w:pPr>
        <w:pStyle w:val="paragraph"/>
      </w:pPr>
      <w:r w:rsidRPr="00E106BD">
        <w:tab/>
      </w:r>
      <w:r w:rsidR="002815E1" w:rsidRPr="00E106BD">
        <w:t>(q)</w:t>
      </w:r>
      <w:r w:rsidR="002815E1" w:rsidRPr="00E106BD">
        <w:tab/>
        <w:t>emtricitabine with tenofovir alafenamide</w:t>
      </w:r>
    </w:p>
    <w:p w:rsidR="002815E1" w:rsidRPr="00E106BD" w:rsidRDefault="00CC41A2" w:rsidP="00CC41A2">
      <w:pPr>
        <w:pStyle w:val="paragraph"/>
      </w:pPr>
      <w:r w:rsidRPr="00E106BD">
        <w:tab/>
      </w:r>
      <w:r w:rsidR="002815E1" w:rsidRPr="00E106BD">
        <w:t>(r)</w:t>
      </w:r>
      <w:r w:rsidR="002815E1" w:rsidRPr="00E106BD">
        <w:tab/>
        <w:t>enfuvirtide</w:t>
      </w:r>
    </w:p>
    <w:p w:rsidR="002815E1" w:rsidRPr="00E106BD" w:rsidRDefault="00CC41A2" w:rsidP="00CC41A2">
      <w:pPr>
        <w:pStyle w:val="paragraph"/>
      </w:pPr>
      <w:r w:rsidRPr="00E106BD">
        <w:tab/>
      </w:r>
      <w:r w:rsidR="002815E1" w:rsidRPr="00E106BD">
        <w:t>(s)</w:t>
      </w:r>
      <w:r w:rsidR="002815E1" w:rsidRPr="00E106BD">
        <w:tab/>
        <w:t>etravirine</w:t>
      </w:r>
    </w:p>
    <w:p w:rsidR="002815E1" w:rsidRPr="00E106BD" w:rsidRDefault="00CC41A2" w:rsidP="00CC41A2">
      <w:pPr>
        <w:pStyle w:val="paragraph"/>
      </w:pPr>
      <w:r w:rsidRPr="00E106BD">
        <w:tab/>
      </w:r>
      <w:r w:rsidR="002815E1" w:rsidRPr="00E106BD">
        <w:t>(t)</w:t>
      </w:r>
      <w:r w:rsidR="002815E1" w:rsidRPr="00E106BD">
        <w:tab/>
        <w:t>fosamprenavir</w:t>
      </w:r>
    </w:p>
    <w:p w:rsidR="002815E1" w:rsidRPr="00E106BD" w:rsidRDefault="00CC41A2" w:rsidP="00CC41A2">
      <w:pPr>
        <w:pStyle w:val="paragraph"/>
      </w:pPr>
      <w:r w:rsidRPr="00E106BD">
        <w:tab/>
      </w:r>
      <w:r w:rsidR="002815E1" w:rsidRPr="00E106BD">
        <w:t>(u)</w:t>
      </w:r>
      <w:r w:rsidR="002815E1" w:rsidRPr="00E106BD">
        <w:tab/>
        <w:t>ganciclovir</w:t>
      </w:r>
    </w:p>
    <w:p w:rsidR="002815E1" w:rsidRPr="00E106BD" w:rsidRDefault="00CC41A2" w:rsidP="00CC41A2">
      <w:pPr>
        <w:pStyle w:val="paragraph"/>
      </w:pPr>
      <w:r w:rsidRPr="00E106BD">
        <w:tab/>
      </w:r>
      <w:r w:rsidR="002815E1" w:rsidRPr="00E106BD">
        <w:t>(v)</w:t>
      </w:r>
      <w:r w:rsidR="002815E1" w:rsidRPr="00E106BD">
        <w:tab/>
        <w:t>lamivudine</w:t>
      </w:r>
    </w:p>
    <w:p w:rsidR="002815E1" w:rsidRPr="00E106BD" w:rsidRDefault="002815E1" w:rsidP="00CC41A2">
      <w:pPr>
        <w:pStyle w:val="paragraph"/>
      </w:pPr>
      <w:r w:rsidRPr="00E106BD">
        <w:tab/>
        <w:t>(w)</w:t>
      </w:r>
      <w:r w:rsidRPr="00E106BD">
        <w:tab/>
        <w:t>lamivudine with zidovudine</w:t>
      </w:r>
    </w:p>
    <w:p w:rsidR="002815E1" w:rsidRPr="00E106BD" w:rsidRDefault="00CC41A2" w:rsidP="00CC41A2">
      <w:pPr>
        <w:pStyle w:val="paragraph"/>
      </w:pPr>
      <w:r w:rsidRPr="00E106BD">
        <w:tab/>
      </w:r>
      <w:r w:rsidR="002815E1" w:rsidRPr="00E106BD">
        <w:t>(x)</w:t>
      </w:r>
      <w:r w:rsidR="002815E1" w:rsidRPr="00E106BD">
        <w:tab/>
        <w:t>lopinavir with ritonavir</w:t>
      </w:r>
    </w:p>
    <w:p w:rsidR="002815E1" w:rsidRPr="00E106BD" w:rsidRDefault="00CC41A2" w:rsidP="00CC41A2">
      <w:pPr>
        <w:pStyle w:val="paragraph"/>
      </w:pPr>
      <w:r w:rsidRPr="00E106BD">
        <w:tab/>
      </w:r>
      <w:r w:rsidR="002815E1" w:rsidRPr="00E106BD">
        <w:t>(y)</w:t>
      </w:r>
      <w:r w:rsidR="002815E1" w:rsidRPr="00E106BD">
        <w:tab/>
        <w:t>maraviroc</w:t>
      </w:r>
    </w:p>
    <w:p w:rsidR="002815E1" w:rsidRPr="00E106BD" w:rsidRDefault="00CC41A2" w:rsidP="00CC41A2">
      <w:pPr>
        <w:pStyle w:val="paragraph"/>
      </w:pPr>
      <w:r w:rsidRPr="00E106BD">
        <w:tab/>
      </w:r>
      <w:r w:rsidR="002815E1" w:rsidRPr="00E106BD">
        <w:t>(z)</w:t>
      </w:r>
      <w:r w:rsidR="002815E1" w:rsidRPr="00E106BD">
        <w:tab/>
        <w:t>nevirapine</w:t>
      </w:r>
    </w:p>
    <w:p w:rsidR="002815E1" w:rsidRPr="00E106BD" w:rsidRDefault="00CC41A2" w:rsidP="00CC41A2">
      <w:pPr>
        <w:pStyle w:val="paragraph"/>
      </w:pPr>
      <w:r w:rsidRPr="00E106BD">
        <w:tab/>
      </w:r>
      <w:r w:rsidR="002815E1" w:rsidRPr="00E106BD">
        <w:t>(aa)</w:t>
      </w:r>
      <w:r w:rsidR="002815E1" w:rsidRPr="00E106BD">
        <w:tab/>
        <w:t>raltegravir</w:t>
      </w:r>
    </w:p>
    <w:p w:rsidR="002815E1" w:rsidRPr="00E106BD" w:rsidRDefault="00CC41A2" w:rsidP="00CC41A2">
      <w:pPr>
        <w:pStyle w:val="paragraph"/>
      </w:pPr>
      <w:r w:rsidRPr="00E106BD">
        <w:tab/>
      </w:r>
      <w:r w:rsidR="002815E1" w:rsidRPr="00E106BD">
        <w:t>(bb)</w:t>
      </w:r>
      <w:r w:rsidR="002815E1" w:rsidRPr="00E106BD">
        <w:tab/>
        <w:t>rifabutin</w:t>
      </w:r>
    </w:p>
    <w:p w:rsidR="002815E1" w:rsidRPr="00E106BD" w:rsidRDefault="00CC41A2" w:rsidP="00CC41A2">
      <w:pPr>
        <w:pStyle w:val="paragraph"/>
      </w:pPr>
      <w:r w:rsidRPr="00E106BD">
        <w:tab/>
      </w:r>
      <w:r w:rsidR="002815E1" w:rsidRPr="00E106BD">
        <w:t>(cc)</w:t>
      </w:r>
      <w:r w:rsidR="002815E1" w:rsidRPr="00E106BD">
        <w:tab/>
        <w:t>rilpivirine</w:t>
      </w:r>
    </w:p>
    <w:p w:rsidR="002815E1" w:rsidRPr="00E106BD" w:rsidRDefault="00CC41A2" w:rsidP="00CC41A2">
      <w:pPr>
        <w:pStyle w:val="paragraph"/>
      </w:pPr>
      <w:r w:rsidRPr="00E106BD">
        <w:tab/>
      </w:r>
      <w:r w:rsidR="002815E1" w:rsidRPr="00E106BD">
        <w:t>(dd)</w:t>
      </w:r>
      <w:r w:rsidR="002815E1" w:rsidRPr="00E106BD">
        <w:tab/>
        <w:t>ritonavir</w:t>
      </w:r>
    </w:p>
    <w:p w:rsidR="002815E1" w:rsidRPr="00E106BD" w:rsidRDefault="00CC41A2" w:rsidP="00CC41A2">
      <w:pPr>
        <w:pStyle w:val="paragraph"/>
      </w:pPr>
      <w:r w:rsidRPr="00E106BD">
        <w:tab/>
      </w:r>
      <w:r w:rsidR="002815E1" w:rsidRPr="00E106BD">
        <w:t>(ee)</w:t>
      </w:r>
      <w:r w:rsidR="002815E1" w:rsidRPr="00E106BD">
        <w:tab/>
        <w:t>saquinavir</w:t>
      </w:r>
    </w:p>
    <w:p w:rsidR="002815E1" w:rsidRPr="00E106BD" w:rsidRDefault="00CC41A2" w:rsidP="00CC41A2">
      <w:pPr>
        <w:pStyle w:val="paragraph"/>
      </w:pPr>
      <w:r w:rsidRPr="00E106BD">
        <w:tab/>
      </w:r>
      <w:r w:rsidR="002815E1" w:rsidRPr="00E106BD">
        <w:t>(ff)</w:t>
      </w:r>
      <w:r w:rsidR="002815E1" w:rsidRPr="00E106BD">
        <w:tab/>
        <w:t>tenofovir</w:t>
      </w:r>
    </w:p>
    <w:p w:rsidR="002815E1" w:rsidRPr="00E106BD" w:rsidRDefault="00CC41A2" w:rsidP="00CC41A2">
      <w:pPr>
        <w:pStyle w:val="paragraph"/>
      </w:pPr>
      <w:r w:rsidRPr="00E106BD">
        <w:tab/>
      </w:r>
      <w:r w:rsidR="002815E1" w:rsidRPr="00E106BD">
        <w:t>(gg)</w:t>
      </w:r>
      <w:r w:rsidR="002815E1" w:rsidRPr="00E106BD">
        <w:tab/>
        <w:t>tenofovir alafenamide with emtricitabine, elvitegravir and cobicistat</w:t>
      </w:r>
    </w:p>
    <w:p w:rsidR="002815E1" w:rsidRPr="00E106BD" w:rsidRDefault="00CC41A2" w:rsidP="00CC41A2">
      <w:pPr>
        <w:pStyle w:val="paragraph"/>
      </w:pPr>
      <w:r w:rsidRPr="00E106BD">
        <w:tab/>
      </w:r>
      <w:r w:rsidR="002815E1" w:rsidRPr="00E106BD">
        <w:t>(hh)</w:t>
      </w:r>
      <w:r w:rsidR="002815E1" w:rsidRPr="00E106BD">
        <w:tab/>
        <w:t>tenofovir with emtricitabine</w:t>
      </w:r>
    </w:p>
    <w:p w:rsidR="002815E1" w:rsidRPr="00E106BD" w:rsidRDefault="00CC41A2" w:rsidP="00CC41A2">
      <w:pPr>
        <w:pStyle w:val="paragraph"/>
      </w:pPr>
      <w:r w:rsidRPr="00E106BD">
        <w:tab/>
      </w:r>
      <w:r w:rsidR="002815E1" w:rsidRPr="00E106BD">
        <w:t>(ii)</w:t>
      </w:r>
      <w:r w:rsidR="002815E1" w:rsidRPr="00E106BD">
        <w:tab/>
        <w:t>tenofovir with emtricitabine and efavirenz</w:t>
      </w:r>
    </w:p>
    <w:p w:rsidR="002815E1" w:rsidRPr="00E106BD" w:rsidRDefault="00CC41A2" w:rsidP="00CC41A2">
      <w:pPr>
        <w:pStyle w:val="paragraph"/>
      </w:pPr>
      <w:r w:rsidRPr="00E106BD">
        <w:tab/>
      </w:r>
      <w:r w:rsidR="002815E1" w:rsidRPr="00E106BD">
        <w:t>(jj)</w:t>
      </w:r>
      <w:r w:rsidR="002815E1" w:rsidRPr="00E106BD">
        <w:tab/>
        <w:t>tipranavir</w:t>
      </w:r>
    </w:p>
    <w:p w:rsidR="002815E1" w:rsidRPr="00E106BD" w:rsidRDefault="00CC41A2" w:rsidP="00CC41A2">
      <w:pPr>
        <w:pStyle w:val="paragraph"/>
      </w:pPr>
      <w:r w:rsidRPr="00E106BD">
        <w:tab/>
      </w:r>
      <w:r w:rsidR="002815E1" w:rsidRPr="00E106BD">
        <w:t>(kk)</w:t>
      </w:r>
      <w:r w:rsidR="002815E1" w:rsidRPr="00E106BD">
        <w:tab/>
        <w:t>valganciclovir</w:t>
      </w:r>
    </w:p>
    <w:p w:rsidR="002815E1" w:rsidRPr="00E106BD" w:rsidRDefault="00CC41A2" w:rsidP="00CC41A2">
      <w:pPr>
        <w:pStyle w:val="paragraph"/>
      </w:pPr>
      <w:r w:rsidRPr="00E106BD">
        <w:tab/>
      </w:r>
      <w:r w:rsidR="002815E1" w:rsidRPr="00E106BD">
        <w:t>(ll)</w:t>
      </w:r>
      <w:r w:rsidR="002815E1" w:rsidRPr="00E106BD">
        <w:tab/>
        <w:t>zidovudine</w:t>
      </w:r>
    </w:p>
    <w:p w:rsidR="00F518DC" w:rsidRPr="00E106BD" w:rsidRDefault="00F518DC" w:rsidP="00F518DC">
      <w:pPr>
        <w:pStyle w:val="Definition"/>
      </w:pPr>
      <w:r w:rsidRPr="00E106BD">
        <w:rPr>
          <w:b/>
          <w:bCs/>
          <w:i/>
          <w:iCs/>
          <w:color w:val="000000"/>
          <w:szCs w:val="24"/>
        </w:rPr>
        <w:t>medication for the treatment of schizophrenia</w:t>
      </w:r>
      <w:r w:rsidRPr="00E106BD">
        <w:rPr>
          <w:szCs w:val="24"/>
        </w:rPr>
        <w:t xml:space="preserve"> means </w:t>
      </w:r>
      <w:r w:rsidRPr="00E106BD">
        <w:t>clozapine.</w:t>
      </w:r>
    </w:p>
    <w:p w:rsidR="00A869FA" w:rsidRPr="00E106BD" w:rsidRDefault="00A869FA" w:rsidP="004E4760">
      <w:pPr>
        <w:pStyle w:val="Definition"/>
      </w:pPr>
      <w:r w:rsidRPr="00E106BD">
        <w:rPr>
          <w:b/>
          <w:bCs/>
          <w:i/>
          <w:iCs/>
          <w:color w:val="000000"/>
          <w:szCs w:val="24"/>
        </w:rPr>
        <w:t>non</w:t>
      </w:r>
      <w:r w:rsidR="00E106BD">
        <w:rPr>
          <w:b/>
          <w:bCs/>
          <w:i/>
          <w:iCs/>
          <w:color w:val="000000"/>
          <w:szCs w:val="24"/>
        </w:rPr>
        <w:noBreakHyphen/>
      </w:r>
      <w:r w:rsidRPr="00E106BD">
        <w:rPr>
          <w:b/>
          <w:bCs/>
          <w:i/>
          <w:iCs/>
          <w:color w:val="000000"/>
          <w:szCs w:val="24"/>
        </w:rPr>
        <w:t>CAR drug</w:t>
      </w:r>
      <w:r w:rsidRPr="00E106BD">
        <w:rPr>
          <w:color w:val="000000"/>
          <w:szCs w:val="24"/>
        </w:rPr>
        <w:t xml:space="preserve"> means a highly specialised drug that is not a complex authority required (CAR) drug.</w:t>
      </w:r>
    </w:p>
    <w:p w:rsidR="00A869FA" w:rsidRPr="00E106BD" w:rsidRDefault="00A869FA" w:rsidP="004E4760">
      <w:pPr>
        <w:pStyle w:val="Definition"/>
      </w:pPr>
      <w:r w:rsidRPr="00E106BD">
        <w:rPr>
          <w:b/>
          <w:i/>
        </w:rPr>
        <w:t>other Special Arrangement</w:t>
      </w:r>
      <w:r w:rsidRPr="00E106BD">
        <w:rPr>
          <w:b/>
        </w:rPr>
        <w:t xml:space="preserve"> </w:t>
      </w:r>
      <w:r w:rsidRPr="00E106BD">
        <w:t>means another Special Arrangement under section</w:t>
      </w:r>
      <w:r w:rsidR="00E106BD">
        <w:t> </w:t>
      </w:r>
      <w:r w:rsidRPr="00E106BD">
        <w:t>100 of the Act.</w:t>
      </w:r>
    </w:p>
    <w:p w:rsidR="00A869FA" w:rsidRPr="00E106BD" w:rsidRDefault="00A869FA" w:rsidP="004E4760">
      <w:pPr>
        <w:pStyle w:val="Definition"/>
      </w:pPr>
      <w:r w:rsidRPr="00E106BD">
        <w:rPr>
          <w:b/>
          <w:i/>
        </w:rPr>
        <w:t>purposes code</w:t>
      </w:r>
      <w:r w:rsidRPr="00E106BD">
        <w:rPr>
          <w:b/>
        </w:rPr>
        <w:t xml:space="preserve"> </w:t>
      </w:r>
      <w:r w:rsidRPr="00E106BD">
        <w:t>means the letter ‘P’ followed by a number.</w:t>
      </w:r>
    </w:p>
    <w:p w:rsidR="00736FDB" w:rsidRPr="00E106BD" w:rsidRDefault="00736FDB" w:rsidP="004E4760">
      <w:pPr>
        <w:pStyle w:val="Definition"/>
        <w:spacing w:before="120"/>
      </w:pPr>
      <w:r w:rsidRPr="00E106BD">
        <w:rPr>
          <w:b/>
          <w:i/>
        </w:rPr>
        <w:t>residential care service</w:t>
      </w:r>
      <w:r w:rsidRPr="00E106BD">
        <w:t xml:space="preserve"> has the meaning given by the Regulations.</w:t>
      </w:r>
    </w:p>
    <w:p w:rsidR="00A869FA" w:rsidRPr="00E106BD" w:rsidRDefault="00A869FA" w:rsidP="004E4760">
      <w:pPr>
        <w:pStyle w:val="Definition"/>
      </w:pPr>
      <w:r w:rsidRPr="00E106BD">
        <w:rPr>
          <w:b/>
          <w:bCs/>
          <w:i/>
          <w:iCs/>
        </w:rPr>
        <w:t>Regulations</w:t>
      </w:r>
      <w:r w:rsidRPr="00E106BD">
        <w:t xml:space="preserve"> means </w:t>
      </w:r>
      <w:r w:rsidR="003A41F8" w:rsidRPr="00E106BD">
        <w:t xml:space="preserve">the </w:t>
      </w:r>
      <w:r w:rsidR="00376D5A" w:rsidRPr="00E106BD">
        <w:rPr>
          <w:i/>
          <w:iCs/>
        </w:rPr>
        <w:t>National Health (Pharmaceutical Benefit) Regulations</w:t>
      </w:r>
      <w:r w:rsidR="00E106BD">
        <w:rPr>
          <w:i/>
          <w:iCs/>
        </w:rPr>
        <w:t> </w:t>
      </w:r>
      <w:r w:rsidR="00376D5A" w:rsidRPr="00E106BD">
        <w:rPr>
          <w:i/>
          <w:iCs/>
        </w:rPr>
        <w:t>2017</w:t>
      </w:r>
      <w:r w:rsidRPr="00E106BD">
        <w:t>.</w:t>
      </w:r>
    </w:p>
    <w:p w:rsidR="00A869FA" w:rsidRPr="00E106BD" w:rsidRDefault="00A869FA" w:rsidP="004E4760">
      <w:pPr>
        <w:pStyle w:val="Definition"/>
        <w:rPr>
          <w:i/>
        </w:rPr>
      </w:pPr>
      <w:r w:rsidRPr="00E106BD">
        <w:rPr>
          <w:b/>
          <w:bCs/>
          <w:i/>
          <w:iCs/>
        </w:rPr>
        <w:t>streamlined authority code</w:t>
      </w:r>
      <w:r w:rsidRPr="00E106BD">
        <w:t xml:space="preserve"> means the number mentioned in subsection</w:t>
      </w:r>
      <w:r w:rsidR="00E106BD">
        <w:t> </w:t>
      </w:r>
      <w:r w:rsidRPr="00E106BD">
        <w:t>13(1).</w:t>
      </w:r>
    </w:p>
    <w:p w:rsidR="0050310D" w:rsidRPr="00E106BD" w:rsidRDefault="0050310D" w:rsidP="004E4760">
      <w:pPr>
        <w:pStyle w:val="Definition"/>
        <w:rPr>
          <w:bCs/>
          <w:iCs/>
        </w:rPr>
      </w:pPr>
      <w:r w:rsidRPr="00E106BD">
        <w:rPr>
          <w:b/>
          <w:bCs/>
          <w:i/>
          <w:iCs/>
        </w:rPr>
        <w:t>under co</w:t>
      </w:r>
      <w:r w:rsidR="00E106BD">
        <w:rPr>
          <w:b/>
          <w:bCs/>
          <w:i/>
          <w:iCs/>
        </w:rPr>
        <w:noBreakHyphen/>
      </w:r>
      <w:r w:rsidRPr="00E106BD">
        <w:rPr>
          <w:b/>
          <w:bCs/>
          <w:i/>
          <w:iCs/>
        </w:rPr>
        <w:t>payment data</w:t>
      </w:r>
      <w:r w:rsidRPr="00E106BD">
        <w:rPr>
          <w:bCs/>
          <w:iCs/>
        </w:rPr>
        <w:t xml:space="preserve"> means information relating to a supply of a HSD pharmaceutical benefit by an </w:t>
      </w:r>
      <w:r w:rsidR="00F518DC" w:rsidRPr="00E106BD">
        <w:rPr>
          <w:szCs w:val="22"/>
        </w:rPr>
        <w:t>approved pharmacist, approved medical practitioner</w:t>
      </w:r>
      <w:r w:rsidRPr="00E106BD">
        <w:rPr>
          <w:bCs/>
          <w:iCs/>
        </w:rPr>
        <w:t xml:space="preserve"> or approved hospital authority for a hospital where a claim is not payable as the dispensed price for the supply of the HSD pharmaceutical benefit does not exceed the amount that the supplier was entitled to charge under subsection</w:t>
      </w:r>
      <w:r w:rsidR="00E106BD">
        <w:rPr>
          <w:bCs/>
          <w:iCs/>
        </w:rPr>
        <w:t> </w:t>
      </w:r>
      <w:r w:rsidRPr="00E106BD">
        <w:rPr>
          <w:bCs/>
          <w:iCs/>
        </w:rPr>
        <w:t>46(2) or subsection</w:t>
      </w:r>
      <w:r w:rsidR="00E106BD">
        <w:rPr>
          <w:bCs/>
          <w:iCs/>
        </w:rPr>
        <w:t> </w:t>
      </w:r>
      <w:r w:rsidRPr="00E106BD">
        <w:rPr>
          <w:bCs/>
          <w:iCs/>
        </w:rPr>
        <w:t xml:space="preserve">47(2) of this Special Arrangement. </w:t>
      </w:r>
    </w:p>
    <w:p w:rsidR="00A869FA" w:rsidRPr="00E106BD" w:rsidRDefault="00295F4A" w:rsidP="004E4760">
      <w:pPr>
        <w:pStyle w:val="notetext"/>
        <w:rPr>
          <w:i/>
        </w:rPr>
      </w:pPr>
      <w:r w:rsidRPr="00E106BD">
        <w:t>Note:</w:t>
      </w:r>
      <w:r w:rsidRPr="00E106BD">
        <w:tab/>
      </w:r>
      <w:r w:rsidR="00A869FA" w:rsidRPr="00E106BD">
        <w:t>Terms used in this Special Arrangement have the same meaning as in the Act</w:t>
      </w:r>
      <w:r w:rsidRPr="00E106BD">
        <w:t>—</w:t>
      </w:r>
      <w:r w:rsidR="00A869FA" w:rsidRPr="00E106BD">
        <w:t>see section</w:t>
      </w:r>
      <w:r w:rsidR="00E106BD">
        <w:t> </w:t>
      </w:r>
      <w:r w:rsidR="00A869FA" w:rsidRPr="00E106BD">
        <w:t xml:space="preserve">13 of the </w:t>
      </w:r>
      <w:r w:rsidR="00A869FA" w:rsidRPr="00E106BD">
        <w:rPr>
          <w:i/>
        </w:rPr>
        <w:t>Legislative Instruments Act 2003</w:t>
      </w:r>
      <w:r w:rsidR="00A869FA" w:rsidRPr="00E106BD">
        <w:t>. These terms include:</w:t>
      </w:r>
    </w:p>
    <w:p w:rsidR="00A45ACD" w:rsidRPr="00E106BD" w:rsidRDefault="00A45ACD" w:rsidP="00E820F8">
      <w:pPr>
        <w:pStyle w:val="notepara"/>
        <w:ind w:left="2268" w:hanging="283"/>
      </w:pPr>
      <w:r w:rsidRPr="00E106BD">
        <w:sym w:font="Symbol" w:char="F0B7"/>
      </w:r>
      <w:r w:rsidRPr="00E106BD">
        <w:tab/>
        <w:t>approved ex</w:t>
      </w:r>
      <w:r w:rsidR="00E106BD">
        <w:noBreakHyphen/>
      </w:r>
      <w:r w:rsidRPr="00E106BD">
        <w:t>manufacturer price</w:t>
      </w:r>
    </w:p>
    <w:p w:rsidR="00F518DC" w:rsidRPr="00E106BD" w:rsidRDefault="00F518DC" w:rsidP="001B0025">
      <w:pPr>
        <w:pStyle w:val="notepara"/>
        <w:numPr>
          <w:ilvl w:val="0"/>
          <w:numId w:val="6"/>
        </w:numPr>
        <w:ind w:left="2268" w:hanging="283"/>
      </w:pPr>
      <w:r w:rsidRPr="00E106BD">
        <w:t>approved medical practitioner</w:t>
      </w:r>
    </w:p>
    <w:p w:rsidR="00A869FA" w:rsidRPr="00E106BD" w:rsidRDefault="00A869FA" w:rsidP="00E820F8">
      <w:pPr>
        <w:pStyle w:val="notepara"/>
        <w:ind w:left="2268" w:hanging="283"/>
      </w:pPr>
      <w:r w:rsidRPr="00E106BD">
        <w:sym w:font="Symbol" w:char="F0B7"/>
      </w:r>
      <w:r w:rsidRPr="00E106BD">
        <w:tab/>
        <w:t>approved pharmacist</w:t>
      </w:r>
    </w:p>
    <w:p w:rsidR="00A45ACD" w:rsidRPr="00E106BD" w:rsidRDefault="00A45ACD" w:rsidP="00E820F8">
      <w:pPr>
        <w:pStyle w:val="notepara"/>
        <w:ind w:left="2268" w:hanging="283"/>
      </w:pPr>
      <w:r w:rsidRPr="00E106BD">
        <w:sym w:font="Symbol" w:char="F0B7"/>
      </w:r>
      <w:r w:rsidRPr="00E106BD">
        <w:tab/>
        <w:t>claimed price</w:t>
      </w:r>
    </w:p>
    <w:p w:rsidR="00A869FA" w:rsidRPr="00E106BD" w:rsidRDefault="00A869FA" w:rsidP="00E820F8">
      <w:pPr>
        <w:pStyle w:val="notepara"/>
        <w:ind w:left="2268" w:hanging="283"/>
      </w:pPr>
      <w:r w:rsidRPr="00E106BD">
        <w:sym w:font="Symbol" w:char="F0B7"/>
      </w:r>
      <w:r w:rsidRPr="00E106BD">
        <w:tab/>
        <w:t>hospital</w:t>
      </w:r>
    </w:p>
    <w:p w:rsidR="00A869FA" w:rsidRPr="00E106BD" w:rsidRDefault="00A869FA" w:rsidP="00867148">
      <w:pPr>
        <w:pStyle w:val="notepara"/>
        <w:ind w:left="2268" w:hanging="283"/>
      </w:pPr>
      <w:r w:rsidRPr="00E106BD">
        <w:sym w:font="Symbol" w:char="F0B7"/>
      </w:r>
      <w:r w:rsidRPr="00E106BD">
        <w:tab/>
        <w:t>medical practitioner</w:t>
      </w:r>
    </w:p>
    <w:p w:rsidR="00A869FA" w:rsidRPr="00E106BD" w:rsidRDefault="00A869FA" w:rsidP="00867148">
      <w:pPr>
        <w:pStyle w:val="notepara"/>
        <w:ind w:left="2268" w:hanging="283"/>
      </w:pPr>
      <w:r w:rsidRPr="00E106BD">
        <w:sym w:font="Symbol" w:char="F0B7"/>
      </w:r>
      <w:r w:rsidRPr="00E106BD">
        <w:tab/>
      </w:r>
      <w:r w:rsidR="00C051BF" w:rsidRPr="00E106BD">
        <w:t>Chief Executive Medicare</w:t>
      </w:r>
    </w:p>
    <w:p w:rsidR="00A45ACD" w:rsidRPr="00E106BD" w:rsidRDefault="00A45ACD" w:rsidP="00867148">
      <w:pPr>
        <w:pStyle w:val="notepara"/>
        <w:ind w:left="2268" w:hanging="283"/>
      </w:pPr>
      <w:r w:rsidRPr="00E106BD">
        <w:sym w:font="Symbol" w:char="F0B7"/>
      </w:r>
      <w:r w:rsidRPr="00E106BD">
        <w:tab/>
        <w:t>pack quantity</w:t>
      </w:r>
    </w:p>
    <w:p w:rsidR="00A869FA" w:rsidRPr="00E106BD" w:rsidRDefault="00A869FA" w:rsidP="00867148">
      <w:pPr>
        <w:pStyle w:val="notepara"/>
        <w:ind w:left="2268" w:hanging="283"/>
      </w:pPr>
      <w:r w:rsidRPr="00E106BD">
        <w:sym w:font="Symbol" w:char="F0B7"/>
      </w:r>
      <w:r w:rsidRPr="00E106BD">
        <w:tab/>
        <w:t>pharmaceutical benefit</w:t>
      </w:r>
    </w:p>
    <w:p w:rsidR="00A869FA" w:rsidRPr="00E106BD" w:rsidRDefault="00A869FA" w:rsidP="00867148">
      <w:pPr>
        <w:pStyle w:val="notepara"/>
        <w:ind w:left="2268" w:hanging="283"/>
      </w:pPr>
      <w:r w:rsidRPr="00E106BD">
        <w:sym w:font="Symbol" w:char="F0B7"/>
      </w:r>
      <w:r w:rsidRPr="00E106BD">
        <w:tab/>
        <w:t>pharmaceutical item</w:t>
      </w:r>
    </w:p>
    <w:p w:rsidR="00A869FA" w:rsidRPr="00E106BD" w:rsidRDefault="00A869FA" w:rsidP="00867148">
      <w:pPr>
        <w:pStyle w:val="notepara"/>
        <w:ind w:left="2268" w:hanging="283"/>
      </w:pPr>
      <w:r w:rsidRPr="00E106BD">
        <w:sym w:font="Symbol" w:char="F0B7"/>
      </w:r>
      <w:r w:rsidRPr="00E106BD">
        <w:tab/>
        <w:t>private hospital</w:t>
      </w:r>
    </w:p>
    <w:p w:rsidR="00A45ACD" w:rsidRPr="00E106BD" w:rsidRDefault="00A45ACD" w:rsidP="00867148">
      <w:pPr>
        <w:pStyle w:val="notepara"/>
        <w:ind w:left="2268" w:hanging="283"/>
      </w:pPr>
      <w:r w:rsidRPr="00E106BD">
        <w:sym w:font="Symbol" w:char="F0B7"/>
      </w:r>
      <w:r w:rsidRPr="00E106BD">
        <w:tab/>
        <w:t>proportional ex</w:t>
      </w:r>
      <w:r w:rsidR="00E106BD">
        <w:noBreakHyphen/>
      </w:r>
      <w:r w:rsidRPr="00E106BD">
        <w:t>manufacturer price</w:t>
      </w:r>
    </w:p>
    <w:p w:rsidR="00A869FA" w:rsidRPr="00E106BD" w:rsidRDefault="00A869FA" w:rsidP="00867148">
      <w:pPr>
        <w:pStyle w:val="notepara"/>
        <w:ind w:left="2268" w:hanging="283"/>
      </w:pPr>
      <w:r w:rsidRPr="00E106BD">
        <w:sym w:font="Symbol" w:char="F0B7"/>
      </w:r>
      <w:r w:rsidRPr="00E106BD">
        <w:tab/>
        <w:t>public hospital.</w:t>
      </w:r>
    </w:p>
    <w:p w:rsidR="00CA7652" w:rsidRPr="00E106BD" w:rsidRDefault="00CA7652" w:rsidP="00CA7652">
      <w:pPr>
        <w:pStyle w:val="ActHead5"/>
      </w:pPr>
      <w:bookmarkStart w:id="6" w:name="_Toc53558935"/>
      <w:r w:rsidRPr="00E106BD">
        <w:rPr>
          <w:rStyle w:val="CharSectno"/>
        </w:rPr>
        <w:t>4A</w:t>
      </w:r>
      <w:r w:rsidRPr="00E106BD">
        <w:t xml:space="preserve">  Definition of </w:t>
      </w:r>
      <w:r w:rsidRPr="00E106BD">
        <w:rPr>
          <w:i/>
        </w:rPr>
        <w:t>authorised prescriber</w:t>
      </w:r>
      <w:bookmarkEnd w:id="6"/>
    </w:p>
    <w:p w:rsidR="00CA7652" w:rsidRPr="00E106BD" w:rsidRDefault="00CA7652" w:rsidP="00CA7652">
      <w:pPr>
        <w:pStyle w:val="subsection"/>
      </w:pPr>
      <w:r w:rsidRPr="00E106BD">
        <w:tab/>
        <w:t>(1)</w:t>
      </w:r>
      <w:r w:rsidRPr="00E106BD">
        <w:tab/>
        <w:t xml:space="preserve">An eligible medical practitioner for the prescription of an HSD pharmaceutical benefit under this Special Arrangement to an eligible patient is an </w:t>
      </w:r>
      <w:r w:rsidRPr="00E106BD">
        <w:rPr>
          <w:b/>
          <w:i/>
        </w:rPr>
        <w:t>authorised prescriber</w:t>
      </w:r>
      <w:r w:rsidRPr="00E106BD">
        <w:t xml:space="preserve"> for the HSD pharmaceutical benefit.</w:t>
      </w:r>
    </w:p>
    <w:p w:rsidR="00E306E9" w:rsidRPr="00FF3CA7" w:rsidRDefault="00E306E9" w:rsidP="00802FC7">
      <w:pPr>
        <w:pStyle w:val="subsection"/>
        <w:rPr>
          <w:szCs w:val="22"/>
        </w:rPr>
      </w:pPr>
      <w:r>
        <w:rPr>
          <w:b/>
          <w:szCs w:val="22"/>
        </w:rPr>
        <w:tab/>
      </w:r>
      <w:r w:rsidRPr="00FF3CA7">
        <w:rPr>
          <w:szCs w:val="22"/>
        </w:rPr>
        <w:t>(2)</w:t>
      </w:r>
      <w:r w:rsidRPr="00FF3CA7">
        <w:rPr>
          <w:szCs w:val="22"/>
        </w:rPr>
        <w:tab/>
        <w:t xml:space="preserve">A medical practitioner is an </w:t>
      </w:r>
      <w:r w:rsidRPr="00E221ED">
        <w:rPr>
          <w:b/>
          <w:i/>
          <w:szCs w:val="22"/>
        </w:rPr>
        <w:t>authorised prescriber</w:t>
      </w:r>
      <w:r w:rsidRPr="00FF3CA7">
        <w:rPr>
          <w:szCs w:val="22"/>
        </w:rPr>
        <w:t xml:space="preserve"> for each of the following HSD pharmaceutical benefits for the purpose of the treatment of hepatitis</w:t>
      </w:r>
      <w:r>
        <w:rPr>
          <w:szCs w:val="22"/>
        </w:rPr>
        <w:t> </w:t>
      </w:r>
      <w:r w:rsidRPr="00FF3CA7">
        <w:rPr>
          <w:szCs w:val="22"/>
        </w:rPr>
        <w:t>C:</w:t>
      </w:r>
    </w:p>
    <w:p w:rsidR="00E306E9" w:rsidRPr="00802FC7" w:rsidRDefault="00E306E9" w:rsidP="00802FC7">
      <w:pPr>
        <w:pStyle w:val="paragraph"/>
        <w:rPr>
          <w:b/>
        </w:rPr>
      </w:pPr>
      <w:r>
        <w:tab/>
      </w:r>
      <w:r w:rsidRPr="00802FC7">
        <w:t>(a)</w:t>
      </w:r>
      <w:r w:rsidRPr="00802FC7">
        <w:tab/>
        <w:t>grazoprevir with elbasvir;</w:t>
      </w:r>
    </w:p>
    <w:p w:rsidR="00E306E9" w:rsidRPr="00802FC7" w:rsidRDefault="00E306E9" w:rsidP="00802FC7">
      <w:pPr>
        <w:pStyle w:val="paragraph"/>
        <w:rPr>
          <w:b/>
        </w:rPr>
      </w:pPr>
      <w:r>
        <w:tab/>
      </w:r>
      <w:r w:rsidRPr="00802FC7">
        <w:t>(b)</w:t>
      </w:r>
      <w:r w:rsidRPr="00802FC7">
        <w:tab/>
        <w:t>ledipasvir with sofosbuvir;</w:t>
      </w:r>
    </w:p>
    <w:p w:rsidR="00E306E9" w:rsidRPr="00802FC7" w:rsidRDefault="00E306E9" w:rsidP="00802FC7">
      <w:pPr>
        <w:pStyle w:val="paragraph"/>
        <w:rPr>
          <w:b/>
        </w:rPr>
      </w:pPr>
      <w:r>
        <w:tab/>
      </w:r>
      <w:r w:rsidRPr="00802FC7">
        <w:t>(c)</w:t>
      </w:r>
      <w:r w:rsidRPr="00802FC7">
        <w:tab/>
        <w:t>ribavirin; and</w:t>
      </w:r>
    </w:p>
    <w:p w:rsidR="00E306E9" w:rsidRPr="00802FC7" w:rsidRDefault="00E306E9" w:rsidP="00802FC7">
      <w:pPr>
        <w:pStyle w:val="paragraph"/>
        <w:rPr>
          <w:b/>
        </w:rPr>
      </w:pPr>
      <w:r>
        <w:tab/>
      </w:r>
      <w:r w:rsidRPr="00802FC7">
        <w:t>(d)</w:t>
      </w:r>
      <w:r w:rsidRPr="00802FC7">
        <w:tab/>
        <w:t>sofosbuvir.</w:t>
      </w:r>
    </w:p>
    <w:p w:rsidR="00CA7652" w:rsidRPr="00E106BD" w:rsidRDefault="00CA7652" w:rsidP="00CA7652">
      <w:pPr>
        <w:pStyle w:val="subsection"/>
      </w:pPr>
      <w:r w:rsidRPr="00E106BD">
        <w:tab/>
        <w:t>(3)</w:t>
      </w:r>
      <w:r w:rsidRPr="00E106BD">
        <w:tab/>
        <w:t xml:space="preserve">A person mentioned in column 1 of an item of the following table is an </w:t>
      </w:r>
      <w:r w:rsidRPr="00E106BD">
        <w:rPr>
          <w:b/>
          <w:i/>
        </w:rPr>
        <w:t>authorised prescriber</w:t>
      </w:r>
      <w:r w:rsidRPr="00E106BD">
        <w:t xml:space="preserve"> for an HSD pharmaceutical benefit mentioned in column 2 of the item.</w:t>
      </w:r>
    </w:p>
    <w:p w:rsidR="00CA7652" w:rsidRPr="00E106BD" w:rsidRDefault="00CA7652" w:rsidP="00CA765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CA7652" w:rsidRPr="00E106BD" w:rsidTr="00607286">
        <w:trPr>
          <w:tblHeader/>
        </w:trPr>
        <w:tc>
          <w:tcPr>
            <w:tcW w:w="8312" w:type="dxa"/>
            <w:gridSpan w:val="3"/>
            <w:tcBorders>
              <w:top w:val="single" w:sz="12" w:space="0" w:color="auto"/>
              <w:bottom w:val="single" w:sz="6" w:space="0" w:color="auto"/>
            </w:tcBorders>
            <w:shd w:val="clear" w:color="auto" w:fill="auto"/>
          </w:tcPr>
          <w:p w:rsidR="00CA7652" w:rsidRPr="00E106BD" w:rsidRDefault="00CA7652" w:rsidP="00607286">
            <w:pPr>
              <w:pStyle w:val="TableHeading"/>
            </w:pPr>
            <w:r w:rsidRPr="00E106BD">
              <w:t>Authorised prescribers for certain HSD pharmaceutical benefits</w:t>
            </w:r>
          </w:p>
        </w:tc>
      </w:tr>
      <w:tr w:rsidR="00CA7652" w:rsidRPr="00E106BD" w:rsidTr="00607286">
        <w:trPr>
          <w:tblHeader/>
        </w:trPr>
        <w:tc>
          <w:tcPr>
            <w:tcW w:w="714" w:type="dxa"/>
            <w:tcBorders>
              <w:top w:val="single" w:sz="6" w:space="0" w:color="auto"/>
              <w:bottom w:val="single" w:sz="12" w:space="0" w:color="auto"/>
            </w:tcBorders>
            <w:shd w:val="clear" w:color="auto" w:fill="auto"/>
          </w:tcPr>
          <w:p w:rsidR="00CA7652" w:rsidRPr="00E106BD" w:rsidRDefault="00CA7652" w:rsidP="00607286">
            <w:pPr>
              <w:pStyle w:val="TableHeading"/>
            </w:pPr>
          </w:p>
          <w:p w:rsidR="00CA7652" w:rsidRPr="00E106BD" w:rsidRDefault="00CA7652" w:rsidP="00607286">
            <w:pPr>
              <w:pStyle w:val="TableHeading"/>
            </w:pPr>
            <w:r w:rsidRPr="00E106BD">
              <w:t>Item</w:t>
            </w:r>
          </w:p>
        </w:tc>
        <w:tc>
          <w:tcPr>
            <w:tcW w:w="3799" w:type="dxa"/>
            <w:tcBorders>
              <w:top w:val="single" w:sz="6" w:space="0" w:color="auto"/>
              <w:bottom w:val="single" w:sz="12" w:space="0" w:color="auto"/>
            </w:tcBorders>
            <w:shd w:val="clear" w:color="auto" w:fill="auto"/>
          </w:tcPr>
          <w:p w:rsidR="00CA7652" w:rsidRPr="00E106BD" w:rsidRDefault="00CA7652" w:rsidP="00607286">
            <w:pPr>
              <w:pStyle w:val="TableHeading"/>
            </w:pPr>
            <w:r w:rsidRPr="00E106BD">
              <w:t>Column 1</w:t>
            </w:r>
          </w:p>
          <w:p w:rsidR="00CA7652" w:rsidRPr="00E106BD" w:rsidRDefault="00CA7652" w:rsidP="00607286">
            <w:pPr>
              <w:pStyle w:val="TableHeading"/>
            </w:pPr>
            <w:r w:rsidRPr="00E106BD">
              <w:t>Person</w:t>
            </w:r>
          </w:p>
        </w:tc>
        <w:tc>
          <w:tcPr>
            <w:tcW w:w="3799" w:type="dxa"/>
            <w:tcBorders>
              <w:top w:val="single" w:sz="6" w:space="0" w:color="auto"/>
              <w:bottom w:val="single" w:sz="12" w:space="0" w:color="auto"/>
            </w:tcBorders>
            <w:shd w:val="clear" w:color="auto" w:fill="auto"/>
          </w:tcPr>
          <w:p w:rsidR="00CA7652" w:rsidRPr="00E106BD" w:rsidRDefault="00CA7652" w:rsidP="00607286">
            <w:pPr>
              <w:pStyle w:val="TableHeading"/>
            </w:pPr>
            <w:r w:rsidRPr="00E106BD">
              <w:t>Column 2</w:t>
            </w:r>
          </w:p>
          <w:p w:rsidR="00CA7652" w:rsidRPr="00E106BD" w:rsidRDefault="00CA7652" w:rsidP="00607286">
            <w:pPr>
              <w:pStyle w:val="TableHeading"/>
            </w:pPr>
            <w:r w:rsidRPr="00E106BD">
              <w:t>HSD pharmaceutical benefit</w:t>
            </w:r>
          </w:p>
        </w:tc>
      </w:tr>
      <w:tr w:rsidR="00CA7652" w:rsidRPr="00E106BD" w:rsidTr="00607286">
        <w:tc>
          <w:tcPr>
            <w:tcW w:w="714" w:type="dxa"/>
            <w:tcBorders>
              <w:top w:val="single" w:sz="12" w:space="0" w:color="auto"/>
            </w:tcBorders>
            <w:shd w:val="clear" w:color="auto" w:fill="auto"/>
          </w:tcPr>
          <w:p w:rsidR="00CA7652" w:rsidRPr="00E106BD" w:rsidRDefault="00CA7652" w:rsidP="00607286">
            <w:pPr>
              <w:pStyle w:val="Tabletext"/>
            </w:pPr>
            <w:r w:rsidRPr="00E106BD">
              <w:t>1</w:t>
            </w:r>
          </w:p>
        </w:tc>
        <w:tc>
          <w:tcPr>
            <w:tcW w:w="3799" w:type="dxa"/>
            <w:tcBorders>
              <w:top w:val="single" w:sz="12" w:space="0" w:color="auto"/>
            </w:tcBorders>
            <w:shd w:val="clear" w:color="auto" w:fill="auto"/>
          </w:tcPr>
          <w:p w:rsidR="00CA7652" w:rsidRPr="00E106BD" w:rsidRDefault="00CA7652" w:rsidP="00607286">
            <w:pPr>
              <w:pStyle w:val="Tabletext"/>
            </w:pPr>
            <w:r w:rsidRPr="00E106BD">
              <w:t>An accredited prescriber of medication for the treatment of hepatitis B</w:t>
            </w:r>
          </w:p>
        </w:tc>
        <w:tc>
          <w:tcPr>
            <w:tcW w:w="3799" w:type="dxa"/>
            <w:tcBorders>
              <w:top w:val="single" w:sz="12" w:space="0" w:color="auto"/>
            </w:tcBorders>
            <w:shd w:val="clear" w:color="auto" w:fill="auto"/>
          </w:tcPr>
          <w:p w:rsidR="00CA7652" w:rsidRPr="00E106BD" w:rsidRDefault="00CA7652" w:rsidP="00607286">
            <w:pPr>
              <w:pStyle w:val="Tabletext"/>
            </w:pPr>
            <w:r w:rsidRPr="00E106BD">
              <w:t>A medication for the treatment of hepatitis B</w:t>
            </w:r>
          </w:p>
        </w:tc>
      </w:tr>
      <w:tr w:rsidR="00CA7652" w:rsidRPr="00E106BD" w:rsidTr="00607286">
        <w:tc>
          <w:tcPr>
            <w:tcW w:w="714" w:type="dxa"/>
            <w:shd w:val="clear" w:color="auto" w:fill="auto"/>
          </w:tcPr>
          <w:p w:rsidR="00CA7652" w:rsidRPr="00E106BD" w:rsidRDefault="00CA7652" w:rsidP="00607286">
            <w:pPr>
              <w:pStyle w:val="Tabletext"/>
            </w:pPr>
            <w:r w:rsidRPr="00E106BD">
              <w:t>2</w:t>
            </w:r>
          </w:p>
        </w:tc>
        <w:tc>
          <w:tcPr>
            <w:tcW w:w="3799" w:type="dxa"/>
            <w:shd w:val="clear" w:color="auto" w:fill="auto"/>
          </w:tcPr>
          <w:p w:rsidR="00CA7652" w:rsidRPr="00E106BD" w:rsidRDefault="00CA7652" w:rsidP="00607286">
            <w:pPr>
              <w:pStyle w:val="Tabletext"/>
            </w:pPr>
            <w:r w:rsidRPr="00E106BD">
              <w:t>An accredited prescriber of medication for the treatment of hepatitis C</w:t>
            </w:r>
          </w:p>
        </w:tc>
        <w:tc>
          <w:tcPr>
            <w:tcW w:w="3799" w:type="dxa"/>
            <w:shd w:val="clear" w:color="auto" w:fill="auto"/>
          </w:tcPr>
          <w:p w:rsidR="00CA7652" w:rsidRPr="00E106BD" w:rsidRDefault="00CA7652" w:rsidP="00607286">
            <w:pPr>
              <w:pStyle w:val="Tabletext"/>
            </w:pPr>
            <w:r w:rsidRPr="00E106BD">
              <w:t>A medication for the treatment of hepatitis C</w:t>
            </w:r>
          </w:p>
        </w:tc>
      </w:tr>
      <w:tr w:rsidR="00CA7652" w:rsidRPr="00E106BD" w:rsidTr="00607286">
        <w:tc>
          <w:tcPr>
            <w:tcW w:w="714" w:type="dxa"/>
            <w:tcBorders>
              <w:top w:val="single" w:sz="2" w:space="0" w:color="auto"/>
              <w:bottom w:val="single" w:sz="12" w:space="0" w:color="auto"/>
            </w:tcBorders>
            <w:shd w:val="clear" w:color="auto" w:fill="auto"/>
          </w:tcPr>
          <w:p w:rsidR="00CA7652" w:rsidRPr="00E106BD" w:rsidRDefault="00CA7652" w:rsidP="00607286">
            <w:pPr>
              <w:pStyle w:val="Tabletext"/>
            </w:pPr>
            <w:r w:rsidRPr="00E106BD">
              <w:t>3</w:t>
            </w:r>
          </w:p>
        </w:tc>
        <w:tc>
          <w:tcPr>
            <w:tcW w:w="3799" w:type="dxa"/>
            <w:tcBorders>
              <w:top w:val="single" w:sz="2" w:space="0" w:color="auto"/>
              <w:bottom w:val="single" w:sz="12" w:space="0" w:color="auto"/>
            </w:tcBorders>
            <w:shd w:val="clear" w:color="auto" w:fill="auto"/>
          </w:tcPr>
          <w:p w:rsidR="00CA7652" w:rsidRPr="00E106BD" w:rsidRDefault="00CA7652" w:rsidP="00607286">
            <w:pPr>
              <w:pStyle w:val="Tabletext"/>
            </w:pPr>
            <w:r w:rsidRPr="00E106BD">
              <w:t>An accredited prescriber of medication for the treatment of HIV or AIDS</w:t>
            </w:r>
          </w:p>
        </w:tc>
        <w:tc>
          <w:tcPr>
            <w:tcW w:w="3799" w:type="dxa"/>
            <w:tcBorders>
              <w:top w:val="single" w:sz="2" w:space="0" w:color="auto"/>
              <w:bottom w:val="single" w:sz="12" w:space="0" w:color="auto"/>
            </w:tcBorders>
            <w:shd w:val="clear" w:color="auto" w:fill="auto"/>
          </w:tcPr>
          <w:p w:rsidR="00CA7652" w:rsidRPr="00E106BD" w:rsidRDefault="00CA7652" w:rsidP="00607286">
            <w:pPr>
              <w:pStyle w:val="Tabletext"/>
            </w:pPr>
            <w:r w:rsidRPr="00E106BD">
              <w:t>A medication for the treatment of HIV or AIDS</w:t>
            </w:r>
          </w:p>
        </w:tc>
      </w:tr>
    </w:tbl>
    <w:p w:rsidR="00A869FA" w:rsidRPr="00E106BD" w:rsidRDefault="00295F4A" w:rsidP="004E4760">
      <w:pPr>
        <w:pStyle w:val="ActHead3"/>
        <w:keepNext w:val="0"/>
        <w:keepLines w:val="0"/>
        <w:pageBreakBefore/>
      </w:pPr>
      <w:bookmarkStart w:id="7" w:name="_Toc53558936"/>
      <w:r w:rsidRPr="00E106BD">
        <w:rPr>
          <w:rStyle w:val="CharDivNo"/>
        </w:rPr>
        <w:t>Division</w:t>
      </w:r>
      <w:r w:rsidR="00E106BD">
        <w:rPr>
          <w:rStyle w:val="CharDivNo"/>
        </w:rPr>
        <w:t> </w:t>
      </w:r>
      <w:r w:rsidR="00A869FA" w:rsidRPr="00E106BD">
        <w:rPr>
          <w:rStyle w:val="CharDivNo"/>
        </w:rPr>
        <w:t>2</w:t>
      </w:r>
      <w:r w:rsidRPr="00E106BD">
        <w:t>—</w:t>
      </w:r>
      <w:r w:rsidR="00A869FA" w:rsidRPr="00E106BD">
        <w:rPr>
          <w:rStyle w:val="CharDivText"/>
        </w:rPr>
        <w:t>HSD pharmaceutical benefits</w:t>
      </w:r>
      <w:bookmarkEnd w:id="7"/>
    </w:p>
    <w:p w:rsidR="00A869FA" w:rsidRPr="00E106BD" w:rsidRDefault="00A869FA" w:rsidP="004E4760">
      <w:pPr>
        <w:pStyle w:val="ActHead5"/>
        <w:keepNext w:val="0"/>
        <w:keepLines w:val="0"/>
      </w:pPr>
      <w:bookmarkStart w:id="8" w:name="_Toc53558937"/>
      <w:r w:rsidRPr="00E106BD">
        <w:rPr>
          <w:rStyle w:val="CharSectno"/>
        </w:rPr>
        <w:t>5</w:t>
      </w:r>
      <w:r w:rsidR="00295F4A" w:rsidRPr="00E106BD">
        <w:t xml:space="preserve">  </w:t>
      </w:r>
      <w:r w:rsidRPr="00E106BD">
        <w:t>Pharmaceutical benefits covered by this Special Arrangement</w:t>
      </w:r>
      <w:bookmarkEnd w:id="8"/>
    </w:p>
    <w:p w:rsidR="00A869FA" w:rsidRPr="00E106BD" w:rsidRDefault="00A869FA" w:rsidP="004E4760">
      <w:pPr>
        <w:pStyle w:val="subsection"/>
      </w:pPr>
      <w:r w:rsidRPr="00E106BD">
        <w:rPr>
          <w:szCs w:val="24"/>
        </w:rPr>
        <w:tab/>
        <w:t>(1)</w:t>
      </w:r>
      <w:r w:rsidRPr="00E106BD">
        <w:rPr>
          <w:szCs w:val="24"/>
        </w:rPr>
        <w:tab/>
        <w:t>This Special Arrangement applies to each HSD pharmaceutical benefit mentioned in Schedule</w:t>
      </w:r>
      <w:r w:rsidR="00E106BD">
        <w:rPr>
          <w:szCs w:val="24"/>
        </w:rPr>
        <w:t> </w:t>
      </w:r>
      <w:r w:rsidRPr="00E106BD">
        <w:rPr>
          <w:szCs w:val="24"/>
        </w:rPr>
        <w:t>1.</w:t>
      </w:r>
    </w:p>
    <w:p w:rsidR="00A869FA" w:rsidRPr="00E106BD" w:rsidRDefault="00A869FA" w:rsidP="004E4760">
      <w:pPr>
        <w:pStyle w:val="subsection"/>
      </w:pPr>
      <w:r w:rsidRPr="00E106BD">
        <w:rPr>
          <w:szCs w:val="24"/>
        </w:rPr>
        <w:tab/>
        <w:t>(2)</w:t>
      </w:r>
      <w:r w:rsidRPr="00E106BD">
        <w:rPr>
          <w:szCs w:val="24"/>
        </w:rPr>
        <w:tab/>
        <w:t>Each HSD pharmaceutical benefit to which this Special Arrangement applies is a brand of a listed drug mentioned in Schedule</w:t>
      </w:r>
      <w:r w:rsidR="00E106BD">
        <w:rPr>
          <w:szCs w:val="24"/>
        </w:rPr>
        <w:t> </w:t>
      </w:r>
      <w:r w:rsidRPr="00E106BD">
        <w:rPr>
          <w:szCs w:val="24"/>
        </w:rPr>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rPr>
          <w:szCs w:val="24"/>
        </w:rPr>
        <w:tab/>
        <w:t>(b)</w:t>
      </w:r>
      <w:r w:rsidRPr="00E106BD">
        <w:rPr>
          <w:szCs w:val="24"/>
        </w:rPr>
        <w:tab/>
        <w:t>with the manner of administration mentioned in Schedule</w:t>
      </w:r>
      <w:r w:rsidR="00E106BD">
        <w:rPr>
          <w:szCs w:val="24"/>
        </w:rPr>
        <w:t> </w:t>
      </w:r>
      <w:r w:rsidRPr="00E106BD">
        <w:rPr>
          <w:szCs w:val="24"/>
        </w:rPr>
        <w:t xml:space="preserve">1 for the form of the listed drug. </w:t>
      </w:r>
    </w:p>
    <w:p w:rsidR="00A869FA" w:rsidRPr="00E106BD" w:rsidRDefault="00295F4A" w:rsidP="004E4760">
      <w:pPr>
        <w:pStyle w:val="notetext"/>
      </w:pPr>
      <w:r w:rsidRPr="00E106BD">
        <w:t>Note:</w:t>
      </w:r>
      <w:r w:rsidRPr="00E106BD">
        <w:tab/>
      </w:r>
      <w:r w:rsidR="00A869FA" w:rsidRPr="00E106BD">
        <w:t>Each listed drug mentioned in Schedule</w:t>
      </w:r>
      <w:r w:rsidR="00E106BD">
        <w:t> </w:t>
      </w:r>
      <w:r w:rsidR="00A869FA" w:rsidRPr="00E106BD">
        <w:t>1 is a highly specialised drug</w:t>
      </w:r>
      <w:r w:rsidRPr="00E106BD">
        <w:t>—</w:t>
      </w:r>
      <w:r w:rsidR="00A869FA" w:rsidRPr="00E106BD">
        <w:t xml:space="preserve">see definition of </w:t>
      </w:r>
      <w:r w:rsidR="00A869FA" w:rsidRPr="00E106BD">
        <w:rPr>
          <w:b/>
          <w:i/>
        </w:rPr>
        <w:t>highly specialised drug</w:t>
      </w:r>
      <w:r w:rsidR="00A869FA" w:rsidRPr="00E106BD">
        <w:rPr>
          <w:b/>
        </w:rPr>
        <w:t xml:space="preserve"> </w:t>
      </w:r>
      <w:r w:rsidR="00A869FA" w:rsidRPr="00E106BD">
        <w:t>in section</w:t>
      </w:r>
      <w:r w:rsidR="00E106BD">
        <w:t> </w:t>
      </w:r>
      <w:r w:rsidR="00A869FA" w:rsidRPr="00E106BD">
        <w:t>4. Each listed drug has been declared by the Minister under subsection</w:t>
      </w:r>
      <w:r w:rsidR="00E106BD">
        <w:t> </w:t>
      </w:r>
      <w:r w:rsidR="00A869FA" w:rsidRPr="00E106BD">
        <w:t>85(2) of the Act. The form, manner of administration and brand mentioned in Schedule</w:t>
      </w:r>
      <w:r w:rsidR="00E106BD">
        <w:t> </w:t>
      </w:r>
      <w:r w:rsidR="00A869FA" w:rsidRPr="00E106BD">
        <w:t>1 have been determined by the Minister under subsections</w:t>
      </w:r>
      <w:r w:rsidR="00E106BD">
        <w:t> </w:t>
      </w:r>
      <w:r w:rsidR="00A869FA" w:rsidRPr="00E106BD">
        <w:t>85(3), (5) and (6) of the Act respectively.</w:t>
      </w:r>
    </w:p>
    <w:p w:rsidR="00A869FA" w:rsidRPr="00E106BD" w:rsidRDefault="00A869FA" w:rsidP="004E4760">
      <w:pPr>
        <w:pStyle w:val="ActHead5"/>
        <w:keepNext w:val="0"/>
        <w:keepLines w:val="0"/>
      </w:pPr>
      <w:bookmarkStart w:id="9" w:name="_Toc53558938"/>
      <w:r w:rsidRPr="00E106BD">
        <w:rPr>
          <w:rStyle w:val="CharSectno"/>
        </w:rPr>
        <w:t>6</w:t>
      </w:r>
      <w:r w:rsidR="00295F4A" w:rsidRPr="00E106BD">
        <w:t xml:space="preserve">  </w:t>
      </w:r>
      <w:r w:rsidRPr="00E106BD">
        <w:t xml:space="preserve">Application of </w:t>
      </w:r>
      <w:r w:rsidR="00295F4A" w:rsidRPr="00E106BD">
        <w:t>Part</w:t>
      </w:r>
      <w:r w:rsidR="00D41F19" w:rsidRPr="00E106BD">
        <w:t> </w:t>
      </w:r>
      <w:r w:rsidRPr="00E106BD">
        <w:t>VII of the Act</w:t>
      </w:r>
      <w:bookmarkEnd w:id="9"/>
    </w:p>
    <w:p w:rsidR="00A869FA" w:rsidRPr="00E106BD" w:rsidRDefault="00A869FA" w:rsidP="004E4760">
      <w:pPr>
        <w:pStyle w:val="subsection"/>
      </w:pPr>
      <w:r w:rsidRPr="00E106BD">
        <w:rPr>
          <w:szCs w:val="24"/>
        </w:rPr>
        <w:tab/>
        <w:t>(1)</w:t>
      </w:r>
      <w:r w:rsidRPr="00E106BD">
        <w:rPr>
          <w:szCs w:val="24"/>
        </w:rPr>
        <w:tab/>
        <w:t xml:space="preserve">Each HSD pharmaceutical benefit supplied in accordance with this Special Arrangement is supplied under </w:t>
      </w:r>
      <w:r w:rsidR="00295F4A" w:rsidRPr="00E106BD">
        <w:rPr>
          <w:szCs w:val="24"/>
        </w:rPr>
        <w:t>Part</w:t>
      </w:r>
      <w:r w:rsidR="00D41F19" w:rsidRPr="00E106BD">
        <w:rPr>
          <w:szCs w:val="24"/>
        </w:rPr>
        <w:t> </w:t>
      </w:r>
      <w:r w:rsidRPr="00E106BD">
        <w:rPr>
          <w:szCs w:val="24"/>
        </w:rPr>
        <w:t>VII of the Act.</w:t>
      </w:r>
    </w:p>
    <w:p w:rsidR="00A869FA" w:rsidRPr="00E106BD" w:rsidRDefault="00A869FA" w:rsidP="004E4760">
      <w:pPr>
        <w:pStyle w:val="subsection"/>
      </w:pPr>
      <w:r w:rsidRPr="00E106BD">
        <w:rPr>
          <w:szCs w:val="24"/>
        </w:rPr>
        <w:tab/>
        <w:t>(2)</w:t>
      </w:r>
      <w:r w:rsidRPr="00E106BD">
        <w:rPr>
          <w:szCs w:val="24"/>
        </w:rPr>
        <w:tab/>
        <w:t xml:space="preserve">A provision of </w:t>
      </w:r>
      <w:r w:rsidR="00295F4A" w:rsidRPr="00E106BD">
        <w:rPr>
          <w:szCs w:val="24"/>
        </w:rPr>
        <w:t>Part</w:t>
      </w:r>
      <w:r w:rsidR="00D41F19" w:rsidRPr="00E106BD">
        <w:rPr>
          <w:szCs w:val="24"/>
        </w:rPr>
        <w:t> </w:t>
      </w:r>
      <w:r w:rsidRPr="00E106BD">
        <w:rPr>
          <w:szCs w:val="24"/>
        </w:rPr>
        <w:t xml:space="preserve">VII of the Act, or of regulations or other instruments made for </w:t>
      </w:r>
      <w:r w:rsidR="00295F4A" w:rsidRPr="00E106BD">
        <w:rPr>
          <w:szCs w:val="24"/>
        </w:rPr>
        <w:t>Part</w:t>
      </w:r>
      <w:r w:rsidR="00D41F19" w:rsidRPr="00E106BD">
        <w:rPr>
          <w:szCs w:val="24"/>
        </w:rPr>
        <w:t> </w:t>
      </w:r>
      <w:r w:rsidRPr="00E106BD">
        <w:rPr>
          <w:szCs w:val="24"/>
        </w:rPr>
        <w:t>VII of the Act, applies subject to this Special Arrangement.</w:t>
      </w:r>
    </w:p>
    <w:p w:rsidR="00A869FA" w:rsidRPr="00E106BD" w:rsidRDefault="00295F4A" w:rsidP="004E4760">
      <w:pPr>
        <w:pStyle w:val="notetext"/>
      </w:pPr>
      <w:r w:rsidRPr="00E106BD">
        <w:t>Note:</w:t>
      </w:r>
      <w:r w:rsidRPr="00E106BD">
        <w:tab/>
      </w:r>
      <w:r w:rsidR="00A869FA" w:rsidRPr="00E106BD">
        <w:t>See subsection</w:t>
      </w:r>
      <w:r w:rsidR="00E106BD">
        <w:t> </w:t>
      </w:r>
      <w:r w:rsidR="00A869FA" w:rsidRPr="00E106BD">
        <w:t>100(3) of the Act.</w:t>
      </w:r>
    </w:p>
    <w:p w:rsidR="00A869FA" w:rsidRPr="00E106BD" w:rsidRDefault="00A869FA" w:rsidP="004E4760">
      <w:pPr>
        <w:pStyle w:val="ActHead5"/>
        <w:keepNext w:val="0"/>
        <w:keepLines w:val="0"/>
      </w:pPr>
      <w:bookmarkStart w:id="10" w:name="_Toc53558939"/>
      <w:r w:rsidRPr="00E106BD">
        <w:rPr>
          <w:rStyle w:val="CharSectno"/>
        </w:rPr>
        <w:t>7</w:t>
      </w:r>
      <w:r w:rsidR="00295F4A" w:rsidRPr="00E106BD">
        <w:t xml:space="preserve">  </w:t>
      </w:r>
      <w:r w:rsidRPr="00E106BD">
        <w:t>Responsible person</w:t>
      </w:r>
      <w:bookmarkEnd w:id="10"/>
    </w:p>
    <w:p w:rsidR="00A869FA" w:rsidRPr="00E106BD" w:rsidRDefault="00A869FA" w:rsidP="004E4760">
      <w:pPr>
        <w:pStyle w:val="subsection"/>
      </w:pPr>
      <w:r w:rsidRPr="00E106BD">
        <w:rPr>
          <w:szCs w:val="24"/>
        </w:rPr>
        <w:tab/>
        <w:t>(1)</w:t>
      </w:r>
      <w:r w:rsidRPr="00E106BD">
        <w:rPr>
          <w:szCs w:val="24"/>
        </w:rPr>
        <w:tab/>
        <w:t>If a code is mentioned in the column in Schedule</w:t>
      </w:r>
      <w:r w:rsidR="00E106BD">
        <w:rPr>
          <w:szCs w:val="24"/>
        </w:rPr>
        <w:t> </w:t>
      </w:r>
      <w:r w:rsidRPr="00E106BD">
        <w:rPr>
          <w:szCs w:val="24"/>
        </w:rPr>
        <w:t xml:space="preserve">1 headed ‘Responsible Person’ for a brand of a pharmaceutical item, the person mentioned in </w:t>
      </w:r>
      <w:r w:rsidR="00E106BD">
        <w:rPr>
          <w:szCs w:val="24"/>
        </w:rPr>
        <w:t>paragraph (</w:t>
      </w:r>
      <w:r w:rsidRPr="00E106BD">
        <w:rPr>
          <w:szCs w:val="24"/>
        </w:rPr>
        <w:t>2)(a) is the responsible person for the brand of the pharmaceutical item.</w:t>
      </w:r>
    </w:p>
    <w:p w:rsidR="00A869FA" w:rsidRPr="00E106BD" w:rsidRDefault="00A869FA" w:rsidP="004E4760">
      <w:pPr>
        <w:pStyle w:val="subsection"/>
      </w:pPr>
      <w:r w:rsidRPr="00E106BD">
        <w:rPr>
          <w:szCs w:val="24"/>
        </w:rPr>
        <w:tab/>
        <w:t>(2)</w:t>
      </w:r>
      <w:r w:rsidRPr="00E106BD">
        <w:rPr>
          <w:szCs w:val="24"/>
        </w:rPr>
        <w:tab/>
        <w:t xml:space="preserve">For </w:t>
      </w:r>
      <w:r w:rsidR="00E106BD">
        <w:rPr>
          <w:szCs w:val="24"/>
        </w:rPr>
        <w:t>subsection (</w:t>
      </w:r>
      <w:r w:rsidRPr="00E106BD">
        <w:rPr>
          <w:szCs w:val="24"/>
        </w:rPr>
        <w:t>1):</w:t>
      </w:r>
    </w:p>
    <w:p w:rsidR="00A869FA" w:rsidRPr="00E106BD" w:rsidRDefault="00A869FA" w:rsidP="004E4760">
      <w:pPr>
        <w:pStyle w:val="paragraph"/>
      </w:pPr>
      <w:r w:rsidRPr="00E106BD">
        <w:rPr>
          <w:szCs w:val="24"/>
        </w:rPr>
        <w:tab/>
        <w:t>(a)</w:t>
      </w:r>
      <w:r w:rsidRPr="00E106BD">
        <w:rPr>
          <w:szCs w:val="24"/>
        </w:rPr>
        <w:tab/>
        <w:t>the person is the person mentioned in Schedule</w:t>
      </w:r>
      <w:r w:rsidR="00E106BD">
        <w:rPr>
          <w:szCs w:val="24"/>
        </w:rPr>
        <w:t> </w:t>
      </w:r>
      <w:r w:rsidRPr="00E106BD">
        <w:rPr>
          <w:szCs w:val="24"/>
        </w:rPr>
        <w:t>2 for the code, with the ABN, if any, mentioned in Schedule</w:t>
      </w:r>
      <w:r w:rsidR="00E106BD">
        <w:rPr>
          <w:szCs w:val="24"/>
        </w:rPr>
        <w:t> </w:t>
      </w:r>
      <w:r w:rsidRPr="00E106BD">
        <w:rPr>
          <w:szCs w:val="24"/>
        </w:rPr>
        <w:t>2 for the person; and</w:t>
      </w:r>
    </w:p>
    <w:p w:rsidR="00A869FA" w:rsidRPr="00E106BD" w:rsidRDefault="00A869FA" w:rsidP="004E4760">
      <w:pPr>
        <w:pStyle w:val="paragraph"/>
      </w:pPr>
      <w:r w:rsidRPr="00E106BD">
        <w:tab/>
        <w:t>(b)</w:t>
      </w:r>
      <w:r w:rsidRPr="00E106BD">
        <w:tab/>
        <w:t>the pharmaceutical item is the listed drug mentioned in Schedule</w:t>
      </w:r>
      <w:r w:rsidR="00E106BD">
        <w:t> </w:t>
      </w:r>
      <w:r w:rsidRPr="00E106BD">
        <w:t>1:</w:t>
      </w:r>
    </w:p>
    <w:p w:rsidR="00A869FA" w:rsidRPr="00E106BD" w:rsidRDefault="00A869FA" w:rsidP="004E4760">
      <w:pPr>
        <w:pStyle w:val="paragraphsub"/>
      </w:pPr>
      <w:r w:rsidRPr="00E106BD">
        <w:rPr>
          <w:szCs w:val="24"/>
        </w:rPr>
        <w:tab/>
        <w:t>(i)</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sub"/>
      </w:pPr>
      <w:r w:rsidRPr="00E106BD">
        <w:tab/>
        <w:t>(ii)</w:t>
      </w:r>
      <w:r w:rsidRPr="00E106BD">
        <w:tab/>
        <w:t>with the manner of administration mentioned in Schedule</w:t>
      </w:r>
      <w:r w:rsidR="00E106BD">
        <w:t> </w:t>
      </w:r>
      <w:r w:rsidRPr="00E106BD">
        <w:t>1 for the form of the listed drug.</w:t>
      </w:r>
    </w:p>
    <w:p w:rsidR="00A869FA" w:rsidRPr="00E106BD" w:rsidRDefault="00295F4A" w:rsidP="004E4760">
      <w:pPr>
        <w:pStyle w:val="notetext"/>
      </w:pPr>
      <w:r w:rsidRPr="00E106BD">
        <w:t>Note:</w:t>
      </w:r>
      <w:r w:rsidRPr="00E106BD">
        <w:tab/>
      </w:r>
      <w:r w:rsidR="00A869FA" w:rsidRPr="00E106BD">
        <w:t>An HSD pharmaceutical benefit mentioned in Schedule</w:t>
      </w:r>
      <w:r w:rsidR="00E106BD">
        <w:t> </w:t>
      </w:r>
      <w:r w:rsidR="00A869FA" w:rsidRPr="00E106BD">
        <w:t>1 is a brand of a pharmaceutical item.</w:t>
      </w:r>
    </w:p>
    <w:p w:rsidR="00A869FA" w:rsidRPr="00E106BD" w:rsidRDefault="00295F4A" w:rsidP="004E4760">
      <w:pPr>
        <w:pStyle w:val="notetext"/>
      </w:pPr>
      <w:r w:rsidRPr="00E106BD">
        <w:t>Note:</w:t>
      </w:r>
      <w:r w:rsidRPr="00E106BD">
        <w:tab/>
      </w:r>
      <w:r w:rsidR="00A869FA" w:rsidRPr="00E106BD">
        <w:t>A person identified by a code in the column headed ‘Responsible Person’ in Schedule</w:t>
      </w:r>
      <w:r w:rsidR="00E106BD">
        <w:t> </w:t>
      </w:r>
      <w:r w:rsidR="00A869FA" w:rsidRPr="00E106BD">
        <w:t>1 has been determined by the Minister, under section</w:t>
      </w:r>
      <w:r w:rsidR="00E106BD">
        <w:t> </w:t>
      </w:r>
      <w:r w:rsidR="00A869FA" w:rsidRPr="00E106BD">
        <w:t>84AF of the Act, to be the responsible person for the brand of the pharmaceutical item.</w:t>
      </w:r>
    </w:p>
    <w:p w:rsidR="009D3D04" w:rsidRPr="00E106BD" w:rsidRDefault="009D3D04" w:rsidP="009D3D04">
      <w:pPr>
        <w:pStyle w:val="ActHead5"/>
      </w:pPr>
      <w:bookmarkStart w:id="11" w:name="_Toc53558940"/>
      <w:r w:rsidRPr="00E106BD">
        <w:rPr>
          <w:rStyle w:val="CharSectno"/>
        </w:rPr>
        <w:t>8</w:t>
      </w:r>
      <w:r w:rsidRPr="00E106BD">
        <w:t xml:space="preserve">  Prescribing of HSD pharmaceutical benefits—authorised prescribers</w:t>
      </w:r>
      <w:bookmarkEnd w:id="11"/>
    </w:p>
    <w:p w:rsidR="009D3D04" w:rsidRPr="00E106BD" w:rsidRDefault="009D3D04" w:rsidP="009D3D04">
      <w:pPr>
        <w:pStyle w:val="subsection"/>
      </w:pPr>
      <w:r w:rsidRPr="00E106BD">
        <w:tab/>
        <w:t>(1)</w:t>
      </w:r>
      <w:r w:rsidRPr="00E106BD">
        <w:tab/>
        <w:t>For the purposes of subsection</w:t>
      </w:r>
      <w:r w:rsidR="00E106BD">
        <w:t> </w:t>
      </w:r>
      <w:r w:rsidRPr="00E106BD">
        <w:t>88(1) of the Act applying to a medical practitioner who is an authorised prescriber for an HSD pharmaceutical benefit, the benefit is determined.</w:t>
      </w:r>
    </w:p>
    <w:p w:rsidR="009D3D04" w:rsidRPr="00E106BD" w:rsidRDefault="009D3D04" w:rsidP="009D3D04">
      <w:pPr>
        <w:pStyle w:val="subsection"/>
      </w:pPr>
      <w:r w:rsidRPr="00E106BD">
        <w:tab/>
        <w:t>(2)</w:t>
      </w:r>
      <w:r w:rsidRPr="00E106BD">
        <w:tab/>
        <w:t>For the purposes of subsection</w:t>
      </w:r>
      <w:r w:rsidR="00E106BD">
        <w:t> </w:t>
      </w:r>
      <w:r w:rsidRPr="00E106BD">
        <w:t>88(1E) of the Act applying to an authorised nurse practitioner who is an authorised prescriber for an HSD pharmaceutical benefit, the benefit is determined.</w:t>
      </w:r>
    </w:p>
    <w:p w:rsidR="00A869FA" w:rsidRPr="00E106BD" w:rsidRDefault="00A869FA" w:rsidP="004E4760">
      <w:pPr>
        <w:pStyle w:val="subsection"/>
      </w:pPr>
      <w:r w:rsidRPr="00E106BD">
        <w:tab/>
        <w:t>(4)</w:t>
      </w:r>
      <w:r w:rsidRPr="00E106BD">
        <w:tab/>
        <w:t xml:space="preserve">For </w:t>
      </w:r>
      <w:r w:rsidR="00E106BD">
        <w:t>subsection (</w:t>
      </w:r>
      <w:r w:rsidRPr="00E106BD">
        <w:t>1), the HSD pharmaceutical benefit is the brand of the listed drug mentioned in Schedule</w:t>
      </w:r>
      <w:r w:rsidR="00E106BD">
        <w:t> </w:t>
      </w:r>
      <w:r w:rsidRPr="00E106BD">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 xml:space="preserve">1 for the form of the listed drug. </w:t>
      </w:r>
    </w:p>
    <w:p w:rsidR="009D3D04" w:rsidRPr="00E106BD" w:rsidRDefault="009D3D04" w:rsidP="009D3D04">
      <w:pPr>
        <w:pStyle w:val="subsection"/>
      </w:pPr>
      <w:r w:rsidRPr="00E106BD">
        <w:tab/>
        <w:t>(5)</w:t>
      </w:r>
      <w:r w:rsidRPr="00E106BD">
        <w:tab/>
        <w:t>Subsection</w:t>
      </w:r>
      <w:r w:rsidR="00E106BD">
        <w:t> </w:t>
      </w:r>
      <w:r w:rsidRPr="00E106BD">
        <w:t xml:space="preserve">9(1A) of the </w:t>
      </w:r>
      <w:r w:rsidRPr="00E106BD">
        <w:rPr>
          <w:i/>
        </w:rPr>
        <w:t>National Health (Listing of Pharmaceutical Benefits) Instrument 2012</w:t>
      </w:r>
      <w:r w:rsidRPr="00E106BD">
        <w:t xml:space="preserve"> (which provides for the pharmaceutical benefits for which medical practitioners are authorised to write prescriptions) does not apply to an HSD pharmaceutical benefit other than a medication for the treatment of hepatitis C.</w:t>
      </w:r>
    </w:p>
    <w:p w:rsidR="00A869FA" w:rsidRPr="00E106BD" w:rsidRDefault="00A869FA" w:rsidP="004E4760">
      <w:pPr>
        <w:pStyle w:val="ActHead5"/>
        <w:keepNext w:val="0"/>
        <w:keepLines w:val="0"/>
      </w:pPr>
      <w:bookmarkStart w:id="12" w:name="_Toc53558941"/>
      <w:r w:rsidRPr="00E106BD">
        <w:rPr>
          <w:rStyle w:val="CharSectno"/>
        </w:rPr>
        <w:t>9</w:t>
      </w:r>
      <w:r w:rsidR="00295F4A" w:rsidRPr="00E106BD">
        <w:t xml:space="preserve">  </w:t>
      </w:r>
      <w:r w:rsidRPr="00E106BD">
        <w:t>Prescription circumstances</w:t>
      </w:r>
      <w:bookmarkEnd w:id="12"/>
    </w:p>
    <w:p w:rsidR="00A869FA" w:rsidRPr="00E106BD" w:rsidRDefault="00A869FA" w:rsidP="004E4760">
      <w:pPr>
        <w:pStyle w:val="subsection"/>
      </w:pPr>
      <w:r w:rsidRPr="00E106BD">
        <w:rPr>
          <w:szCs w:val="24"/>
        </w:rPr>
        <w:tab/>
        <w:t>(1)</w:t>
      </w:r>
      <w:r w:rsidRPr="00E106BD">
        <w:rPr>
          <w:szCs w:val="24"/>
        </w:rPr>
        <w:tab/>
        <w:t>If at least 1 circumstances code is mentioned in the column in Schedule</w:t>
      </w:r>
      <w:r w:rsidR="00E106BD">
        <w:rPr>
          <w:szCs w:val="24"/>
        </w:rPr>
        <w:t> </w:t>
      </w:r>
      <w:r w:rsidRPr="00E106BD">
        <w:rPr>
          <w:szCs w:val="24"/>
        </w:rPr>
        <w:t>1 headed ‘Circumstances’ for an HSD pharmaceutical benefit, the circumstances mentioned in Schedule</w:t>
      </w:r>
      <w:r w:rsidR="00E106BD">
        <w:rPr>
          <w:szCs w:val="24"/>
        </w:rPr>
        <w:t> </w:t>
      </w:r>
      <w:r w:rsidRPr="00E106BD">
        <w:rPr>
          <w:szCs w:val="24"/>
        </w:rPr>
        <w:t>3 for the code are the circumstances in which a prescription for the supply of the HSD pharmaceutical benefit may be written.</w:t>
      </w:r>
    </w:p>
    <w:p w:rsidR="00A869FA" w:rsidRPr="00E106BD" w:rsidRDefault="00A869FA" w:rsidP="004E4760">
      <w:pPr>
        <w:pStyle w:val="subsection"/>
      </w:pPr>
      <w:r w:rsidRPr="00E106BD">
        <w:rPr>
          <w:szCs w:val="24"/>
        </w:rPr>
        <w:tab/>
        <w:t>(2)</w:t>
      </w:r>
      <w:r w:rsidRPr="00E106BD">
        <w:rPr>
          <w:szCs w:val="24"/>
        </w:rPr>
        <w:tab/>
        <w:t xml:space="preserve">For </w:t>
      </w:r>
      <w:r w:rsidR="00E106BD">
        <w:rPr>
          <w:szCs w:val="24"/>
        </w:rPr>
        <w:t>subsection (</w:t>
      </w:r>
      <w:r w:rsidRPr="00E106BD">
        <w:rPr>
          <w:szCs w:val="24"/>
        </w:rPr>
        <w:t>1), the HSD pharmaceutical benefit is the brand of the listed drug mentioned in Schedule</w:t>
      </w:r>
      <w:r w:rsidR="00E106BD">
        <w:rPr>
          <w:szCs w:val="24"/>
        </w:rPr>
        <w:t> </w:t>
      </w:r>
      <w:r w:rsidRPr="00E106BD">
        <w:rPr>
          <w:szCs w:val="24"/>
        </w:rPr>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1 for the form of the listed drug.</w:t>
      </w:r>
    </w:p>
    <w:p w:rsidR="007E6891" w:rsidRPr="00A9722D" w:rsidRDefault="007E6891" w:rsidP="007E6891">
      <w:pPr>
        <w:pStyle w:val="subsection"/>
      </w:pPr>
      <w:r w:rsidRPr="00A9722D">
        <w:tab/>
        <w:t>(3)</w:t>
      </w:r>
      <w:r w:rsidRPr="00A9722D">
        <w:tab/>
        <w:t>This section has effect subject to section 9AA (which temporarily modifies the circumstances mentioned in Schedule 3 for circumstances codes for HSD pharmaceutical benefits that are pharmaceutical items described in Schedule 5).</w:t>
      </w:r>
    </w:p>
    <w:p w:rsidR="007E6891" w:rsidRPr="00A9722D" w:rsidRDefault="007E6891" w:rsidP="007E6891">
      <w:pPr>
        <w:pStyle w:val="ActHead5"/>
      </w:pPr>
      <w:bookmarkStart w:id="13" w:name="_Toc53558942"/>
      <w:r w:rsidRPr="00B65989">
        <w:rPr>
          <w:rStyle w:val="CharSectno"/>
        </w:rPr>
        <w:t>9AA</w:t>
      </w:r>
      <w:r w:rsidRPr="00A9722D">
        <w:t xml:space="preserve">  Modified prescription circumstances during COVID</w:t>
      </w:r>
      <w:r>
        <w:noBreakHyphen/>
      </w:r>
      <w:r w:rsidRPr="00A9722D">
        <w:t>19 pandemic</w:t>
      </w:r>
      <w:bookmarkEnd w:id="13"/>
    </w:p>
    <w:p w:rsidR="007E6891" w:rsidRPr="00A9722D" w:rsidRDefault="007E6891" w:rsidP="007E6891">
      <w:pPr>
        <w:pStyle w:val="subsection"/>
      </w:pPr>
      <w:r w:rsidRPr="00A9722D">
        <w:tab/>
        <w:t>(1)</w:t>
      </w:r>
      <w:r w:rsidRPr="00A9722D">
        <w:tab/>
        <w:t xml:space="preserve">This section affects the circumstances in which a prescription may be written by an authorised prescriber for the supply of an HSD pharmaceutical benefit that is a listed brand of a pharmaceutical item described in Schedule 5 to a person (the </w:t>
      </w:r>
      <w:r w:rsidRPr="00A9722D">
        <w:rPr>
          <w:b/>
          <w:i/>
        </w:rPr>
        <w:t>patient</w:t>
      </w:r>
      <w:r w:rsidRPr="00A9722D">
        <w:t>) if the authorised prescriber is satisfied the patient has, in accordance with this Special Arrangement, already been supplied with the benefit on the basis of a prescription written in circumstances determined by subsection 9(1) unaffected by this section.</w:t>
      </w:r>
    </w:p>
    <w:p w:rsidR="007E6891" w:rsidRPr="00A9722D" w:rsidRDefault="007E6891" w:rsidP="007E6891">
      <w:pPr>
        <w:pStyle w:val="subsection"/>
      </w:pPr>
      <w:r w:rsidRPr="00A9722D">
        <w:tab/>
        <w:t>(2)</w:t>
      </w:r>
      <w:r w:rsidRPr="00A9722D">
        <w:tab/>
        <w:t>For the purposes of subsection 9(1), Schedule 3 has effect as if each circumstances code for the HSD pharmaceutical benefit:</w:t>
      </w:r>
    </w:p>
    <w:p w:rsidR="007E6891" w:rsidRPr="00A9722D" w:rsidRDefault="007E6891" w:rsidP="007E6891">
      <w:pPr>
        <w:pStyle w:val="paragraph"/>
      </w:pPr>
      <w:r w:rsidRPr="00A9722D">
        <w:tab/>
        <w:t>(a)</w:t>
      </w:r>
      <w:r w:rsidRPr="00A9722D">
        <w:tab/>
        <w:t>did not mention any circumstance that, having regard to the patient’s situation and the state of affairs associated with precautions against the spread of the coronavirus known as COVID</w:t>
      </w:r>
      <w:r>
        <w:noBreakHyphen/>
      </w:r>
      <w:r w:rsidRPr="00A9722D">
        <w:t>19, it is not reasonably practicable to establish in relation to the patient; and</w:t>
      </w:r>
    </w:p>
    <w:p w:rsidR="007E6891" w:rsidRPr="00A9722D" w:rsidRDefault="007E6891" w:rsidP="007E6891">
      <w:pPr>
        <w:pStyle w:val="paragraph"/>
      </w:pPr>
      <w:r w:rsidRPr="00A9722D">
        <w:tab/>
        <w:t>(b)</w:t>
      </w:r>
      <w:r w:rsidRPr="00A9722D">
        <w:tab/>
        <w:t>mentioned the circumstance that the authorised prescriber keeps a written record of the reason it is not practicable to establish the circumstance described in paragraph (a).</w:t>
      </w:r>
    </w:p>
    <w:p w:rsidR="007E6891" w:rsidRPr="00A9722D" w:rsidRDefault="007E6891" w:rsidP="007E6891">
      <w:pPr>
        <w:pStyle w:val="subsection"/>
      </w:pPr>
      <w:r w:rsidRPr="00A9722D">
        <w:tab/>
        <w:t>(3)</w:t>
      </w:r>
      <w:r w:rsidRPr="00A9722D">
        <w:tab/>
        <w:t xml:space="preserve">This section, subsection 9(3) and Schedule 5 are repealed at the start of </w:t>
      </w:r>
      <w:r w:rsidR="00A653CA" w:rsidRPr="0056335B">
        <w:rPr>
          <w:szCs w:val="22"/>
        </w:rPr>
        <w:t>1 April 2021</w:t>
      </w:r>
      <w:r w:rsidRPr="00A9722D">
        <w:t>.</w:t>
      </w:r>
    </w:p>
    <w:p w:rsidR="00EF55DE" w:rsidRPr="00E106BD" w:rsidRDefault="00EF55DE" w:rsidP="004E4760">
      <w:pPr>
        <w:pStyle w:val="ActHead5"/>
        <w:keepNext w:val="0"/>
        <w:keepLines w:val="0"/>
      </w:pPr>
      <w:bookmarkStart w:id="14" w:name="_Toc53558943"/>
      <w:r w:rsidRPr="00E106BD">
        <w:rPr>
          <w:rStyle w:val="CharSectno"/>
        </w:rPr>
        <w:t>9A</w:t>
      </w:r>
      <w:r w:rsidRPr="00E106BD">
        <w:t xml:space="preserve">  HSD pharmaceutical benefits which may be supplied to public hospital admitted patients</w:t>
      </w:r>
      <w:bookmarkEnd w:id="14"/>
    </w:p>
    <w:p w:rsidR="00EF55DE" w:rsidRPr="00E106BD" w:rsidRDefault="00EF55DE" w:rsidP="004E4760">
      <w:pPr>
        <w:pStyle w:val="subsection2"/>
      </w:pPr>
      <w:r w:rsidRPr="00E106BD">
        <w:t>The HSD pharmaceutical benefits which may be supplied to public hospital admitted patients under this Special Arrangement are referred to in the table below:</w:t>
      </w:r>
    </w:p>
    <w:p w:rsidR="00EF55DE" w:rsidRPr="00E106BD" w:rsidRDefault="00EF55DE" w:rsidP="004E4760">
      <w:pPr>
        <w:pStyle w:val="paragraph"/>
      </w:pPr>
      <w:r w:rsidRPr="00E106BD">
        <w:tab/>
        <w:t>(a)</w:t>
      </w:r>
      <w:r w:rsidRPr="00E106BD">
        <w:tab/>
        <w:t xml:space="preserve">if a drug is referred to in the table below and </w:t>
      </w:r>
      <w:r w:rsidR="00E106BD">
        <w:t>paragraphs (</w:t>
      </w:r>
      <w:r w:rsidRPr="00E106BD">
        <w:t>b), (c) and (d) do not apply – all HSD pharmaceutical benefits containing that drug;</w:t>
      </w:r>
    </w:p>
    <w:p w:rsidR="00EF55DE" w:rsidRPr="00E106BD" w:rsidRDefault="00EF55DE" w:rsidP="004E4760">
      <w:pPr>
        <w:pStyle w:val="paragraph"/>
      </w:pPr>
      <w:r w:rsidRPr="00E106BD">
        <w:tab/>
        <w:t>(b)</w:t>
      </w:r>
      <w:r w:rsidRPr="00E106BD">
        <w:tab/>
        <w:t xml:space="preserve">if a form of the drug is referred to in the table below and </w:t>
      </w:r>
      <w:r w:rsidR="00E106BD">
        <w:t>paragraphs (</w:t>
      </w:r>
      <w:r w:rsidRPr="00E106BD">
        <w:t>c) and (d) do not apply – all HSD pharmaceutical benefits containing that drug in that form;</w:t>
      </w:r>
    </w:p>
    <w:p w:rsidR="00EF55DE" w:rsidRPr="00E106BD" w:rsidRDefault="00EF55DE" w:rsidP="004E4760">
      <w:pPr>
        <w:pStyle w:val="paragraph"/>
      </w:pPr>
      <w:r w:rsidRPr="00E106BD">
        <w:tab/>
        <w:t>(c)</w:t>
      </w:r>
      <w:r w:rsidRPr="00E106BD">
        <w:tab/>
        <w:t xml:space="preserve">if a manner of administration of that form of the drug is referred to in the table below and </w:t>
      </w:r>
      <w:r w:rsidR="00E106BD">
        <w:t>paragraph (</w:t>
      </w:r>
      <w:r w:rsidRPr="00E106BD">
        <w:t>d) does not apply – all HSD pharmaceutical benefits containing that drug in that form with that manner of administration;</w:t>
      </w:r>
    </w:p>
    <w:p w:rsidR="00EF55DE" w:rsidRPr="00E106BD" w:rsidRDefault="00EF55DE" w:rsidP="004E4760">
      <w:pPr>
        <w:pStyle w:val="paragraph"/>
      </w:pPr>
      <w:r w:rsidRPr="00E106BD">
        <w:tab/>
        <w:t>(d)</w:t>
      </w:r>
      <w:r w:rsidRPr="00E106BD">
        <w:tab/>
        <w:t>if a brand of a drug in that form with that manner of administration is referred to in the table below – that brand of HSD pharmaceutical benefit containing that drug in that form with that manner of administration;</w:t>
      </w:r>
    </w:p>
    <w:p w:rsidR="00EF55DE" w:rsidRPr="00E106BD" w:rsidRDefault="00EF55DE" w:rsidP="004E4760">
      <w:pPr>
        <w:pStyle w:val="paragraph"/>
      </w:pPr>
      <w:r w:rsidRPr="00E106BD">
        <w:tab/>
        <w:t>(e)</w:t>
      </w:r>
      <w:r w:rsidRPr="00E106BD">
        <w:tab/>
        <w:t>if one or more circumstances and/or purposes code is identified in the table below – the HSD pharmaceutical benefit must be prescribed for one of those circumstances and/or purposes.</w:t>
      </w:r>
    </w:p>
    <w:p w:rsidR="00EF55DE" w:rsidRPr="00E106BD" w:rsidRDefault="00EF55DE" w:rsidP="004E4760"/>
    <w:tbl>
      <w:tblPr>
        <w:tblStyle w:val="TableGrid"/>
        <w:tblW w:w="5000" w:type="pct"/>
        <w:tblLook w:val="04A0" w:firstRow="1" w:lastRow="0" w:firstColumn="1" w:lastColumn="0" w:noHBand="0" w:noVBand="1"/>
      </w:tblPr>
      <w:tblGrid>
        <w:gridCol w:w="1552"/>
        <w:gridCol w:w="1085"/>
        <w:gridCol w:w="1861"/>
        <w:gridCol w:w="1085"/>
        <w:gridCol w:w="1706"/>
        <w:gridCol w:w="1240"/>
      </w:tblGrid>
      <w:tr w:rsidR="00F755E2" w:rsidRPr="00E106BD" w:rsidTr="0069450D">
        <w:tc>
          <w:tcPr>
            <w:tcW w:w="909" w:type="pct"/>
          </w:tcPr>
          <w:p w:rsidR="00EF55DE" w:rsidRPr="00E106BD" w:rsidRDefault="00EF55DE" w:rsidP="004E4760">
            <w:pPr>
              <w:pStyle w:val="TableHeading"/>
              <w:keepNext w:val="0"/>
            </w:pPr>
            <w:r w:rsidRPr="00E106BD">
              <w:t>Drug</w:t>
            </w:r>
          </w:p>
        </w:tc>
        <w:tc>
          <w:tcPr>
            <w:tcW w:w="636" w:type="pct"/>
          </w:tcPr>
          <w:p w:rsidR="00EF55DE" w:rsidRPr="00E106BD" w:rsidRDefault="00EF55DE" w:rsidP="004E4760">
            <w:pPr>
              <w:pStyle w:val="TableHeading"/>
              <w:keepNext w:val="0"/>
            </w:pPr>
            <w:r w:rsidRPr="00E106BD">
              <w:t>Form</w:t>
            </w:r>
          </w:p>
        </w:tc>
        <w:tc>
          <w:tcPr>
            <w:tcW w:w="1091" w:type="pct"/>
          </w:tcPr>
          <w:p w:rsidR="00EF55DE" w:rsidRPr="00E106BD" w:rsidRDefault="00EF55DE" w:rsidP="004E4760">
            <w:pPr>
              <w:pStyle w:val="TableHeading"/>
              <w:keepNext w:val="0"/>
            </w:pPr>
            <w:r w:rsidRPr="00E106BD">
              <w:t>Manner of Administration</w:t>
            </w:r>
          </w:p>
        </w:tc>
        <w:tc>
          <w:tcPr>
            <w:tcW w:w="636" w:type="pct"/>
          </w:tcPr>
          <w:p w:rsidR="00EF55DE" w:rsidRPr="00E106BD" w:rsidRDefault="00EF55DE" w:rsidP="004E4760">
            <w:pPr>
              <w:pStyle w:val="TableHeading"/>
              <w:keepNext w:val="0"/>
            </w:pPr>
            <w:r w:rsidRPr="00E106BD">
              <w:t>Brand</w:t>
            </w:r>
          </w:p>
        </w:tc>
        <w:tc>
          <w:tcPr>
            <w:tcW w:w="1000" w:type="pct"/>
          </w:tcPr>
          <w:p w:rsidR="00EF55DE" w:rsidRPr="00E106BD" w:rsidRDefault="00EF55DE" w:rsidP="004E4760">
            <w:pPr>
              <w:pStyle w:val="TableHeading"/>
              <w:keepNext w:val="0"/>
            </w:pPr>
            <w:r w:rsidRPr="00E106BD">
              <w:t>Circumstances</w:t>
            </w:r>
          </w:p>
          <w:p w:rsidR="00EF55DE" w:rsidRPr="00E106BD" w:rsidRDefault="00EF55DE" w:rsidP="004E4760">
            <w:pPr>
              <w:pStyle w:val="TableHeading"/>
              <w:keepNext w:val="0"/>
            </w:pPr>
            <w:r w:rsidRPr="00E106BD">
              <w:t xml:space="preserve">Code </w:t>
            </w:r>
          </w:p>
        </w:tc>
        <w:tc>
          <w:tcPr>
            <w:tcW w:w="727" w:type="pct"/>
          </w:tcPr>
          <w:p w:rsidR="00EF55DE" w:rsidRPr="00E106BD" w:rsidRDefault="00EF55DE" w:rsidP="004E4760">
            <w:pPr>
              <w:pStyle w:val="TableHeading"/>
              <w:keepNext w:val="0"/>
            </w:pPr>
            <w:r w:rsidRPr="00E106BD">
              <w:t>Purposes</w:t>
            </w:r>
          </w:p>
          <w:p w:rsidR="00EF55DE" w:rsidRPr="00E106BD" w:rsidRDefault="00EF55DE" w:rsidP="004E4760">
            <w:pPr>
              <w:pStyle w:val="TableHeading"/>
              <w:keepNext w:val="0"/>
            </w:pPr>
            <w:r w:rsidRPr="00E106BD">
              <w:t xml:space="preserve">Code </w:t>
            </w:r>
          </w:p>
        </w:tc>
      </w:tr>
      <w:tr w:rsidR="00F755E2" w:rsidRPr="00E106BD" w:rsidTr="0069450D">
        <w:tc>
          <w:tcPr>
            <w:tcW w:w="909" w:type="pct"/>
          </w:tcPr>
          <w:p w:rsidR="00EF55DE" w:rsidRPr="00E106BD" w:rsidRDefault="00EF55DE" w:rsidP="004E4760">
            <w:pPr>
              <w:pStyle w:val="Tabletext"/>
            </w:pPr>
            <w:r w:rsidRPr="00E106BD">
              <w:t>eculizumab</w:t>
            </w:r>
          </w:p>
        </w:tc>
        <w:tc>
          <w:tcPr>
            <w:tcW w:w="636" w:type="pct"/>
          </w:tcPr>
          <w:p w:rsidR="00EF55DE" w:rsidRPr="00E106BD" w:rsidRDefault="00EF55DE" w:rsidP="004E4760">
            <w:pPr>
              <w:pStyle w:val="Tabletext"/>
            </w:pPr>
          </w:p>
        </w:tc>
        <w:tc>
          <w:tcPr>
            <w:tcW w:w="1091" w:type="pct"/>
          </w:tcPr>
          <w:p w:rsidR="00EF55DE" w:rsidRPr="00E106BD" w:rsidRDefault="00EF55DE" w:rsidP="004E4760">
            <w:pPr>
              <w:pStyle w:val="Tabletext"/>
            </w:pPr>
          </w:p>
        </w:tc>
        <w:tc>
          <w:tcPr>
            <w:tcW w:w="636" w:type="pct"/>
          </w:tcPr>
          <w:p w:rsidR="00EF55DE" w:rsidRPr="00E106BD" w:rsidRDefault="00EF55DE" w:rsidP="004E4760">
            <w:pPr>
              <w:pStyle w:val="Tabletext"/>
            </w:pPr>
          </w:p>
        </w:tc>
        <w:tc>
          <w:tcPr>
            <w:tcW w:w="1000" w:type="pct"/>
          </w:tcPr>
          <w:p w:rsidR="00EF55DE" w:rsidRPr="00E106BD" w:rsidRDefault="00EF55DE" w:rsidP="004E4760">
            <w:pPr>
              <w:pStyle w:val="Tabletext"/>
            </w:pPr>
          </w:p>
        </w:tc>
        <w:tc>
          <w:tcPr>
            <w:tcW w:w="727" w:type="pct"/>
          </w:tcPr>
          <w:p w:rsidR="00EF55DE" w:rsidRPr="00E106BD" w:rsidRDefault="00EF55DE" w:rsidP="004E4760">
            <w:pPr>
              <w:pStyle w:val="Tabletext"/>
            </w:pPr>
          </w:p>
        </w:tc>
      </w:tr>
    </w:tbl>
    <w:p w:rsidR="00EF55DE" w:rsidRPr="00E106BD" w:rsidRDefault="00EF55DE" w:rsidP="004E4760"/>
    <w:p w:rsidR="00EF55DE" w:rsidRPr="00E106BD" w:rsidRDefault="005B0C8E" w:rsidP="004E4760">
      <w:pPr>
        <w:pStyle w:val="notetext"/>
      </w:pPr>
      <w:r w:rsidRPr="00E106BD">
        <w:t>Note:</w:t>
      </w:r>
      <w:r w:rsidR="00EF55DE" w:rsidRPr="00E106BD">
        <w:tab/>
        <w:t>A circumstances and/or purposes code mentioned in the above table is the same circumstances and/or purposes code referred to in section</w:t>
      </w:r>
      <w:r w:rsidR="00E106BD">
        <w:t> </w:t>
      </w:r>
      <w:r w:rsidR="00EF55DE" w:rsidRPr="00E106BD">
        <w:t>9 (circumstances code) or section</w:t>
      </w:r>
      <w:r w:rsidR="00E106BD">
        <w:t> </w:t>
      </w:r>
      <w:r w:rsidR="00EF55DE" w:rsidRPr="00E106BD">
        <w:t>14 or section</w:t>
      </w:r>
      <w:r w:rsidR="00E106BD">
        <w:t> </w:t>
      </w:r>
      <w:r w:rsidR="00EF55DE" w:rsidRPr="00E106BD">
        <w:t xml:space="preserve">15 (purposes code). </w:t>
      </w:r>
    </w:p>
    <w:p w:rsidR="00736FDB" w:rsidRPr="00E106BD" w:rsidRDefault="00736FDB" w:rsidP="004E4760">
      <w:pPr>
        <w:pStyle w:val="ActHead3"/>
        <w:keepNext w:val="0"/>
        <w:keepLines w:val="0"/>
        <w:pageBreakBefore/>
      </w:pPr>
      <w:bookmarkStart w:id="15" w:name="_Toc53558944"/>
      <w:r w:rsidRPr="00E106BD">
        <w:rPr>
          <w:rStyle w:val="CharDivNo"/>
        </w:rPr>
        <w:t>Division</w:t>
      </w:r>
      <w:r w:rsidR="00E106BD">
        <w:rPr>
          <w:rStyle w:val="CharDivNo"/>
        </w:rPr>
        <w:t> </w:t>
      </w:r>
      <w:r w:rsidR="00867731" w:rsidRPr="00E106BD">
        <w:rPr>
          <w:rStyle w:val="CharDivNo"/>
        </w:rPr>
        <w:t>3</w:t>
      </w:r>
      <w:r w:rsidR="00867731" w:rsidRPr="00E106BD">
        <w:t>—</w:t>
      </w:r>
      <w:r w:rsidRPr="00E106BD">
        <w:rPr>
          <w:rStyle w:val="CharDivText"/>
        </w:rPr>
        <w:t>HSD Authority Required procedures</w:t>
      </w:r>
      <w:bookmarkEnd w:id="15"/>
    </w:p>
    <w:p w:rsidR="00A869FA" w:rsidRPr="00E106BD" w:rsidRDefault="00A869FA" w:rsidP="004E4760">
      <w:pPr>
        <w:pStyle w:val="ActHead5"/>
        <w:keepNext w:val="0"/>
        <w:keepLines w:val="0"/>
      </w:pPr>
      <w:bookmarkStart w:id="16" w:name="_Toc53558945"/>
      <w:r w:rsidRPr="00E106BD">
        <w:rPr>
          <w:rStyle w:val="CharSectno"/>
        </w:rPr>
        <w:t>10</w:t>
      </w:r>
      <w:r w:rsidR="00295F4A" w:rsidRPr="00E106BD">
        <w:t xml:space="preserve">  </w:t>
      </w:r>
      <w:r w:rsidR="00736FDB" w:rsidRPr="00E106BD">
        <w:rPr>
          <w:szCs w:val="24"/>
        </w:rPr>
        <w:t>HSD Authority Required procedures</w:t>
      </w:r>
      <w:bookmarkEnd w:id="16"/>
    </w:p>
    <w:p w:rsidR="009B5736" w:rsidRPr="00E106BD" w:rsidRDefault="00A869FA" w:rsidP="00D67FF3">
      <w:pPr>
        <w:pStyle w:val="subsection"/>
      </w:pPr>
      <w:r w:rsidRPr="00E106BD">
        <w:rPr>
          <w:szCs w:val="24"/>
        </w:rPr>
        <w:tab/>
        <w:t>(1)</w:t>
      </w:r>
      <w:r w:rsidRPr="00E106BD">
        <w:rPr>
          <w:szCs w:val="24"/>
        </w:rPr>
        <w:tab/>
      </w:r>
      <w:r w:rsidR="009B5736" w:rsidRPr="00E106BD">
        <w:t>This section applies to an HSD pharmaceutical benefit if the circumstances mentioned in Schedule</w:t>
      </w:r>
      <w:r w:rsidR="00E106BD">
        <w:t> </w:t>
      </w:r>
      <w:r w:rsidR="009B5736" w:rsidRPr="00E106BD">
        <w:t>3 for a circumstances code mentioned in Schedule</w:t>
      </w:r>
      <w:r w:rsidR="00E106BD">
        <w:t> </w:t>
      </w:r>
      <w:r w:rsidR="009B5736" w:rsidRPr="00E106BD">
        <w:t>1 for the HSD pharmaceutical benefit includes:</w:t>
      </w:r>
    </w:p>
    <w:p w:rsidR="009B5736" w:rsidRPr="00E106BD" w:rsidRDefault="00D67FF3" w:rsidP="00D67FF3">
      <w:pPr>
        <w:tabs>
          <w:tab w:val="left" w:pos="1985"/>
        </w:tabs>
        <w:spacing w:line="240" w:lineRule="auto"/>
        <w:ind w:left="1494" w:firstLine="66"/>
      </w:pPr>
      <w:r w:rsidRPr="00E106BD">
        <w:t>(a)</w:t>
      </w:r>
      <w:r w:rsidRPr="00E106BD">
        <w:tab/>
      </w:r>
      <w:r w:rsidR="009B5736" w:rsidRPr="00E106BD">
        <w:t>Compliance with Authority Required procedures;</w:t>
      </w:r>
    </w:p>
    <w:p w:rsidR="009B5736" w:rsidRPr="00E106BD" w:rsidRDefault="00D67FF3" w:rsidP="00D67FF3">
      <w:pPr>
        <w:tabs>
          <w:tab w:val="left" w:pos="1985"/>
        </w:tabs>
        <w:spacing w:line="240" w:lineRule="auto"/>
        <w:ind w:left="1494" w:firstLine="66"/>
      </w:pPr>
      <w:r w:rsidRPr="00E106BD">
        <w:t>(b)</w:t>
      </w:r>
      <w:r w:rsidRPr="00E106BD">
        <w:tab/>
      </w:r>
      <w:r w:rsidR="009B5736" w:rsidRPr="00E106BD">
        <w:t>Compliance with Written Authority Required procedures;</w:t>
      </w:r>
    </w:p>
    <w:p w:rsidR="009B5736" w:rsidRPr="00E106BD" w:rsidRDefault="00D67FF3" w:rsidP="00D67FF3">
      <w:pPr>
        <w:tabs>
          <w:tab w:val="left" w:pos="1985"/>
        </w:tabs>
        <w:spacing w:line="240" w:lineRule="auto"/>
        <w:ind w:left="1494" w:firstLine="66"/>
      </w:pPr>
      <w:r w:rsidRPr="00E106BD">
        <w:t>(c)</w:t>
      </w:r>
      <w:r w:rsidRPr="00E106BD">
        <w:tab/>
      </w:r>
      <w:r w:rsidR="009B5736" w:rsidRPr="00E106BD">
        <w:t>Compliance with Written or Telephone Authority Required procedures;</w:t>
      </w:r>
    </w:p>
    <w:p w:rsidR="009B5736" w:rsidRPr="00E106BD" w:rsidRDefault="00D67FF3" w:rsidP="00D67FF3">
      <w:pPr>
        <w:tabs>
          <w:tab w:val="left" w:pos="1985"/>
        </w:tabs>
        <w:spacing w:line="240" w:lineRule="auto"/>
        <w:ind w:left="1494" w:firstLine="66"/>
      </w:pPr>
      <w:r w:rsidRPr="00E106BD">
        <w:t>(d)</w:t>
      </w:r>
      <w:r w:rsidRPr="00E106BD">
        <w:tab/>
      </w:r>
      <w:r w:rsidR="009B5736" w:rsidRPr="00E106BD">
        <w:t>Compliance with modified Authority Required procedures.</w:t>
      </w:r>
    </w:p>
    <w:p w:rsidR="00462DD2" w:rsidRPr="00E106BD" w:rsidRDefault="00736FDB" w:rsidP="00462DD2">
      <w:pPr>
        <w:pStyle w:val="subsection"/>
        <w:rPr>
          <w:szCs w:val="24"/>
        </w:rPr>
      </w:pPr>
      <w:r w:rsidRPr="00E106BD">
        <w:rPr>
          <w:szCs w:val="24"/>
        </w:rPr>
        <w:tab/>
      </w:r>
      <w:r w:rsidR="00462DD2" w:rsidRPr="00E106BD">
        <w:rPr>
          <w:szCs w:val="24"/>
        </w:rPr>
        <w:t>(1A)</w:t>
      </w:r>
      <w:r w:rsidR="00D67FF3" w:rsidRPr="00E106BD">
        <w:rPr>
          <w:szCs w:val="24"/>
        </w:rPr>
        <w:tab/>
      </w:r>
      <w:r w:rsidR="00462DD2" w:rsidRPr="00E106BD">
        <w:rPr>
          <w:szCs w:val="24"/>
        </w:rPr>
        <w:t>If the circumstances mentioned in Schedule</w:t>
      </w:r>
      <w:r w:rsidR="00E106BD">
        <w:rPr>
          <w:szCs w:val="24"/>
        </w:rPr>
        <w:t> </w:t>
      </w:r>
      <w:r w:rsidR="00462DD2" w:rsidRPr="00E106BD">
        <w:rPr>
          <w:szCs w:val="24"/>
        </w:rPr>
        <w:t>3 for a circumstances code mentioned in Schedule</w:t>
      </w:r>
      <w:r w:rsidR="00E106BD">
        <w:rPr>
          <w:szCs w:val="24"/>
        </w:rPr>
        <w:t> </w:t>
      </w:r>
      <w:r w:rsidR="00462DD2" w:rsidRPr="00E106BD">
        <w:rPr>
          <w:szCs w:val="24"/>
        </w:rPr>
        <w:t>1 for a HSD pharmaceutical benefit include ‘Compliance with Written or Telephone Authority Required procedures’ then treat as if the words used are ‘Complianc</w:t>
      </w:r>
      <w:r w:rsidR="00133E98" w:rsidRPr="00E106BD">
        <w:rPr>
          <w:szCs w:val="24"/>
        </w:rPr>
        <w:t xml:space="preserve">e with </w:t>
      </w:r>
      <w:r w:rsidR="00462DD2" w:rsidRPr="00E106BD">
        <w:rPr>
          <w:szCs w:val="24"/>
        </w:rPr>
        <w:t>A</w:t>
      </w:r>
      <w:r w:rsidR="00133E98" w:rsidRPr="00E106BD">
        <w:rPr>
          <w:szCs w:val="24"/>
        </w:rPr>
        <w:t>uthority Required procedures’.</w:t>
      </w:r>
    </w:p>
    <w:p w:rsidR="00736FDB" w:rsidRPr="00E106BD" w:rsidRDefault="00462DD2" w:rsidP="004E4760">
      <w:pPr>
        <w:pStyle w:val="subsection"/>
        <w:rPr>
          <w:szCs w:val="24"/>
        </w:rPr>
      </w:pPr>
      <w:r w:rsidRPr="00E106BD">
        <w:rPr>
          <w:szCs w:val="24"/>
        </w:rPr>
        <w:tab/>
        <w:t>(2)</w:t>
      </w:r>
      <w:r w:rsidRPr="00E106BD">
        <w:rPr>
          <w:szCs w:val="24"/>
        </w:rPr>
        <w:tab/>
      </w:r>
      <w:r w:rsidR="00736FDB" w:rsidRPr="00E106BD">
        <w:rPr>
          <w:szCs w:val="24"/>
        </w:rPr>
        <w:t>The Authority Required procedures as provided for in sections</w:t>
      </w:r>
      <w:r w:rsidR="00E106BD">
        <w:rPr>
          <w:szCs w:val="24"/>
        </w:rPr>
        <w:t> </w:t>
      </w:r>
      <w:r w:rsidR="00736FDB" w:rsidRPr="00E106BD">
        <w:rPr>
          <w:szCs w:val="24"/>
        </w:rPr>
        <w:t xml:space="preserve">11 to 14 of the </w:t>
      </w:r>
      <w:r w:rsidR="00736FDB" w:rsidRPr="00E106BD">
        <w:rPr>
          <w:i/>
          <w:szCs w:val="24"/>
        </w:rPr>
        <w:t>National Health (Listing of Pharmaceutical Benefits) Instrument 2012</w:t>
      </w:r>
      <w:r w:rsidR="00736FDB" w:rsidRPr="00E106BD">
        <w:rPr>
          <w:szCs w:val="24"/>
        </w:rPr>
        <w:t xml:space="preserve"> are to be followed. </w:t>
      </w:r>
    </w:p>
    <w:p w:rsidR="00736FDB" w:rsidRPr="00E106BD" w:rsidRDefault="00736FDB" w:rsidP="004E4760">
      <w:pPr>
        <w:pStyle w:val="subsection"/>
        <w:rPr>
          <w:szCs w:val="24"/>
        </w:rPr>
      </w:pPr>
      <w:r w:rsidRPr="00E106BD">
        <w:rPr>
          <w:szCs w:val="24"/>
        </w:rPr>
        <w:tab/>
        <w:t>(3)</w:t>
      </w:r>
      <w:r w:rsidRPr="00E106BD">
        <w:rPr>
          <w:szCs w:val="24"/>
        </w:rPr>
        <w:tab/>
        <w:t xml:space="preserve">In addition to the requirements of </w:t>
      </w:r>
      <w:r w:rsidR="00E106BD">
        <w:rPr>
          <w:szCs w:val="24"/>
        </w:rPr>
        <w:t>subsection (</w:t>
      </w:r>
      <w:r w:rsidRPr="00E106BD">
        <w:rPr>
          <w:szCs w:val="24"/>
        </w:rPr>
        <w:t>2), where ‘Compliance with modified Authority Required procedures’ appears in the circumstances mentioned in Schedule</w:t>
      </w:r>
      <w:r w:rsidR="00E106BD">
        <w:rPr>
          <w:szCs w:val="24"/>
        </w:rPr>
        <w:t> </w:t>
      </w:r>
      <w:r w:rsidRPr="00E106BD">
        <w:rPr>
          <w:szCs w:val="24"/>
        </w:rPr>
        <w:t xml:space="preserve">3 for the code, in addition to ‘Compliance with Written or Telephone Authority Required procedures’, any other requirement included in the circumstances is to be followed as part of the </w:t>
      </w:r>
      <w:r w:rsidR="00133E98" w:rsidRPr="00E106BD">
        <w:rPr>
          <w:szCs w:val="24"/>
        </w:rPr>
        <w:t>Authority Required procedures.</w:t>
      </w:r>
    </w:p>
    <w:p w:rsidR="00A869FA" w:rsidRPr="00E106BD" w:rsidRDefault="00295F4A" w:rsidP="004E4760">
      <w:pPr>
        <w:pStyle w:val="ActHead3"/>
        <w:keepNext w:val="0"/>
        <w:keepLines w:val="0"/>
        <w:pageBreakBefore/>
      </w:pPr>
      <w:bookmarkStart w:id="17" w:name="_Toc53558946"/>
      <w:r w:rsidRPr="00E106BD">
        <w:rPr>
          <w:rStyle w:val="CharDivNo"/>
        </w:rPr>
        <w:t>Division</w:t>
      </w:r>
      <w:r w:rsidR="00E106BD">
        <w:rPr>
          <w:rStyle w:val="CharDivNo"/>
        </w:rPr>
        <w:t> </w:t>
      </w:r>
      <w:r w:rsidR="00A869FA" w:rsidRPr="00E106BD">
        <w:rPr>
          <w:rStyle w:val="CharDivNo"/>
        </w:rPr>
        <w:t>4</w:t>
      </w:r>
      <w:r w:rsidRPr="00E106BD">
        <w:t>—</w:t>
      </w:r>
      <w:r w:rsidR="00A869FA" w:rsidRPr="00E106BD">
        <w:rPr>
          <w:rStyle w:val="CharDivText"/>
        </w:rPr>
        <w:t>Maximum quantity and maximum number of repeats</w:t>
      </w:r>
      <w:bookmarkEnd w:id="17"/>
    </w:p>
    <w:p w:rsidR="00A869FA" w:rsidRPr="00E106BD" w:rsidRDefault="00A869FA" w:rsidP="004E4760">
      <w:pPr>
        <w:pStyle w:val="ActHead5"/>
        <w:keepNext w:val="0"/>
        <w:keepLines w:val="0"/>
      </w:pPr>
      <w:bookmarkStart w:id="18" w:name="_Toc53558947"/>
      <w:r w:rsidRPr="00E106BD">
        <w:rPr>
          <w:rStyle w:val="CharSectno"/>
        </w:rPr>
        <w:t>14</w:t>
      </w:r>
      <w:r w:rsidR="00295F4A" w:rsidRPr="00E106BD">
        <w:t xml:space="preserve">  </w:t>
      </w:r>
      <w:r w:rsidRPr="00E106BD">
        <w:t>Maximum quantity</w:t>
      </w:r>
      <w:bookmarkEnd w:id="18"/>
    </w:p>
    <w:p w:rsidR="00A869FA" w:rsidRPr="00E106BD" w:rsidRDefault="00A869FA" w:rsidP="004E4760">
      <w:pPr>
        <w:pStyle w:val="subsection"/>
      </w:pPr>
      <w:r w:rsidRPr="00E106BD">
        <w:rPr>
          <w:szCs w:val="24"/>
        </w:rPr>
        <w:tab/>
        <w:t>(1)</w:t>
      </w:r>
      <w:r w:rsidRPr="00E106BD">
        <w:rPr>
          <w:szCs w:val="24"/>
        </w:rPr>
        <w:tab/>
        <w:t xml:space="preserve">The maximum quantity or number of units of the pharmaceutical item in an HSD pharmaceutical benefit that may, in 1 prescription for the supply of the HSD pharmaceutical benefit, be directed to be supplied by an </w:t>
      </w:r>
      <w:r w:rsidR="00E477BB" w:rsidRPr="00E106BD">
        <w:rPr>
          <w:szCs w:val="24"/>
        </w:rPr>
        <w:t>authorised prescriber for the HSD pharmaceutical benefit</w:t>
      </w:r>
      <w:r w:rsidRPr="00E106BD">
        <w:rPr>
          <w:szCs w:val="24"/>
        </w:rPr>
        <w:t xml:space="preserve"> is the quantity or number of units mentioned in the column in Schedule</w:t>
      </w:r>
      <w:r w:rsidR="00E106BD">
        <w:rPr>
          <w:szCs w:val="24"/>
        </w:rPr>
        <w:t> </w:t>
      </w:r>
      <w:r w:rsidRPr="00E106BD">
        <w:rPr>
          <w:szCs w:val="24"/>
        </w:rPr>
        <w:t>1 headed ‘Maximum Quantity’ for the HSD pharmaceutical benefit.</w:t>
      </w:r>
    </w:p>
    <w:p w:rsidR="00A869FA" w:rsidRPr="00E106BD" w:rsidRDefault="00A869FA" w:rsidP="004E4760">
      <w:pPr>
        <w:pStyle w:val="subsection"/>
      </w:pPr>
      <w:r w:rsidRPr="00E106BD">
        <w:rPr>
          <w:szCs w:val="24"/>
        </w:rPr>
        <w:tab/>
        <w:t>(2)</w:t>
      </w:r>
      <w:r w:rsidRPr="00E106BD">
        <w:rPr>
          <w:szCs w:val="24"/>
        </w:rPr>
        <w:tab/>
        <w:t>If at least 1 purposes code is mentioned in the column in Schedule</w:t>
      </w:r>
      <w:r w:rsidR="00E106BD">
        <w:rPr>
          <w:szCs w:val="24"/>
        </w:rPr>
        <w:t> </w:t>
      </w:r>
      <w:r w:rsidRPr="00E106BD">
        <w:rPr>
          <w:szCs w:val="24"/>
        </w:rPr>
        <w:t>1 headed ‘Purposes’ for an HSD pharmaceutical benefit, the quantity or number of units mentioned in the column headed ‘Maximum Quantity’ is the maximum for the particular purposes mentioned in Schedule</w:t>
      </w:r>
      <w:r w:rsidR="00E106BD">
        <w:rPr>
          <w:szCs w:val="24"/>
        </w:rPr>
        <w:t> </w:t>
      </w:r>
      <w:r w:rsidRPr="00E106BD">
        <w:rPr>
          <w:szCs w:val="24"/>
        </w:rPr>
        <w:t xml:space="preserve">3 for each code. </w:t>
      </w:r>
    </w:p>
    <w:p w:rsidR="00A869FA" w:rsidRPr="00E106BD" w:rsidRDefault="00A869FA" w:rsidP="004E4760">
      <w:pPr>
        <w:pStyle w:val="subsection"/>
      </w:pPr>
      <w:r w:rsidRPr="00E106BD">
        <w:tab/>
        <w:t>(3)</w:t>
      </w:r>
      <w:r w:rsidRPr="00E106BD">
        <w:tab/>
        <w:t>If no purposes code is mentioned in the column in Schedule</w:t>
      </w:r>
      <w:r w:rsidR="00E106BD">
        <w:t> </w:t>
      </w:r>
      <w:r w:rsidRPr="00E106BD">
        <w:t>1 headed ‘Purposes’, the quantity or number of units mentioned in the column in Schedule</w:t>
      </w:r>
      <w:r w:rsidR="00E106BD">
        <w:t> </w:t>
      </w:r>
      <w:r w:rsidRPr="00E106BD">
        <w:t>1 headed ‘Maximum Quantity’ is the maximum for all purposes, other than a purpose for which a different maximum is mentioned for the same HSD pharmaceutical benefit.</w:t>
      </w:r>
    </w:p>
    <w:p w:rsidR="00A869FA" w:rsidRPr="00E106BD" w:rsidRDefault="00A869FA" w:rsidP="004E4760">
      <w:pPr>
        <w:pStyle w:val="subsection"/>
      </w:pPr>
      <w:r w:rsidRPr="00E106BD">
        <w:rPr>
          <w:szCs w:val="24"/>
        </w:rPr>
        <w:tab/>
        <w:t>(4)</w:t>
      </w:r>
      <w:r w:rsidRPr="00E106BD">
        <w:rPr>
          <w:szCs w:val="24"/>
        </w:rPr>
        <w:tab/>
        <w:t xml:space="preserve">For </w:t>
      </w:r>
      <w:r w:rsidR="00E106BD">
        <w:rPr>
          <w:szCs w:val="24"/>
        </w:rPr>
        <w:t>subsection (</w:t>
      </w:r>
      <w:r w:rsidRPr="00E106BD">
        <w:rPr>
          <w:szCs w:val="24"/>
        </w:rPr>
        <w:t>1), the pharmaceutical item is the listed drug mentioned in Schedule</w:t>
      </w:r>
      <w:r w:rsidR="00E106BD">
        <w:rPr>
          <w:szCs w:val="24"/>
        </w:rPr>
        <w:t> </w:t>
      </w:r>
      <w:r w:rsidRPr="00E106BD">
        <w:rPr>
          <w:szCs w:val="24"/>
        </w:rPr>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1 for the form of the listed drug.</w:t>
      </w:r>
    </w:p>
    <w:p w:rsidR="00A869FA" w:rsidRPr="00E106BD" w:rsidRDefault="00A869FA" w:rsidP="004E4760">
      <w:pPr>
        <w:pStyle w:val="subsection"/>
      </w:pPr>
      <w:r w:rsidRPr="00E106BD">
        <w:rPr>
          <w:szCs w:val="24"/>
        </w:rPr>
        <w:tab/>
        <w:t>(5)</w:t>
      </w:r>
      <w:r w:rsidRPr="00E106BD">
        <w:rPr>
          <w:szCs w:val="24"/>
        </w:rPr>
        <w:tab/>
        <w:t>For this section, the HSD pharmaceutical benefit is the brand of the listed drug mentioned in Schedule</w:t>
      </w:r>
      <w:r w:rsidR="00E106BD">
        <w:rPr>
          <w:szCs w:val="24"/>
        </w:rPr>
        <w:t> </w:t>
      </w:r>
      <w:r w:rsidRPr="00E106BD">
        <w:rPr>
          <w:szCs w:val="24"/>
        </w:rPr>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1 for the form of the listed drug.</w:t>
      </w:r>
    </w:p>
    <w:p w:rsidR="00A869FA" w:rsidRPr="00E106BD" w:rsidRDefault="00A869FA" w:rsidP="004E4760">
      <w:pPr>
        <w:pStyle w:val="subsection"/>
      </w:pPr>
      <w:r w:rsidRPr="00E106BD">
        <w:rPr>
          <w:szCs w:val="24"/>
        </w:rPr>
        <w:tab/>
        <w:t>(6)</w:t>
      </w:r>
      <w:r w:rsidRPr="00E106BD">
        <w:rPr>
          <w:szCs w:val="24"/>
        </w:rPr>
        <w:tab/>
      </w:r>
      <w:r w:rsidR="00E106BD">
        <w:rPr>
          <w:szCs w:val="24"/>
        </w:rPr>
        <w:t>Subsection (</w:t>
      </w:r>
      <w:r w:rsidRPr="00E106BD">
        <w:rPr>
          <w:szCs w:val="24"/>
        </w:rPr>
        <w:t>1) applies, in relation to an HSD pharmaceutical benefit that has a CAR drug, subject to section</w:t>
      </w:r>
      <w:r w:rsidR="00E106BD">
        <w:rPr>
          <w:szCs w:val="24"/>
        </w:rPr>
        <w:t> </w:t>
      </w:r>
      <w:r w:rsidRPr="00E106BD">
        <w:rPr>
          <w:szCs w:val="24"/>
        </w:rPr>
        <w:t>24.</w:t>
      </w:r>
    </w:p>
    <w:p w:rsidR="00A869FA" w:rsidRPr="00E106BD" w:rsidRDefault="00295F4A" w:rsidP="004E4760">
      <w:pPr>
        <w:pStyle w:val="notetext"/>
      </w:pPr>
      <w:r w:rsidRPr="00E106BD">
        <w:t>Note:</w:t>
      </w:r>
      <w:r w:rsidRPr="00E106BD">
        <w:tab/>
      </w:r>
      <w:r w:rsidR="00A869FA" w:rsidRPr="00E106BD">
        <w:t>The maximum quantities and numbers of units mentioned in the column headed ‘Maximum quantity’ in Schedule</w:t>
      </w:r>
      <w:r w:rsidR="00E106BD">
        <w:t> </w:t>
      </w:r>
      <w:r w:rsidR="00A869FA" w:rsidRPr="00E106BD">
        <w:t>1 have been determined by the Minister under paragraph</w:t>
      </w:r>
      <w:r w:rsidR="00E106BD">
        <w:t> </w:t>
      </w:r>
      <w:r w:rsidR="00A869FA" w:rsidRPr="00E106BD">
        <w:t>85A(2)(a) of the Act.</w:t>
      </w:r>
    </w:p>
    <w:p w:rsidR="00A869FA" w:rsidRPr="00E106BD" w:rsidRDefault="00295F4A" w:rsidP="004E4760">
      <w:pPr>
        <w:pStyle w:val="notetext"/>
      </w:pPr>
      <w:r w:rsidRPr="00E106BD">
        <w:t>Note:</w:t>
      </w:r>
      <w:r w:rsidRPr="00E106BD">
        <w:tab/>
      </w:r>
      <w:r w:rsidR="00A869FA" w:rsidRPr="00E106BD">
        <w:t>See also section</w:t>
      </w:r>
      <w:r w:rsidR="00E106BD">
        <w:t> </w:t>
      </w:r>
      <w:r w:rsidR="00A869FA" w:rsidRPr="00E106BD">
        <w:t>26.</w:t>
      </w:r>
    </w:p>
    <w:p w:rsidR="00A869FA" w:rsidRPr="00E106BD" w:rsidRDefault="00A869FA" w:rsidP="004E4760">
      <w:pPr>
        <w:pStyle w:val="subsection"/>
      </w:pPr>
      <w:r w:rsidRPr="00E106BD">
        <w:rPr>
          <w:szCs w:val="24"/>
        </w:rPr>
        <w:tab/>
        <w:t>(7)</w:t>
      </w:r>
      <w:r w:rsidRPr="00E106BD">
        <w:rPr>
          <w:szCs w:val="24"/>
        </w:rPr>
        <w:tab/>
        <w:t>A determination made under paragraph</w:t>
      </w:r>
      <w:r w:rsidR="00E106BD">
        <w:rPr>
          <w:szCs w:val="24"/>
        </w:rPr>
        <w:t> </w:t>
      </w:r>
      <w:r w:rsidRPr="00E106BD">
        <w:rPr>
          <w:szCs w:val="24"/>
        </w:rPr>
        <w:t>85A(2)</w:t>
      </w:r>
      <w:r w:rsidR="00B62F44" w:rsidRPr="00E106BD">
        <w:rPr>
          <w:szCs w:val="24"/>
        </w:rPr>
        <w:t>(</w:t>
      </w:r>
      <w:r w:rsidRPr="00E106BD">
        <w:rPr>
          <w:szCs w:val="24"/>
        </w:rPr>
        <w:t>a) of the Act does not apply to an HSD pharmaceutical benefit supplied in accordance with this Special Arrangement in relation to the maximum quantity of the HSD pharmaceutical benefit that can be supplied under this Special Arrangement</w:t>
      </w:r>
      <w:r w:rsidR="004A58EB" w:rsidRPr="00E106BD">
        <w:rPr>
          <w:szCs w:val="24"/>
        </w:rPr>
        <w:t xml:space="preserve"> </w:t>
      </w:r>
      <w:r w:rsidRPr="00E106BD">
        <w:rPr>
          <w:szCs w:val="24"/>
        </w:rPr>
        <w:t>if the maximum quantity mentioned in the determination differs from the maximum quantity mentioned in this section.</w:t>
      </w:r>
    </w:p>
    <w:p w:rsidR="00A869FA" w:rsidRPr="00E106BD" w:rsidRDefault="00A869FA" w:rsidP="006C3E75">
      <w:pPr>
        <w:pStyle w:val="ActHead5"/>
        <w:keepLines w:val="0"/>
      </w:pPr>
      <w:bookmarkStart w:id="19" w:name="_Toc53558948"/>
      <w:r w:rsidRPr="00E106BD">
        <w:rPr>
          <w:rStyle w:val="CharSectno"/>
        </w:rPr>
        <w:t>15</w:t>
      </w:r>
      <w:r w:rsidR="00295F4A" w:rsidRPr="00E106BD">
        <w:t xml:space="preserve">  </w:t>
      </w:r>
      <w:r w:rsidRPr="00E106BD">
        <w:t>Maximum number of repeats</w:t>
      </w:r>
      <w:bookmarkEnd w:id="19"/>
    </w:p>
    <w:p w:rsidR="00A869FA" w:rsidRPr="00E106BD" w:rsidRDefault="00A869FA" w:rsidP="004E4760">
      <w:pPr>
        <w:pStyle w:val="subsection"/>
      </w:pPr>
      <w:r w:rsidRPr="00E106BD">
        <w:rPr>
          <w:szCs w:val="24"/>
        </w:rPr>
        <w:tab/>
        <w:t>(1)</w:t>
      </w:r>
      <w:r w:rsidRPr="00E106BD">
        <w:rPr>
          <w:szCs w:val="24"/>
        </w:rPr>
        <w:tab/>
        <w:t xml:space="preserve">The maximum number of occasions an </w:t>
      </w:r>
      <w:r w:rsidR="00E477BB" w:rsidRPr="00E106BD">
        <w:rPr>
          <w:szCs w:val="24"/>
        </w:rPr>
        <w:t>authorised prescriber for the HSD pharmaceutical benefit</w:t>
      </w:r>
      <w:r w:rsidRPr="00E106BD">
        <w:rPr>
          <w:szCs w:val="24"/>
        </w:rPr>
        <w:t xml:space="preserve"> may, in 1 prescription, direct that the supply of the pharmaceutical benefit be repeated is the number in the column in Schedule</w:t>
      </w:r>
      <w:r w:rsidR="00E106BD">
        <w:rPr>
          <w:szCs w:val="24"/>
        </w:rPr>
        <w:t> </w:t>
      </w:r>
      <w:r w:rsidRPr="00E106BD">
        <w:rPr>
          <w:szCs w:val="24"/>
        </w:rPr>
        <w:t>1 headed ‘Number of Repeats’ for the pharmaceutical benefit.</w:t>
      </w:r>
    </w:p>
    <w:p w:rsidR="00A869FA" w:rsidRPr="00E106BD" w:rsidRDefault="00A869FA" w:rsidP="004E4760">
      <w:pPr>
        <w:pStyle w:val="subsection"/>
      </w:pPr>
      <w:r w:rsidRPr="00E106BD">
        <w:rPr>
          <w:szCs w:val="24"/>
        </w:rPr>
        <w:tab/>
        <w:t>(2)</w:t>
      </w:r>
      <w:r w:rsidRPr="00E106BD">
        <w:rPr>
          <w:szCs w:val="24"/>
        </w:rPr>
        <w:tab/>
        <w:t>If at least 1 purposes code is mentioned in the column in Schedule</w:t>
      </w:r>
      <w:r w:rsidR="00E106BD">
        <w:rPr>
          <w:szCs w:val="24"/>
        </w:rPr>
        <w:t> </w:t>
      </w:r>
      <w:r w:rsidRPr="00E106BD">
        <w:rPr>
          <w:szCs w:val="24"/>
        </w:rPr>
        <w:t>1 headed ‘Purposes’ for the pharmaceutical benefit, the number of repeats mentioned in the column in Schedule</w:t>
      </w:r>
      <w:r w:rsidR="00E106BD">
        <w:rPr>
          <w:szCs w:val="24"/>
        </w:rPr>
        <w:t> </w:t>
      </w:r>
      <w:r w:rsidRPr="00E106BD">
        <w:rPr>
          <w:szCs w:val="24"/>
        </w:rPr>
        <w:t>1 headed ‘Number of Repeats’ is the maximum number for the particular purposes mentioned in Schedule</w:t>
      </w:r>
      <w:r w:rsidR="00E106BD">
        <w:rPr>
          <w:szCs w:val="24"/>
        </w:rPr>
        <w:t> </w:t>
      </w:r>
      <w:r w:rsidRPr="00E106BD">
        <w:rPr>
          <w:szCs w:val="24"/>
        </w:rPr>
        <w:t>3 for each code.</w:t>
      </w:r>
    </w:p>
    <w:p w:rsidR="00A869FA" w:rsidRPr="00E106BD" w:rsidRDefault="00A869FA" w:rsidP="004E4760">
      <w:pPr>
        <w:pStyle w:val="subsection"/>
      </w:pPr>
      <w:r w:rsidRPr="00E106BD">
        <w:tab/>
        <w:t>(3)</w:t>
      </w:r>
      <w:r w:rsidRPr="00E106BD">
        <w:tab/>
        <w:t>If no purposes code is mentioned in the column headed ‘Purposes’, the number of repeats mentioned in the column headed ‘Number of Repeats’ is the maximum number for all purposes, other than a purpose for which a different maximum is mentioned for the same pharmaceutical benefit.</w:t>
      </w:r>
    </w:p>
    <w:p w:rsidR="00A869FA" w:rsidRPr="00E106BD" w:rsidRDefault="00A869FA" w:rsidP="004E4760">
      <w:pPr>
        <w:pStyle w:val="subsection"/>
      </w:pPr>
      <w:r w:rsidRPr="00E106BD">
        <w:tab/>
        <w:t>(4)</w:t>
      </w:r>
      <w:r w:rsidRPr="00E106BD">
        <w:tab/>
        <w:t>For this section, the pharmaceutical benefit is the brand of the listed drug mentioned in Schedule</w:t>
      </w:r>
      <w:r w:rsidR="00E106BD">
        <w:t> </w:t>
      </w:r>
      <w:r w:rsidRPr="00E106BD">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 xml:space="preserve">1 for the form of the listed drug. </w:t>
      </w:r>
    </w:p>
    <w:p w:rsidR="00A869FA" w:rsidRPr="00E106BD" w:rsidRDefault="00A869FA" w:rsidP="004E4760">
      <w:pPr>
        <w:pStyle w:val="subsection"/>
      </w:pPr>
      <w:r w:rsidRPr="00E106BD">
        <w:rPr>
          <w:szCs w:val="24"/>
        </w:rPr>
        <w:tab/>
        <w:t>(5)</w:t>
      </w:r>
      <w:r w:rsidRPr="00E106BD">
        <w:rPr>
          <w:szCs w:val="24"/>
        </w:rPr>
        <w:tab/>
      </w:r>
      <w:r w:rsidR="00E106BD">
        <w:rPr>
          <w:szCs w:val="24"/>
        </w:rPr>
        <w:t>Subsection (</w:t>
      </w:r>
      <w:r w:rsidRPr="00E106BD">
        <w:rPr>
          <w:szCs w:val="24"/>
        </w:rPr>
        <w:t>1) applies, in relation to an HSD pharmaceutical benefit that has a CAR drug, subject to section</w:t>
      </w:r>
      <w:r w:rsidR="00E106BD">
        <w:rPr>
          <w:szCs w:val="24"/>
        </w:rPr>
        <w:t> </w:t>
      </w:r>
      <w:r w:rsidRPr="00E106BD">
        <w:rPr>
          <w:szCs w:val="24"/>
        </w:rPr>
        <w:t>25.</w:t>
      </w:r>
    </w:p>
    <w:p w:rsidR="00A869FA" w:rsidRPr="00E106BD" w:rsidRDefault="00295F4A" w:rsidP="004E4760">
      <w:pPr>
        <w:pStyle w:val="notetext"/>
      </w:pPr>
      <w:r w:rsidRPr="00E106BD">
        <w:t>Note:</w:t>
      </w:r>
      <w:r w:rsidRPr="00E106BD">
        <w:tab/>
      </w:r>
      <w:r w:rsidR="00A869FA" w:rsidRPr="00E106BD">
        <w:t>See also section</w:t>
      </w:r>
      <w:r w:rsidR="00E106BD">
        <w:t> </w:t>
      </w:r>
      <w:r w:rsidR="00A869FA" w:rsidRPr="00E106BD">
        <w:t>26.</w:t>
      </w:r>
    </w:p>
    <w:p w:rsidR="00A869FA" w:rsidRPr="00E106BD" w:rsidRDefault="00A869FA" w:rsidP="004E4760">
      <w:pPr>
        <w:pStyle w:val="subsection"/>
      </w:pPr>
      <w:r w:rsidRPr="00E106BD">
        <w:rPr>
          <w:szCs w:val="24"/>
        </w:rPr>
        <w:tab/>
        <w:t>(6)</w:t>
      </w:r>
      <w:r w:rsidRPr="00E106BD">
        <w:rPr>
          <w:szCs w:val="24"/>
        </w:rPr>
        <w:tab/>
        <w:t>A determination made under paragraph</w:t>
      </w:r>
      <w:r w:rsidR="00E106BD">
        <w:rPr>
          <w:szCs w:val="24"/>
        </w:rPr>
        <w:t> </w:t>
      </w:r>
      <w:r w:rsidRPr="00E106BD">
        <w:rPr>
          <w:szCs w:val="24"/>
        </w:rPr>
        <w:t xml:space="preserve">85A(2)(b) of the Act does not apply to an HSD pharmaceutical benefit supplied in accordance with this Special Arrangement in relation to the maximum number of occasions an </w:t>
      </w:r>
      <w:r w:rsidR="00E477BB" w:rsidRPr="00E106BD">
        <w:rPr>
          <w:szCs w:val="24"/>
        </w:rPr>
        <w:t>authorised prescriber for the HSD pharmaceutical benefit</w:t>
      </w:r>
      <w:r w:rsidRPr="00E106BD">
        <w:rPr>
          <w:szCs w:val="24"/>
        </w:rPr>
        <w:t xml:space="preserve"> may, in 1 prescription, direct, under this Special Arrangement, that the supply of the HSD pharmaceutical benefit be repeated if the maximum number mentioned in the determination differs from the maximum number mentioned in this section.</w:t>
      </w:r>
    </w:p>
    <w:p w:rsidR="00A869FA" w:rsidRPr="00E106BD" w:rsidRDefault="00295F4A" w:rsidP="004E4760">
      <w:pPr>
        <w:pStyle w:val="ActHead3"/>
        <w:keepNext w:val="0"/>
        <w:keepLines w:val="0"/>
        <w:pageBreakBefore/>
      </w:pPr>
      <w:bookmarkStart w:id="20" w:name="_Toc53558949"/>
      <w:r w:rsidRPr="00E106BD">
        <w:rPr>
          <w:rStyle w:val="CharDivNo"/>
        </w:rPr>
        <w:t>Division</w:t>
      </w:r>
      <w:r w:rsidR="00E106BD">
        <w:rPr>
          <w:rStyle w:val="CharDivNo"/>
        </w:rPr>
        <w:t> </w:t>
      </w:r>
      <w:r w:rsidR="00A869FA" w:rsidRPr="00E106BD">
        <w:rPr>
          <w:rStyle w:val="CharDivNo"/>
        </w:rPr>
        <w:t>5</w:t>
      </w:r>
      <w:r w:rsidRPr="00E106BD">
        <w:t>—</w:t>
      </w:r>
      <w:r w:rsidR="00A869FA" w:rsidRPr="00E106BD">
        <w:rPr>
          <w:rStyle w:val="CharDivText"/>
        </w:rPr>
        <w:t>Section</w:t>
      </w:r>
      <w:r w:rsidR="00E106BD">
        <w:rPr>
          <w:rStyle w:val="CharDivText"/>
        </w:rPr>
        <w:t> </w:t>
      </w:r>
      <w:r w:rsidR="00A869FA" w:rsidRPr="00E106BD">
        <w:rPr>
          <w:rStyle w:val="CharDivText"/>
        </w:rPr>
        <w:t>100 only</w:t>
      </w:r>
      <w:bookmarkEnd w:id="20"/>
    </w:p>
    <w:p w:rsidR="00A869FA" w:rsidRPr="00E106BD" w:rsidRDefault="00A869FA" w:rsidP="004E4760">
      <w:pPr>
        <w:pStyle w:val="ActHead5"/>
        <w:keepNext w:val="0"/>
        <w:keepLines w:val="0"/>
      </w:pPr>
      <w:bookmarkStart w:id="21" w:name="_Toc53558950"/>
      <w:r w:rsidRPr="00E106BD">
        <w:rPr>
          <w:rStyle w:val="CharSectno"/>
        </w:rPr>
        <w:t>16</w:t>
      </w:r>
      <w:r w:rsidR="00295F4A" w:rsidRPr="00E106BD">
        <w:t xml:space="preserve">  </w:t>
      </w:r>
      <w:r w:rsidRPr="00E106BD">
        <w:t>Section</w:t>
      </w:r>
      <w:r w:rsidR="00E106BD">
        <w:t> </w:t>
      </w:r>
      <w:r w:rsidRPr="00E106BD">
        <w:t>100 only supply</w:t>
      </w:r>
      <w:bookmarkEnd w:id="21"/>
    </w:p>
    <w:p w:rsidR="00A869FA" w:rsidRPr="00E106BD" w:rsidRDefault="00A869FA" w:rsidP="004E4760">
      <w:pPr>
        <w:pStyle w:val="subsection"/>
      </w:pPr>
      <w:r w:rsidRPr="00E106BD">
        <w:rPr>
          <w:szCs w:val="24"/>
        </w:rPr>
        <w:tab/>
        <w:t>(1)</w:t>
      </w:r>
      <w:r w:rsidRPr="00E106BD">
        <w:rPr>
          <w:szCs w:val="24"/>
        </w:rPr>
        <w:tab/>
        <w:t>If the letter ‘D’ is mentioned in the column in Schedule</w:t>
      </w:r>
      <w:r w:rsidR="00E106BD">
        <w:rPr>
          <w:szCs w:val="24"/>
        </w:rPr>
        <w:t> </w:t>
      </w:r>
      <w:r w:rsidRPr="00E106BD">
        <w:rPr>
          <w:szCs w:val="24"/>
        </w:rPr>
        <w:t>1 headed ‘Section</w:t>
      </w:r>
      <w:r w:rsidR="00E106BD">
        <w:rPr>
          <w:szCs w:val="24"/>
        </w:rPr>
        <w:t> </w:t>
      </w:r>
      <w:r w:rsidRPr="00E106BD">
        <w:rPr>
          <w:szCs w:val="24"/>
        </w:rPr>
        <w:t>100 only’ for a listed drug, the listed drug may be supplied only in accordance with this Special Arrangement and any other Special Arrangement relating to the listed drug.</w:t>
      </w:r>
    </w:p>
    <w:p w:rsidR="00A869FA" w:rsidRPr="00E106BD" w:rsidRDefault="00A869FA" w:rsidP="004E4760">
      <w:pPr>
        <w:pStyle w:val="subsection"/>
      </w:pPr>
      <w:r w:rsidRPr="00E106BD">
        <w:tab/>
        <w:t>(2)</w:t>
      </w:r>
      <w:r w:rsidRPr="00E106BD">
        <w:tab/>
        <w:t xml:space="preserve">An HSD pharmaceutical benefit that has a drug mentioned in </w:t>
      </w:r>
      <w:r w:rsidR="00E106BD">
        <w:t>subsection (</w:t>
      </w:r>
      <w:r w:rsidRPr="00E106BD">
        <w:t>1) is not available for general supply on the Pharmaceutical Benefits Scheme.</w:t>
      </w:r>
    </w:p>
    <w:p w:rsidR="00A869FA" w:rsidRPr="00E106BD" w:rsidRDefault="00295F4A" w:rsidP="004E4760">
      <w:pPr>
        <w:pStyle w:val="notetext"/>
      </w:pPr>
      <w:r w:rsidRPr="00E106BD">
        <w:t>Note:</w:t>
      </w:r>
      <w:r w:rsidRPr="00E106BD">
        <w:tab/>
      </w:r>
      <w:r w:rsidR="00A869FA" w:rsidRPr="00E106BD">
        <w:t>The Minister has declared, under subsection</w:t>
      </w:r>
      <w:r w:rsidR="00E106BD">
        <w:t> </w:t>
      </w:r>
      <w:r w:rsidR="00A869FA" w:rsidRPr="00E106BD">
        <w:t>85(2A) of the Act, that the listed drug can only be supplied under a section</w:t>
      </w:r>
      <w:r w:rsidR="00E106BD">
        <w:t> </w:t>
      </w:r>
      <w:r w:rsidR="00A869FA" w:rsidRPr="00E106BD">
        <w:t>100 Special Arrangement.</w:t>
      </w:r>
    </w:p>
    <w:p w:rsidR="00A869FA" w:rsidRPr="00E106BD" w:rsidRDefault="00A869FA" w:rsidP="004E4760">
      <w:pPr>
        <w:pStyle w:val="subsection"/>
      </w:pPr>
      <w:r w:rsidRPr="00E106BD">
        <w:rPr>
          <w:szCs w:val="24"/>
        </w:rPr>
        <w:tab/>
        <w:t>(3)</w:t>
      </w:r>
      <w:r w:rsidRPr="00E106BD">
        <w:rPr>
          <w:szCs w:val="24"/>
        </w:rPr>
        <w:tab/>
        <w:t>If the letters ‘PB’ are mentioned in the column in Schedule</w:t>
      </w:r>
      <w:r w:rsidR="00E106BD">
        <w:rPr>
          <w:szCs w:val="24"/>
        </w:rPr>
        <w:t> </w:t>
      </w:r>
      <w:r w:rsidRPr="00E106BD">
        <w:rPr>
          <w:szCs w:val="24"/>
        </w:rPr>
        <w:t>1 headed ‘Section</w:t>
      </w:r>
      <w:r w:rsidR="00E106BD">
        <w:rPr>
          <w:szCs w:val="24"/>
        </w:rPr>
        <w:t> </w:t>
      </w:r>
      <w:r w:rsidRPr="00E106BD">
        <w:rPr>
          <w:szCs w:val="24"/>
        </w:rPr>
        <w:t>100 only’ for an HSD pharmaceutical benefit, the HSD pharmaceutical benefit may be supplied only in accordance with this Special Arrangement and any other Special Arrangement relating to the pharmaceutical benefit.</w:t>
      </w:r>
    </w:p>
    <w:p w:rsidR="00A869FA" w:rsidRPr="00E106BD" w:rsidRDefault="00A869FA" w:rsidP="004E4760">
      <w:pPr>
        <w:pStyle w:val="subsection"/>
      </w:pPr>
      <w:r w:rsidRPr="00E106BD">
        <w:tab/>
        <w:t>(4)</w:t>
      </w:r>
      <w:r w:rsidRPr="00E106BD">
        <w:tab/>
        <w:t xml:space="preserve">An HSD pharmaceutical benefit mentioned in </w:t>
      </w:r>
      <w:r w:rsidR="00E106BD">
        <w:t>subsection (</w:t>
      </w:r>
      <w:r w:rsidRPr="00E106BD">
        <w:t>3) is not available for general supply on the Pharmaceutical Benefits Scheme.</w:t>
      </w:r>
    </w:p>
    <w:p w:rsidR="00A869FA" w:rsidRPr="00E106BD" w:rsidRDefault="00295F4A" w:rsidP="004E4760">
      <w:pPr>
        <w:pStyle w:val="notetext"/>
      </w:pPr>
      <w:r w:rsidRPr="00E106BD">
        <w:t>Note:</w:t>
      </w:r>
      <w:r w:rsidRPr="00E106BD">
        <w:tab/>
      </w:r>
      <w:r w:rsidR="00A869FA" w:rsidRPr="00E106BD">
        <w:t>The Minister has determined, under paragraph</w:t>
      </w:r>
      <w:r w:rsidR="00E106BD">
        <w:t> </w:t>
      </w:r>
      <w:r w:rsidR="00A869FA" w:rsidRPr="00E106BD">
        <w:t>85(8)(a) of the Act, that this HSD pharmaceutical benefit can only be supplied under a section</w:t>
      </w:r>
      <w:r w:rsidR="00E106BD">
        <w:t> </w:t>
      </w:r>
      <w:r w:rsidR="00A869FA" w:rsidRPr="00E106BD">
        <w:t>100 Special Arrangement.</w:t>
      </w:r>
    </w:p>
    <w:p w:rsidR="00A869FA" w:rsidRPr="00E106BD" w:rsidRDefault="00A869FA" w:rsidP="004E4760">
      <w:pPr>
        <w:pStyle w:val="subsection"/>
      </w:pPr>
      <w:r w:rsidRPr="00E106BD">
        <w:rPr>
          <w:szCs w:val="24"/>
        </w:rPr>
        <w:tab/>
        <w:t>(5)</w:t>
      </w:r>
      <w:r w:rsidRPr="00E106BD">
        <w:rPr>
          <w:szCs w:val="24"/>
        </w:rPr>
        <w:tab/>
        <w:t>If the letter ‘C’ is mentioned in the column in Schedule</w:t>
      </w:r>
      <w:r w:rsidR="00E106BD">
        <w:rPr>
          <w:szCs w:val="24"/>
        </w:rPr>
        <w:t> </w:t>
      </w:r>
      <w:r w:rsidRPr="00E106BD">
        <w:rPr>
          <w:szCs w:val="24"/>
        </w:rPr>
        <w:t>1 headed ‘Section</w:t>
      </w:r>
      <w:r w:rsidR="00E106BD">
        <w:rPr>
          <w:szCs w:val="24"/>
        </w:rPr>
        <w:t> </w:t>
      </w:r>
      <w:r w:rsidRPr="00E106BD">
        <w:rPr>
          <w:szCs w:val="24"/>
        </w:rPr>
        <w:t>100 only’ for an HSD pharmaceutical benefit, the HSD pharmaceutical benefit may be supplied in the circumstances mentioned in Schedule</w:t>
      </w:r>
      <w:r w:rsidR="00E106BD">
        <w:rPr>
          <w:szCs w:val="24"/>
        </w:rPr>
        <w:t> </w:t>
      </w:r>
      <w:r w:rsidRPr="00E106BD">
        <w:rPr>
          <w:szCs w:val="24"/>
        </w:rPr>
        <w:t>3 for the circumstances code in the column headed ‘Circumstances’ only in accordance with this Special Arrangement and any other Special Arrangement relating to the HSD pharmaceutical benefit.</w:t>
      </w:r>
    </w:p>
    <w:p w:rsidR="00A869FA" w:rsidRPr="00E106BD" w:rsidRDefault="00A869FA" w:rsidP="004E4760">
      <w:pPr>
        <w:pStyle w:val="subsection"/>
      </w:pPr>
      <w:r w:rsidRPr="00E106BD">
        <w:rPr>
          <w:szCs w:val="24"/>
        </w:rPr>
        <w:tab/>
        <w:t>(6)</w:t>
      </w:r>
      <w:r w:rsidRPr="00E106BD">
        <w:rPr>
          <w:szCs w:val="24"/>
        </w:rPr>
        <w:tab/>
        <w:t xml:space="preserve">An HSD pharmaceutical benefit mentioned in </w:t>
      </w:r>
      <w:r w:rsidR="00E106BD">
        <w:rPr>
          <w:szCs w:val="24"/>
        </w:rPr>
        <w:t>subsection (</w:t>
      </w:r>
      <w:r w:rsidRPr="00E106BD">
        <w:rPr>
          <w:szCs w:val="24"/>
        </w:rPr>
        <w:t xml:space="preserve">5) is not available in the circumstances mentioned in </w:t>
      </w:r>
      <w:r w:rsidR="00E106BD">
        <w:rPr>
          <w:szCs w:val="24"/>
        </w:rPr>
        <w:t>subsection (</w:t>
      </w:r>
      <w:r w:rsidRPr="00E106BD">
        <w:rPr>
          <w:szCs w:val="24"/>
        </w:rPr>
        <w:t>5) for general supply on the Pharmaceutical Benefits Scheme.</w:t>
      </w:r>
    </w:p>
    <w:p w:rsidR="00A869FA" w:rsidRPr="00E106BD" w:rsidRDefault="00295F4A" w:rsidP="004E4760">
      <w:pPr>
        <w:pStyle w:val="notetext"/>
      </w:pPr>
      <w:r w:rsidRPr="00E106BD">
        <w:t>Note:</w:t>
      </w:r>
      <w:r w:rsidRPr="00E106BD">
        <w:tab/>
      </w:r>
      <w:r w:rsidR="00A869FA" w:rsidRPr="00E106BD">
        <w:t>The Minister has determined, under paragraph</w:t>
      </w:r>
      <w:r w:rsidR="00E106BD">
        <w:t> </w:t>
      </w:r>
      <w:r w:rsidR="00A869FA" w:rsidRPr="00E106BD">
        <w:t>85(8)(b) of the Act, that 1 or more of the circumstances in which a prescription for the supply of the HSD pharmaceutical benefit may be written are circumstances in which the benefit can only be supplied under a section</w:t>
      </w:r>
      <w:r w:rsidR="00E106BD">
        <w:t> </w:t>
      </w:r>
      <w:r w:rsidR="00A869FA" w:rsidRPr="00E106BD">
        <w:t>100 Special Arrangement.</w:t>
      </w:r>
    </w:p>
    <w:p w:rsidR="00A869FA" w:rsidRPr="00E106BD" w:rsidRDefault="00295F4A" w:rsidP="004E4760">
      <w:pPr>
        <w:pStyle w:val="ActHead2"/>
        <w:keepNext w:val="0"/>
        <w:keepLines w:val="0"/>
        <w:pageBreakBefore/>
      </w:pPr>
      <w:bookmarkStart w:id="22" w:name="_Toc53558951"/>
      <w:r w:rsidRPr="00E106BD">
        <w:rPr>
          <w:rStyle w:val="CharPartNo"/>
        </w:rPr>
        <w:t>Part</w:t>
      </w:r>
      <w:r w:rsidR="00E106BD">
        <w:rPr>
          <w:rStyle w:val="CharPartNo"/>
        </w:rPr>
        <w:t> </w:t>
      </w:r>
      <w:r w:rsidR="00A869FA" w:rsidRPr="00E106BD">
        <w:rPr>
          <w:rStyle w:val="CharPartNo"/>
        </w:rPr>
        <w:t>2</w:t>
      </w:r>
      <w:r w:rsidRPr="00E106BD">
        <w:t>—</w:t>
      </w:r>
      <w:r w:rsidR="00A869FA" w:rsidRPr="00E106BD">
        <w:rPr>
          <w:rStyle w:val="CharPartText"/>
        </w:rPr>
        <w:t>Supply of HSD pharmaceutical benefits</w:t>
      </w:r>
      <w:bookmarkEnd w:id="22"/>
    </w:p>
    <w:p w:rsidR="00A869FA" w:rsidRPr="00E106BD" w:rsidRDefault="00295F4A" w:rsidP="004E4760">
      <w:pPr>
        <w:pStyle w:val="ActHead3"/>
        <w:keepNext w:val="0"/>
        <w:keepLines w:val="0"/>
      </w:pPr>
      <w:bookmarkStart w:id="23" w:name="_Toc53558952"/>
      <w:r w:rsidRPr="00E106BD">
        <w:rPr>
          <w:rStyle w:val="CharDivNo"/>
        </w:rPr>
        <w:t>Division</w:t>
      </w:r>
      <w:r w:rsidR="00E106BD">
        <w:rPr>
          <w:rStyle w:val="CharDivNo"/>
        </w:rPr>
        <w:t> </w:t>
      </w:r>
      <w:r w:rsidR="00A869FA" w:rsidRPr="00E106BD">
        <w:rPr>
          <w:rStyle w:val="CharDivNo"/>
        </w:rPr>
        <w:t>1</w:t>
      </w:r>
      <w:r w:rsidRPr="00E106BD">
        <w:t>—</w:t>
      </w:r>
      <w:r w:rsidR="00A869FA" w:rsidRPr="00E106BD">
        <w:rPr>
          <w:rStyle w:val="CharDivText"/>
        </w:rPr>
        <w:t>General requirements for supply</w:t>
      </w:r>
      <w:bookmarkEnd w:id="23"/>
    </w:p>
    <w:p w:rsidR="00A869FA" w:rsidRPr="00E106BD" w:rsidRDefault="00A869FA" w:rsidP="004E4760">
      <w:pPr>
        <w:pStyle w:val="ActHead5"/>
        <w:keepNext w:val="0"/>
        <w:keepLines w:val="0"/>
      </w:pPr>
      <w:bookmarkStart w:id="24" w:name="_Toc53558953"/>
      <w:r w:rsidRPr="00E106BD">
        <w:rPr>
          <w:rStyle w:val="CharSectno"/>
        </w:rPr>
        <w:t>17</w:t>
      </w:r>
      <w:r w:rsidR="00295F4A" w:rsidRPr="00E106BD">
        <w:t xml:space="preserve">  </w:t>
      </w:r>
      <w:r w:rsidRPr="00E106BD">
        <w:t>Entitlement to HSD pharmaceutical benefits</w:t>
      </w:r>
      <w:bookmarkEnd w:id="24"/>
    </w:p>
    <w:p w:rsidR="00A869FA" w:rsidRPr="00E106BD" w:rsidRDefault="00A869FA" w:rsidP="004E4760">
      <w:pPr>
        <w:pStyle w:val="subsection"/>
      </w:pPr>
      <w:r w:rsidRPr="00E106BD">
        <w:rPr>
          <w:szCs w:val="24"/>
        </w:rPr>
        <w:tab/>
      </w:r>
      <w:r w:rsidRPr="00E106BD">
        <w:rPr>
          <w:szCs w:val="24"/>
        </w:rPr>
        <w:tab/>
        <w:t xml:space="preserve">Subject to this Special Arrangement, an eligible patient is entitled to be supplied an HSD pharmaceutical benefit under this Special Arrangement without payment or other consideration, other than a charge made in accordance with </w:t>
      </w:r>
      <w:r w:rsidR="00295F4A" w:rsidRPr="00E106BD">
        <w:rPr>
          <w:szCs w:val="24"/>
        </w:rPr>
        <w:t>Part</w:t>
      </w:r>
      <w:r w:rsidR="00E106BD">
        <w:rPr>
          <w:szCs w:val="24"/>
        </w:rPr>
        <w:t> </w:t>
      </w:r>
      <w:r w:rsidRPr="00E106BD">
        <w:rPr>
          <w:szCs w:val="24"/>
        </w:rPr>
        <w:t>6.</w:t>
      </w:r>
    </w:p>
    <w:p w:rsidR="00EF55DE" w:rsidRPr="00E106BD" w:rsidRDefault="00EF55DE" w:rsidP="004E4760">
      <w:pPr>
        <w:pStyle w:val="ActHead5"/>
        <w:keepNext w:val="0"/>
        <w:keepLines w:val="0"/>
      </w:pPr>
      <w:bookmarkStart w:id="25" w:name="_Toc53558954"/>
      <w:r w:rsidRPr="00E106BD">
        <w:rPr>
          <w:rStyle w:val="CharSectno"/>
        </w:rPr>
        <w:t>17A</w:t>
      </w:r>
      <w:r w:rsidRPr="00E106BD">
        <w:t xml:space="preserve"> </w:t>
      </w:r>
      <w:r w:rsidR="00F755E2" w:rsidRPr="00E106BD">
        <w:t xml:space="preserve"> </w:t>
      </w:r>
      <w:r w:rsidRPr="00E106BD">
        <w:t>Modified application of paragraph</w:t>
      </w:r>
      <w:r w:rsidR="00E106BD">
        <w:t> </w:t>
      </w:r>
      <w:r w:rsidRPr="00E106BD">
        <w:t>92A(1)(f) conditions of approval</w:t>
      </w:r>
      <w:bookmarkEnd w:id="25"/>
    </w:p>
    <w:p w:rsidR="00EF55DE" w:rsidRPr="00E106BD" w:rsidRDefault="00EF55DE" w:rsidP="004E4760">
      <w:pPr>
        <w:pStyle w:val="subsection"/>
        <w:rPr>
          <w:szCs w:val="24"/>
        </w:rPr>
      </w:pPr>
      <w:r w:rsidRPr="00E106BD">
        <w:rPr>
          <w:szCs w:val="24"/>
        </w:rPr>
        <w:tab/>
        <w:t>(1)</w:t>
      </w:r>
      <w:r w:rsidRPr="00E106BD">
        <w:rPr>
          <w:szCs w:val="24"/>
        </w:rPr>
        <w:tab/>
        <w:t>Section</w:t>
      </w:r>
      <w:r w:rsidR="00E106BD">
        <w:rPr>
          <w:szCs w:val="24"/>
        </w:rPr>
        <w:t> </w:t>
      </w:r>
      <w:r w:rsidRPr="00E106BD">
        <w:rPr>
          <w:szCs w:val="24"/>
        </w:rPr>
        <w:t>8 of the conditions of approval for approved pharmacists under paragraph</w:t>
      </w:r>
      <w:r w:rsidR="00E106BD">
        <w:rPr>
          <w:szCs w:val="24"/>
        </w:rPr>
        <w:t> </w:t>
      </w:r>
      <w:r w:rsidRPr="00E106BD">
        <w:rPr>
          <w:szCs w:val="24"/>
        </w:rPr>
        <w:t>92A(1)(f) of the Act does not apply to the supply of a HSD pharmaceutical benefit, once prepared as a final product ready for infusion to a person, when the HSD pharmaceutical benefit has a physical, chemical or biological stability restricting its clinically effective shelf life to 8 hours or less.</w:t>
      </w:r>
    </w:p>
    <w:p w:rsidR="00EF55DE" w:rsidRPr="00E106BD" w:rsidRDefault="00EF55DE" w:rsidP="004E4760">
      <w:pPr>
        <w:pStyle w:val="subsection"/>
        <w:rPr>
          <w:szCs w:val="24"/>
        </w:rPr>
      </w:pPr>
      <w:r w:rsidRPr="00E106BD">
        <w:rPr>
          <w:szCs w:val="24"/>
        </w:rPr>
        <w:tab/>
        <w:t>(2)</w:t>
      </w:r>
      <w:r w:rsidRPr="00E106BD">
        <w:rPr>
          <w:szCs w:val="24"/>
        </w:rPr>
        <w:tab/>
        <w:t xml:space="preserve">For the purposes of this section, shelf life means the period of time that a medicine can be stored and still be considered safe and effective for use. </w:t>
      </w:r>
    </w:p>
    <w:p w:rsidR="00CA0299" w:rsidRPr="00E106BD" w:rsidRDefault="00CA0299" w:rsidP="00CD07B8">
      <w:pPr>
        <w:pStyle w:val="ActHead5"/>
        <w:keepNext w:val="0"/>
        <w:keepLines w:val="0"/>
      </w:pPr>
      <w:bookmarkStart w:id="26" w:name="_Toc53558955"/>
      <w:r w:rsidRPr="00E106BD">
        <w:rPr>
          <w:rStyle w:val="CharSectno"/>
        </w:rPr>
        <w:t>18</w:t>
      </w:r>
      <w:r w:rsidRPr="00E106BD">
        <w:t xml:space="preserve">  Supply of HSD pharmaceutical benefits under this Special Arrangement</w:t>
      </w:r>
      <w:bookmarkEnd w:id="26"/>
    </w:p>
    <w:p w:rsidR="00CA0299" w:rsidRPr="00E106BD" w:rsidRDefault="00EC1DBC" w:rsidP="00EC1DBC">
      <w:pPr>
        <w:pStyle w:val="subsection"/>
        <w:ind w:left="1276" w:hanging="425"/>
      </w:pPr>
      <w:r w:rsidRPr="00E106BD">
        <w:t>(1)</w:t>
      </w:r>
      <w:r w:rsidRPr="00E106BD">
        <w:tab/>
      </w:r>
      <w:r w:rsidR="00CA0299" w:rsidRPr="00E106BD">
        <w:rPr>
          <w:szCs w:val="22"/>
        </w:rPr>
        <w:t xml:space="preserve">Subject to </w:t>
      </w:r>
      <w:r w:rsidR="00E106BD">
        <w:rPr>
          <w:szCs w:val="22"/>
        </w:rPr>
        <w:t>subsection (</w:t>
      </w:r>
      <w:r w:rsidR="00CA0299" w:rsidRPr="00E106BD">
        <w:rPr>
          <w:szCs w:val="22"/>
        </w:rPr>
        <w:t>2), this Special Arrangement</w:t>
      </w:r>
      <w:r w:rsidR="00CA0299" w:rsidRPr="00E106BD">
        <w:rPr>
          <w:szCs w:val="24"/>
        </w:rPr>
        <w:t xml:space="preserve"> only applies to the supply of an HSD pharmaceutical benefit:</w:t>
      </w:r>
    </w:p>
    <w:p w:rsidR="00CA0299" w:rsidRPr="00E106BD" w:rsidRDefault="00EC1DBC" w:rsidP="00EC1DBC">
      <w:pPr>
        <w:pStyle w:val="paragraph"/>
      </w:pPr>
      <w:r w:rsidRPr="00E106BD">
        <w:tab/>
        <w:t>(a)</w:t>
      </w:r>
      <w:r w:rsidRPr="00E106BD">
        <w:tab/>
      </w:r>
      <w:r w:rsidR="00CA0299" w:rsidRPr="00E106BD">
        <w:t xml:space="preserve">by an approved hospital authority for a public hospital to an eligible patient receiving treatment at or from an approved public hospital; or </w:t>
      </w:r>
    </w:p>
    <w:p w:rsidR="00CA0299" w:rsidRPr="00E106BD" w:rsidRDefault="00EC1DBC" w:rsidP="00EC1DBC">
      <w:pPr>
        <w:pStyle w:val="paragraph"/>
      </w:pPr>
      <w:r w:rsidRPr="00E106BD">
        <w:tab/>
        <w:t>(b)</w:t>
      </w:r>
      <w:r w:rsidRPr="00E106BD">
        <w:tab/>
      </w:r>
      <w:r w:rsidR="00CA0299" w:rsidRPr="00E106BD">
        <w:t xml:space="preserve">by an approved hospital authority for a private hospital to an eligible patient receiving treatment at or from an approved private hospital; or </w:t>
      </w:r>
    </w:p>
    <w:p w:rsidR="00CA0299" w:rsidRPr="00E106BD" w:rsidRDefault="00EC1DBC" w:rsidP="00EC1DBC">
      <w:pPr>
        <w:pStyle w:val="paragraph"/>
      </w:pPr>
      <w:r w:rsidRPr="00E106BD">
        <w:tab/>
        <w:t>(c)</w:t>
      </w:r>
      <w:r w:rsidRPr="00E106BD">
        <w:tab/>
      </w:r>
      <w:r w:rsidR="00CA0299" w:rsidRPr="00E106BD">
        <w:t>by an approved pharmacist to an eligible patient receiving treatment at or from a private hospital; or</w:t>
      </w:r>
    </w:p>
    <w:p w:rsidR="00CA0299" w:rsidRPr="00E106BD" w:rsidRDefault="00EC1DBC" w:rsidP="00EC1DBC">
      <w:pPr>
        <w:pStyle w:val="paragraph"/>
      </w:pPr>
      <w:r w:rsidRPr="00E106BD">
        <w:tab/>
        <w:t>(d)</w:t>
      </w:r>
      <w:r w:rsidRPr="00E106BD">
        <w:tab/>
      </w:r>
      <w:r w:rsidR="00CA0299" w:rsidRPr="00E106BD">
        <w:t>if the HSD pharmaceutical benefit has a CAR drug—by an approved pharmacist to an eligible patient receiving treatment at or from an approved public hospital or an approved private hospital.</w:t>
      </w:r>
    </w:p>
    <w:p w:rsidR="00CA0299" w:rsidRPr="00E106BD" w:rsidRDefault="00EC1DBC" w:rsidP="00EC1DBC">
      <w:pPr>
        <w:pStyle w:val="subsection"/>
        <w:ind w:left="1276" w:hanging="425"/>
      </w:pPr>
      <w:r w:rsidRPr="00E106BD">
        <w:t>(2)</w:t>
      </w:r>
      <w:r w:rsidRPr="00E106BD">
        <w:tab/>
      </w:r>
      <w:r w:rsidR="00CA0299" w:rsidRPr="00E106BD">
        <w:t xml:space="preserve">Where an eligible patient receives treatment in or at or outside of an approved public hospital or an approved private hospital, then a supplier listed in </w:t>
      </w:r>
      <w:r w:rsidR="00E106BD">
        <w:t>paragraph (</w:t>
      </w:r>
      <w:r w:rsidR="00CA0299" w:rsidRPr="00E106BD">
        <w:t xml:space="preserve">a) may supply, to the eligible patient, HSD pharmaceutical benefits that are referred to in </w:t>
      </w:r>
      <w:r w:rsidR="00E106BD">
        <w:t>paragraph (</w:t>
      </w:r>
      <w:r w:rsidR="00CA0299" w:rsidRPr="00E106BD">
        <w:t>b):</w:t>
      </w:r>
    </w:p>
    <w:p w:rsidR="00CA0299" w:rsidRPr="00E106BD" w:rsidRDefault="00EC1DBC" w:rsidP="00EC1DBC">
      <w:pPr>
        <w:pStyle w:val="paragraph"/>
      </w:pPr>
      <w:r w:rsidRPr="00E106BD">
        <w:tab/>
        <w:t>(a)</w:t>
      </w:r>
      <w:r w:rsidRPr="00E106BD">
        <w:tab/>
      </w:r>
      <w:r w:rsidR="00CA0299" w:rsidRPr="00E106BD">
        <w:t>The suppliers are:</w:t>
      </w:r>
    </w:p>
    <w:p w:rsidR="00CA0299" w:rsidRPr="00E106BD" w:rsidRDefault="00CD07B8" w:rsidP="00CD07B8">
      <w:pPr>
        <w:pStyle w:val="paragraphsub"/>
      </w:pPr>
      <w:r w:rsidRPr="00E106BD">
        <w:tab/>
      </w:r>
      <w:r w:rsidR="00EC1DBC" w:rsidRPr="00E106BD">
        <w:t>i.</w:t>
      </w:r>
      <w:r w:rsidRPr="00E106BD">
        <w:tab/>
      </w:r>
      <w:r w:rsidR="00CA0299" w:rsidRPr="00E106BD">
        <w:t xml:space="preserve">an approved pharmacist; or </w:t>
      </w:r>
    </w:p>
    <w:p w:rsidR="00CA0299" w:rsidRPr="00E106BD" w:rsidRDefault="00CD07B8" w:rsidP="00CD07B8">
      <w:pPr>
        <w:pStyle w:val="paragraphsub"/>
      </w:pPr>
      <w:r w:rsidRPr="00E106BD">
        <w:tab/>
      </w:r>
      <w:r w:rsidR="00EC1DBC" w:rsidRPr="00E106BD">
        <w:t>ii.</w:t>
      </w:r>
      <w:r w:rsidR="00EC1DBC" w:rsidRPr="00E106BD">
        <w:tab/>
      </w:r>
      <w:r w:rsidR="00CA0299" w:rsidRPr="00E106BD">
        <w:t xml:space="preserve">an approved medical practitioner; or </w:t>
      </w:r>
    </w:p>
    <w:p w:rsidR="00CA0299" w:rsidRPr="00E106BD" w:rsidRDefault="00CD07B8" w:rsidP="00CD07B8">
      <w:pPr>
        <w:pStyle w:val="paragraphsub"/>
      </w:pPr>
      <w:r w:rsidRPr="00E106BD">
        <w:tab/>
      </w:r>
      <w:r w:rsidR="00EC1DBC" w:rsidRPr="00E106BD">
        <w:t>iii.</w:t>
      </w:r>
      <w:r w:rsidR="00EC1DBC" w:rsidRPr="00E106BD">
        <w:tab/>
      </w:r>
      <w:r w:rsidR="00CA0299" w:rsidRPr="00E106BD">
        <w:t>an approved hospital authority;</w:t>
      </w:r>
    </w:p>
    <w:p w:rsidR="00CA0299" w:rsidRPr="00E106BD" w:rsidRDefault="00CD07B8" w:rsidP="00CD07B8">
      <w:pPr>
        <w:pStyle w:val="paragraph"/>
      </w:pPr>
      <w:r w:rsidRPr="00E106BD">
        <w:tab/>
      </w:r>
      <w:r w:rsidR="00EC1DBC" w:rsidRPr="00E106BD">
        <w:t>(b)</w:t>
      </w:r>
      <w:r w:rsidR="00EC1DBC" w:rsidRPr="00E106BD">
        <w:tab/>
      </w:r>
      <w:r w:rsidR="00CA0299" w:rsidRPr="00E106BD">
        <w:t>The HSD pharmaceutical benefits are:</w:t>
      </w:r>
    </w:p>
    <w:p w:rsidR="00D11612" w:rsidRPr="00E106BD" w:rsidRDefault="00CD07B8" w:rsidP="00CD07B8">
      <w:pPr>
        <w:pStyle w:val="paragraphsub"/>
        <w:tabs>
          <w:tab w:val="left" w:pos="2410"/>
        </w:tabs>
      </w:pPr>
      <w:r w:rsidRPr="00E106BD">
        <w:tab/>
      </w:r>
      <w:r w:rsidR="00D11612" w:rsidRPr="00E106BD">
        <w:t>i.</w:t>
      </w:r>
      <w:r w:rsidR="00D11612" w:rsidRPr="00E106BD">
        <w:tab/>
        <w:t xml:space="preserve">medication for the treatment of hepatitis B; </w:t>
      </w:r>
    </w:p>
    <w:p w:rsidR="00D11612" w:rsidRPr="00E106BD" w:rsidRDefault="00CD07B8" w:rsidP="00CD07B8">
      <w:pPr>
        <w:pStyle w:val="paragraphsub"/>
        <w:tabs>
          <w:tab w:val="left" w:pos="2410"/>
        </w:tabs>
      </w:pPr>
      <w:r w:rsidRPr="00E106BD">
        <w:tab/>
      </w:r>
      <w:r w:rsidR="00D11612" w:rsidRPr="00E106BD">
        <w:t>ii.</w:t>
      </w:r>
      <w:r w:rsidR="00D11612" w:rsidRPr="00E106BD">
        <w:tab/>
        <w:t>medication for the treatment of HIV or AIDS, other than the pharmaceutical benefits containing the drugs azithromycin, doxorubicin </w:t>
      </w:r>
      <w:r w:rsidR="00E106BD">
        <w:noBreakHyphen/>
      </w:r>
      <w:r w:rsidR="00D11612" w:rsidRPr="00E106BD">
        <w:t xml:space="preserve"> pegylated liposomal and rifabutin; and</w:t>
      </w:r>
    </w:p>
    <w:p w:rsidR="00D11612" w:rsidRPr="00E106BD" w:rsidRDefault="00CD07B8" w:rsidP="00CD07B8">
      <w:pPr>
        <w:pStyle w:val="paragraphsub"/>
        <w:tabs>
          <w:tab w:val="left" w:pos="2410"/>
        </w:tabs>
      </w:pPr>
      <w:r w:rsidRPr="00E106BD">
        <w:tab/>
      </w:r>
      <w:r w:rsidR="00D11612" w:rsidRPr="00E106BD">
        <w:t>iii.</w:t>
      </w:r>
      <w:r w:rsidR="00D11612" w:rsidRPr="00E106BD">
        <w:tab/>
        <w:t>medication for the treatment of schizophrenia when used in continuing therapy.</w:t>
      </w:r>
    </w:p>
    <w:p w:rsidR="00CA0299" w:rsidRPr="00E106BD" w:rsidRDefault="00EC1DBC" w:rsidP="00EC1DBC">
      <w:pPr>
        <w:pStyle w:val="subsection"/>
        <w:ind w:left="1276" w:hanging="425"/>
      </w:pPr>
      <w:r w:rsidRPr="00E106BD">
        <w:t>(3)</w:t>
      </w:r>
      <w:r w:rsidRPr="00E106BD">
        <w:tab/>
      </w:r>
      <w:r w:rsidR="00CA0299" w:rsidRPr="00E106BD">
        <w:t>This section does not require an approved hospital authority or an approved pharmacist to supply the HSD pharmaceutical benefit directly to a patient.</w:t>
      </w:r>
    </w:p>
    <w:p w:rsidR="00CA0299" w:rsidRPr="00E106BD" w:rsidRDefault="00EC1DBC" w:rsidP="00EC1DBC">
      <w:pPr>
        <w:pStyle w:val="subsection"/>
        <w:ind w:left="1276" w:hanging="425"/>
      </w:pPr>
      <w:r w:rsidRPr="00E106BD">
        <w:t>(4)</w:t>
      </w:r>
      <w:r w:rsidRPr="00E106BD">
        <w:tab/>
      </w:r>
      <w:r w:rsidR="00CA0299" w:rsidRPr="00E106BD">
        <w:t>The HSD pharmaceutical benefit may be supplied by the approved hospital authority or approved pharmacist through an agent.</w:t>
      </w:r>
    </w:p>
    <w:p w:rsidR="00CA0299" w:rsidRPr="00E106BD" w:rsidRDefault="00EC1DBC" w:rsidP="00EC1DBC">
      <w:pPr>
        <w:pStyle w:val="subsection"/>
        <w:ind w:left="1276" w:hanging="425"/>
        <w:rPr>
          <w:szCs w:val="24"/>
        </w:rPr>
      </w:pPr>
      <w:r w:rsidRPr="00E106BD">
        <w:rPr>
          <w:szCs w:val="24"/>
        </w:rPr>
        <w:t>(5)</w:t>
      </w:r>
      <w:r w:rsidRPr="00E106BD">
        <w:rPr>
          <w:szCs w:val="24"/>
        </w:rPr>
        <w:tab/>
      </w:r>
      <w:r w:rsidR="00CA0299" w:rsidRPr="00E106BD">
        <w:rPr>
          <w:szCs w:val="24"/>
        </w:rPr>
        <w:t>Section</w:t>
      </w:r>
      <w:r w:rsidR="00E106BD">
        <w:rPr>
          <w:szCs w:val="24"/>
        </w:rPr>
        <w:t> </w:t>
      </w:r>
      <w:r w:rsidR="00CA0299" w:rsidRPr="00E106BD">
        <w:rPr>
          <w:szCs w:val="24"/>
        </w:rPr>
        <w:t xml:space="preserve">94 of the Act applies in a modified manner to pharmaceutical benefits supplied by an approved hospital authority under this Special Arrangement. </w:t>
      </w:r>
    </w:p>
    <w:p w:rsidR="00A869FA" w:rsidRPr="00E106BD" w:rsidRDefault="00295F4A" w:rsidP="004E4760">
      <w:pPr>
        <w:pStyle w:val="ActHead3"/>
        <w:keepNext w:val="0"/>
        <w:keepLines w:val="0"/>
        <w:pageBreakBefore/>
      </w:pPr>
      <w:bookmarkStart w:id="27" w:name="_Toc53558956"/>
      <w:r w:rsidRPr="00E106BD">
        <w:rPr>
          <w:rStyle w:val="CharDivNo"/>
        </w:rPr>
        <w:t>Division</w:t>
      </w:r>
      <w:r w:rsidR="00E106BD">
        <w:rPr>
          <w:rStyle w:val="CharDivNo"/>
        </w:rPr>
        <w:t> </w:t>
      </w:r>
      <w:r w:rsidR="00A869FA" w:rsidRPr="00E106BD">
        <w:rPr>
          <w:rStyle w:val="CharDivNo"/>
        </w:rPr>
        <w:t>2</w:t>
      </w:r>
      <w:r w:rsidRPr="00E106BD">
        <w:t>—</w:t>
      </w:r>
      <w:r w:rsidR="00A869FA" w:rsidRPr="00E106BD">
        <w:rPr>
          <w:rStyle w:val="CharDivText"/>
        </w:rPr>
        <w:t>Repeat prescriptions</w:t>
      </w:r>
      <w:bookmarkEnd w:id="27"/>
    </w:p>
    <w:p w:rsidR="00A869FA" w:rsidRPr="00E106BD" w:rsidRDefault="00376D5A" w:rsidP="004E4760">
      <w:pPr>
        <w:pStyle w:val="ActHead5"/>
        <w:keepNext w:val="0"/>
        <w:keepLines w:val="0"/>
      </w:pPr>
      <w:bookmarkStart w:id="28" w:name="_Toc53558957"/>
      <w:r w:rsidRPr="00E106BD">
        <w:rPr>
          <w:rStyle w:val="CharSectno"/>
        </w:rPr>
        <w:t>19</w:t>
      </w:r>
      <w:r w:rsidR="00295F4A" w:rsidRPr="00E106BD">
        <w:t xml:space="preserve">  </w:t>
      </w:r>
      <w:r w:rsidRPr="00E106BD">
        <w:t>Application of section</w:t>
      </w:r>
      <w:r w:rsidR="00E106BD">
        <w:t> </w:t>
      </w:r>
      <w:r w:rsidRPr="00E106BD">
        <w:t>51 of the Regulations</w:t>
      </w:r>
      <w:bookmarkEnd w:id="28"/>
    </w:p>
    <w:p w:rsidR="00736FDB" w:rsidRPr="00E106BD" w:rsidRDefault="00F518DC" w:rsidP="000D629E">
      <w:pPr>
        <w:pStyle w:val="subsection"/>
      </w:pPr>
      <w:r w:rsidRPr="00E106BD">
        <w:tab/>
      </w:r>
      <w:r w:rsidRPr="00E106BD">
        <w:tab/>
      </w:r>
      <w:r w:rsidR="00BC6F76" w:rsidRPr="00E106BD">
        <w:t>Section</w:t>
      </w:r>
      <w:r w:rsidR="00E106BD">
        <w:t> </w:t>
      </w:r>
      <w:r w:rsidR="00BC6F76" w:rsidRPr="00E106BD">
        <w:t>51 of the Regulations does not apply to the supply of HSD pharmaceutical benefits.</w:t>
      </w:r>
    </w:p>
    <w:p w:rsidR="00A869FA" w:rsidRPr="00E106BD" w:rsidRDefault="00A869FA" w:rsidP="004E4760">
      <w:pPr>
        <w:pStyle w:val="ActHead5"/>
        <w:keepNext w:val="0"/>
        <w:keepLines w:val="0"/>
      </w:pPr>
      <w:bookmarkStart w:id="29" w:name="_Toc53558958"/>
      <w:r w:rsidRPr="00E106BD">
        <w:rPr>
          <w:rStyle w:val="CharSectno"/>
        </w:rPr>
        <w:t>20</w:t>
      </w:r>
      <w:r w:rsidR="00295F4A" w:rsidRPr="00E106BD">
        <w:t xml:space="preserve">  </w:t>
      </w:r>
      <w:r w:rsidRPr="00E106BD">
        <w:t>No repeats for visitors</w:t>
      </w:r>
      <w:bookmarkEnd w:id="29"/>
    </w:p>
    <w:p w:rsidR="00A869FA" w:rsidRPr="00E106BD" w:rsidRDefault="00A869FA" w:rsidP="004E4760">
      <w:pPr>
        <w:pStyle w:val="subsection"/>
      </w:pPr>
      <w:r w:rsidRPr="00E106BD">
        <w:rPr>
          <w:szCs w:val="24"/>
        </w:rPr>
        <w:tab/>
      </w:r>
      <w:r w:rsidRPr="00E106BD">
        <w:rPr>
          <w:szCs w:val="24"/>
        </w:rPr>
        <w:tab/>
        <w:t xml:space="preserve">An </w:t>
      </w:r>
      <w:r w:rsidR="00E477BB" w:rsidRPr="00E106BD">
        <w:rPr>
          <w:szCs w:val="24"/>
        </w:rPr>
        <w:t>authorised prescriber for an HSD pharmaceutical benefit must not write a repeat prescription for the HSD pharmaceutical benefit</w:t>
      </w:r>
      <w:r w:rsidRPr="00E106BD">
        <w:rPr>
          <w:szCs w:val="24"/>
        </w:rPr>
        <w:t xml:space="preserve"> for a person who is a visitor to Australia even if the person is, in accordance with section</w:t>
      </w:r>
      <w:r w:rsidR="00E106BD">
        <w:rPr>
          <w:szCs w:val="24"/>
        </w:rPr>
        <w:t> </w:t>
      </w:r>
      <w:r w:rsidRPr="00E106BD">
        <w:rPr>
          <w:szCs w:val="24"/>
        </w:rPr>
        <w:t xml:space="preserve">7 of the </w:t>
      </w:r>
      <w:r w:rsidRPr="00E106BD">
        <w:rPr>
          <w:i/>
          <w:iCs/>
          <w:szCs w:val="24"/>
        </w:rPr>
        <w:t>Health Insurance Act</w:t>
      </w:r>
      <w:r w:rsidR="00D41F19" w:rsidRPr="00E106BD">
        <w:rPr>
          <w:i/>
          <w:iCs/>
          <w:szCs w:val="24"/>
        </w:rPr>
        <w:t xml:space="preserve"> </w:t>
      </w:r>
      <w:r w:rsidRPr="00E106BD">
        <w:rPr>
          <w:i/>
          <w:iCs/>
          <w:szCs w:val="24"/>
        </w:rPr>
        <w:t>1973</w:t>
      </w:r>
      <w:r w:rsidRPr="00E106BD">
        <w:rPr>
          <w:szCs w:val="24"/>
        </w:rPr>
        <w:t>, to be treated as an eligible person within the meaning of that Act.</w:t>
      </w:r>
    </w:p>
    <w:p w:rsidR="00A869FA" w:rsidRPr="00E106BD" w:rsidRDefault="00295F4A" w:rsidP="004E4760">
      <w:pPr>
        <w:pStyle w:val="ActHead3"/>
        <w:keepNext w:val="0"/>
        <w:keepLines w:val="0"/>
        <w:pageBreakBefore/>
        <w:rPr>
          <w:color w:val="000000"/>
        </w:rPr>
      </w:pPr>
      <w:bookmarkStart w:id="30" w:name="_Toc53558959"/>
      <w:r w:rsidRPr="00E106BD">
        <w:rPr>
          <w:rStyle w:val="CharDivNo"/>
        </w:rPr>
        <w:t>Division</w:t>
      </w:r>
      <w:r w:rsidR="00E106BD">
        <w:rPr>
          <w:rStyle w:val="CharDivNo"/>
        </w:rPr>
        <w:t> </w:t>
      </w:r>
      <w:r w:rsidR="00A869FA" w:rsidRPr="00E106BD">
        <w:rPr>
          <w:rStyle w:val="CharDivNo"/>
        </w:rPr>
        <w:t>3</w:t>
      </w:r>
      <w:r w:rsidRPr="00E106BD">
        <w:rPr>
          <w:color w:val="000000"/>
        </w:rPr>
        <w:t>—</w:t>
      </w:r>
      <w:r w:rsidR="00A869FA" w:rsidRPr="00E106BD">
        <w:rPr>
          <w:rStyle w:val="CharDivText"/>
        </w:rPr>
        <w:t>Prescribing HSD pharmaceutical benefits that have non</w:t>
      </w:r>
      <w:r w:rsidR="00E106BD">
        <w:rPr>
          <w:rStyle w:val="CharDivText"/>
        </w:rPr>
        <w:noBreakHyphen/>
      </w:r>
      <w:r w:rsidR="00A869FA" w:rsidRPr="00E106BD">
        <w:rPr>
          <w:rStyle w:val="CharDivText"/>
        </w:rPr>
        <w:t>CAR drugs</w:t>
      </w:r>
      <w:bookmarkEnd w:id="30"/>
    </w:p>
    <w:p w:rsidR="00A869FA" w:rsidRPr="00E106BD" w:rsidRDefault="00A869FA" w:rsidP="004E4760">
      <w:pPr>
        <w:pStyle w:val="ActHead5"/>
        <w:keepNext w:val="0"/>
        <w:keepLines w:val="0"/>
      </w:pPr>
      <w:bookmarkStart w:id="31" w:name="_Toc53558960"/>
      <w:r w:rsidRPr="00E106BD">
        <w:rPr>
          <w:rStyle w:val="CharSectno"/>
        </w:rPr>
        <w:t>21</w:t>
      </w:r>
      <w:r w:rsidR="00295F4A" w:rsidRPr="00E106BD">
        <w:t xml:space="preserve">  </w:t>
      </w:r>
      <w:r w:rsidRPr="00E106BD">
        <w:t>Methods of prescribing HSD pharmaceutical benefits that have non</w:t>
      </w:r>
      <w:r w:rsidR="00E106BD">
        <w:noBreakHyphen/>
      </w:r>
      <w:r w:rsidRPr="00E106BD">
        <w:t>CAR drugs</w:t>
      </w:r>
      <w:bookmarkEnd w:id="31"/>
    </w:p>
    <w:p w:rsidR="00A869FA" w:rsidRPr="00E106BD" w:rsidRDefault="00A869FA" w:rsidP="004E4760">
      <w:pPr>
        <w:pStyle w:val="subsection"/>
      </w:pPr>
      <w:r w:rsidRPr="00E106BD">
        <w:rPr>
          <w:szCs w:val="24"/>
        </w:rPr>
        <w:tab/>
      </w:r>
      <w:r w:rsidRPr="00E106BD">
        <w:rPr>
          <w:szCs w:val="24"/>
        </w:rPr>
        <w:tab/>
        <w:t xml:space="preserve">An </w:t>
      </w:r>
      <w:r w:rsidR="00E477BB" w:rsidRPr="00E106BD">
        <w:rPr>
          <w:szCs w:val="24"/>
        </w:rPr>
        <w:t>authorised prescriber for an HSD pharmaceutical benefit that has a non</w:t>
      </w:r>
      <w:r w:rsidR="00E106BD">
        <w:noBreakHyphen/>
      </w:r>
      <w:r w:rsidR="00E477BB" w:rsidRPr="00E106BD">
        <w:rPr>
          <w:szCs w:val="24"/>
        </w:rPr>
        <w:t>CAR drug may prescribe the HSD pharmaceutical benefit</w:t>
      </w:r>
      <w:r w:rsidRPr="00E106BD">
        <w:rPr>
          <w:szCs w:val="24"/>
        </w:rPr>
        <w:t xml:space="preserve"> under this Special Arrangement by:</w:t>
      </w:r>
    </w:p>
    <w:p w:rsidR="00A869FA" w:rsidRPr="00E106BD" w:rsidRDefault="00A869FA" w:rsidP="004E4760">
      <w:pPr>
        <w:pStyle w:val="paragraph"/>
      </w:pPr>
      <w:r w:rsidRPr="00E106BD">
        <w:rPr>
          <w:szCs w:val="24"/>
        </w:rPr>
        <w:tab/>
        <w:t>(a)</w:t>
      </w:r>
      <w:r w:rsidRPr="00E106BD">
        <w:rPr>
          <w:szCs w:val="24"/>
        </w:rPr>
        <w:tab/>
        <w:t xml:space="preserve">writing a prescription for the HSD pharmaceutical benefit in accordance with </w:t>
      </w:r>
      <w:r w:rsidR="00376D5A" w:rsidRPr="00E106BD">
        <w:t>section</w:t>
      </w:r>
      <w:r w:rsidR="00E106BD">
        <w:t> </w:t>
      </w:r>
      <w:r w:rsidR="00376D5A" w:rsidRPr="00E106BD">
        <w:t>40</w:t>
      </w:r>
      <w:r w:rsidRPr="00E106BD">
        <w:rPr>
          <w:szCs w:val="24"/>
        </w:rPr>
        <w:t xml:space="preserve"> of the Regulations; or</w:t>
      </w:r>
    </w:p>
    <w:p w:rsidR="00736FDB" w:rsidRPr="00E106BD" w:rsidRDefault="00736FDB" w:rsidP="004E4760">
      <w:pPr>
        <w:pStyle w:val="paragraph"/>
        <w:rPr>
          <w:szCs w:val="24"/>
        </w:rPr>
      </w:pPr>
      <w:r w:rsidRPr="00E106BD">
        <w:rPr>
          <w:szCs w:val="24"/>
        </w:rPr>
        <w:tab/>
        <w:t>(b)</w:t>
      </w:r>
      <w:r w:rsidRPr="00E106BD">
        <w:rPr>
          <w:szCs w:val="24"/>
        </w:rPr>
        <w:tab/>
        <w:t xml:space="preserve">preparing a medication chart prescription for the HSD pharmaceutical benefit in accordance with </w:t>
      </w:r>
      <w:r w:rsidR="00376D5A" w:rsidRPr="00E106BD">
        <w:t>section</w:t>
      </w:r>
      <w:r w:rsidR="00E106BD">
        <w:t> </w:t>
      </w:r>
      <w:r w:rsidR="00376D5A" w:rsidRPr="00E106BD">
        <w:t>41</w:t>
      </w:r>
      <w:r w:rsidRPr="00E106BD">
        <w:rPr>
          <w:szCs w:val="24"/>
        </w:rPr>
        <w:t xml:space="preserve"> of the Regulations.</w:t>
      </w:r>
    </w:p>
    <w:p w:rsidR="00E477BB" w:rsidRPr="00E106BD" w:rsidRDefault="00E477BB" w:rsidP="00E477BB">
      <w:pPr>
        <w:pStyle w:val="notetext"/>
      </w:pPr>
      <w:r w:rsidRPr="00E106BD">
        <w:t>Note:</w:t>
      </w:r>
      <w:r w:rsidRPr="00E106BD">
        <w:tab/>
        <w:t xml:space="preserve">An </w:t>
      </w:r>
      <w:r w:rsidRPr="00E106BD">
        <w:rPr>
          <w:szCs w:val="24"/>
        </w:rPr>
        <w:t>authorised prescriber for an HSD pharmaceutical benefit</w:t>
      </w:r>
      <w:r w:rsidRPr="00E106BD">
        <w:t xml:space="preserve"> that has a non</w:t>
      </w:r>
      <w:r w:rsidR="00E106BD">
        <w:noBreakHyphen/>
      </w:r>
      <w:r w:rsidRPr="00E106BD">
        <w:t>CAR drug may prescribe more than the maximum quantity, or more than the maximum number of repeats, of the HSD pharmaceutical benefit only in accordance with section</w:t>
      </w:r>
      <w:r w:rsidR="00E106BD">
        <w:t> </w:t>
      </w:r>
      <w:r w:rsidRPr="00E106BD">
        <w:t>30 of the Regulations.</w:t>
      </w:r>
    </w:p>
    <w:p w:rsidR="00EF55DE" w:rsidRPr="00E106BD" w:rsidRDefault="00EF55DE" w:rsidP="004E4760">
      <w:pPr>
        <w:pStyle w:val="ActHead5"/>
        <w:keepNext w:val="0"/>
        <w:keepLines w:val="0"/>
      </w:pPr>
      <w:bookmarkStart w:id="32" w:name="_Toc53558961"/>
      <w:r w:rsidRPr="00E106BD">
        <w:rPr>
          <w:rStyle w:val="CharSectno"/>
        </w:rPr>
        <w:t>22A</w:t>
      </w:r>
      <w:r w:rsidRPr="00E106BD">
        <w:rPr>
          <w:rFonts w:eastAsiaTheme="minorHAnsi"/>
        </w:rPr>
        <w:t xml:space="preserve"> </w:t>
      </w:r>
      <w:r w:rsidRPr="00E106BD">
        <w:t xml:space="preserve"> </w:t>
      </w:r>
      <w:r w:rsidRPr="00E106BD">
        <w:rPr>
          <w:rFonts w:eastAsiaTheme="minorHAnsi"/>
        </w:rPr>
        <w:t>Information to be kept for prescription of HSD pharmaceutical benefits referred to in section</w:t>
      </w:r>
      <w:r w:rsidR="00E106BD">
        <w:rPr>
          <w:rFonts w:eastAsiaTheme="minorHAnsi"/>
        </w:rPr>
        <w:t> </w:t>
      </w:r>
      <w:r w:rsidRPr="00E106BD">
        <w:rPr>
          <w:rFonts w:eastAsiaTheme="minorHAnsi"/>
        </w:rPr>
        <w:t>9A that have non</w:t>
      </w:r>
      <w:r w:rsidR="00E106BD">
        <w:rPr>
          <w:rFonts w:eastAsiaTheme="minorHAnsi"/>
        </w:rPr>
        <w:noBreakHyphen/>
      </w:r>
      <w:r w:rsidRPr="00E106BD">
        <w:rPr>
          <w:rFonts w:eastAsiaTheme="minorHAnsi"/>
        </w:rPr>
        <w:t>CAR drugs</w:t>
      </w:r>
      <w:bookmarkEnd w:id="32"/>
    </w:p>
    <w:p w:rsidR="00EF55DE" w:rsidRPr="00E106BD" w:rsidRDefault="00EF55DE" w:rsidP="004E4760">
      <w:pPr>
        <w:pStyle w:val="subsection"/>
      </w:pPr>
      <w:r w:rsidRPr="00E106BD">
        <w:tab/>
        <w:t>(1)</w:t>
      </w:r>
      <w:r w:rsidRPr="00E106BD">
        <w:tab/>
        <w:t xml:space="preserve">If an </w:t>
      </w:r>
      <w:r w:rsidR="00E477BB" w:rsidRPr="00E106BD">
        <w:t>authorised prescriber for an HSD pharmaceutical benefit referred to in section</w:t>
      </w:r>
      <w:r w:rsidR="00E106BD">
        <w:t> </w:t>
      </w:r>
      <w:r w:rsidR="00E477BB" w:rsidRPr="00E106BD">
        <w:t>9A prescribes the HSD pharmaceutical benefit for supply under Part</w:t>
      </w:r>
      <w:r w:rsidR="00C33CB5" w:rsidRPr="00E106BD">
        <w:t> </w:t>
      </w:r>
      <w:r w:rsidR="00E477BB" w:rsidRPr="00E106BD">
        <w:t>VII of the Act, and the HSD pharmaceutical benefit</w:t>
      </w:r>
      <w:r w:rsidRPr="00E106BD">
        <w:t xml:space="preserve"> has a non</w:t>
      </w:r>
      <w:r w:rsidR="00E106BD">
        <w:noBreakHyphen/>
      </w:r>
      <w:r w:rsidRPr="00E106BD">
        <w:t>CAR drug, then either the:</w:t>
      </w:r>
    </w:p>
    <w:p w:rsidR="00EF55DE" w:rsidRPr="00E106BD" w:rsidRDefault="00EF55DE" w:rsidP="004E4760">
      <w:pPr>
        <w:pStyle w:val="paragraph"/>
      </w:pPr>
      <w:r w:rsidRPr="00E106BD">
        <w:tab/>
        <w:t>(a)</w:t>
      </w:r>
      <w:r w:rsidRPr="00E106BD">
        <w:tab/>
      </w:r>
      <w:r w:rsidR="00E477BB" w:rsidRPr="00E106BD">
        <w:t>authorised prescriber</w:t>
      </w:r>
      <w:r w:rsidRPr="00E106BD">
        <w:t xml:space="preserve">; or </w:t>
      </w:r>
    </w:p>
    <w:p w:rsidR="00EF55DE" w:rsidRPr="00E106BD" w:rsidRDefault="00EF55DE" w:rsidP="004E4760">
      <w:pPr>
        <w:pStyle w:val="paragraph"/>
      </w:pPr>
      <w:r w:rsidRPr="00E106BD">
        <w:tab/>
        <w:t>(b)</w:t>
      </w:r>
      <w:r w:rsidRPr="00E106BD">
        <w:tab/>
        <w:t xml:space="preserve">approved hospital authority treating the eligible patient; </w:t>
      </w:r>
    </w:p>
    <w:p w:rsidR="00EF55DE" w:rsidRPr="00E106BD" w:rsidRDefault="00EF55DE" w:rsidP="004E4760">
      <w:pPr>
        <w:pStyle w:val="subsection2"/>
      </w:pPr>
      <w:r w:rsidRPr="00E106BD">
        <w:t xml:space="preserve">must keep a copy of any clinical records relating to the prescription, including such records required to demonstrate that the prescription was written in compliance with any relevant </w:t>
      </w:r>
      <w:r w:rsidR="00133E98" w:rsidRPr="00E106BD">
        <w:t>circumstances and/or purposes.</w:t>
      </w:r>
    </w:p>
    <w:p w:rsidR="00EF55DE" w:rsidRPr="00E106BD" w:rsidRDefault="00EF55DE" w:rsidP="004E4760">
      <w:pPr>
        <w:pStyle w:val="subsection"/>
      </w:pPr>
      <w:r w:rsidRPr="00E106BD">
        <w:tab/>
        <w:t>(2)</w:t>
      </w:r>
      <w:r w:rsidRPr="00E106BD">
        <w:tab/>
        <w:t xml:space="preserve">These records must be kept for 2 years after the date the prescription to which the records relate is written. </w:t>
      </w:r>
    </w:p>
    <w:p w:rsidR="00A869FA" w:rsidRPr="00E106BD" w:rsidRDefault="00295F4A" w:rsidP="004E4760">
      <w:pPr>
        <w:pStyle w:val="ActHead3"/>
        <w:keepNext w:val="0"/>
        <w:keepLines w:val="0"/>
        <w:pageBreakBefore/>
      </w:pPr>
      <w:bookmarkStart w:id="33" w:name="_Toc53558962"/>
      <w:r w:rsidRPr="00E106BD">
        <w:rPr>
          <w:rStyle w:val="CharDivNo"/>
        </w:rPr>
        <w:t>Division</w:t>
      </w:r>
      <w:r w:rsidR="00E106BD">
        <w:rPr>
          <w:rStyle w:val="CharDivNo"/>
        </w:rPr>
        <w:t> </w:t>
      </w:r>
      <w:r w:rsidR="00A869FA" w:rsidRPr="00E106BD">
        <w:rPr>
          <w:rStyle w:val="CharDivNo"/>
        </w:rPr>
        <w:t>4</w:t>
      </w:r>
      <w:r w:rsidRPr="00E106BD">
        <w:rPr>
          <w:color w:val="000000"/>
        </w:rPr>
        <w:t>—</w:t>
      </w:r>
      <w:r w:rsidR="00A869FA" w:rsidRPr="00E106BD">
        <w:rPr>
          <w:rStyle w:val="CharDivText"/>
        </w:rPr>
        <w:t>Prescribing HSD pharmaceutical benefits that have CAR drugs</w:t>
      </w:r>
      <w:bookmarkEnd w:id="33"/>
    </w:p>
    <w:p w:rsidR="00A869FA" w:rsidRPr="00E106BD" w:rsidRDefault="00A869FA" w:rsidP="004E4760">
      <w:pPr>
        <w:pStyle w:val="ActHead5"/>
        <w:keepNext w:val="0"/>
        <w:keepLines w:val="0"/>
      </w:pPr>
      <w:bookmarkStart w:id="34" w:name="_Toc53558963"/>
      <w:r w:rsidRPr="00E106BD">
        <w:rPr>
          <w:rStyle w:val="CharSectno"/>
        </w:rPr>
        <w:t>23</w:t>
      </w:r>
      <w:r w:rsidR="00295F4A" w:rsidRPr="00E106BD">
        <w:t xml:space="preserve">  </w:t>
      </w:r>
      <w:r w:rsidRPr="00E106BD">
        <w:t>Prescriptions for HSD pharmaceutical benefits that have CAR drugs</w:t>
      </w:r>
      <w:bookmarkEnd w:id="34"/>
    </w:p>
    <w:p w:rsidR="00A869FA" w:rsidRPr="00E106BD" w:rsidRDefault="00A869FA" w:rsidP="004E4760">
      <w:pPr>
        <w:pStyle w:val="subsection"/>
      </w:pPr>
      <w:r w:rsidRPr="00E106BD">
        <w:rPr>
          <w:szCs w:val="24"/>
        </w:rPr>
        <w:tab/>
      </w:r>
      <w:r w:rsidRPr="00E106BD">
        <w:rPr>
          <w:szCs w:val="24"/>
        </w:rPr>
        <w:tab/>
        <w:t xml:space="preserve">An </w:t>
      </w:r>
      <w:r w:rsidR="00E477BB" w:rsidRPr="00E106BD">
        <w:rPr>
          <w:szCs w:val="24"/>
        </w:rPr>
        <w:t>authorised prescriber for an HSD pharmaceutical benefit that has a CAR drug may prescribe the HSD pharmaceutical benefit</w:t>
      </w:r>
      <w:r w:rsidRPr="00E106BD">
        <w:rPr>
          <w:szCs w:val="24"/>
        </w:rPr>
        <w:t xml:space="preserve"> by </w:t>
      </w:r>
      <w:r w:rsidR="00F6651B" w:rsidRPr="00E106BD">
        <w:t xml:space="preserve">writing a prescription for the HSD pharmaceutical benefit in accordance with </w:t>
      </w:r>
      <w:r w:rsidR="00376D5A" w:rsidRPr="00E106BD">
        <w:t>section</w:t>
      </w:r>
      <w:r w:rsidR="00E106BD">
        <w:t> </w:t>
      </w:r>
      <w:r w:rsidR="00376D5A" w:rsidRPr="00E106BD">
        <w:t>40</w:t>
      </w:r>
      <w:r w:rsidR="00F6651B" w:rsidRPr="00E106BD">
        <w:t xml:space="preserve"> of the Regulations.</w:t>
      </w:r>
    </w:p>
    <w:p w:rsidR="000E3226" w:rsidRPr="00E106BD" w:rsidRDefault="000E3226" w:rsidP="004E4760">
      <w:pPr>
        <w:pStyle w:val="ActHead5"/>
        <w:keepNext w:val="0"/>
        <w:keepLines w:val="0"/>
        <w:rPr>
          <w:b w:val="0"/>
        </w:rPr>
      </w:pPr>
      <w:bookmarkStart w:id="35" w:name="_Toc53558964"/>
      <w:r w:rsidRPr="00E106BD">
        <w:rPr>
          <w:rStyle w:val="CharSectno"/>
        </w:rPr>
        <w:t>23A</w:t>
      </w:r>
      <w:r w:rsidRPr="00E106BD">
        <w:t xml:space="preserve">  Information to be kept for prescription of HSD pharmaceutical benefits referred to in section</w:t>
      </w:r>
      <w:r w:rsidR="00E106BD">
        <w:t> </w:t>
      </w:r>
      <w:r w:rsidRPr="00E106BD">
        <w:t>9A that have CAR drugs</w:t>
      </w:r>
      <w:bookmarkEnd w:id="35"/>
    </w:p>
    <w:p w:rsidR="000E3226" w:rsidRPr="00E106BD" w:rsidRDefault="000E3226" w:rsidP="004E4760">
      <w:pPr>
        <w:pStyle w:val="subsection"/>
      </w:pPr>
      <w:r w:rsidRPr="00E106BD">
        <w:tab/>
        <w:t>(1)</w:t>
      </w:r>
      <w:r w:rsidRPr="00E106BD">
        <w:tab/>
        <w:t xml:space="preserve">If an </w:t>
      </w:r>
      <w:r w:rsidR="00E477BB" w:rsidRPr="00E106BD">
        <w:t>authorised prescriber for an HSD pharmaceutical benefit referred to in section</w:t>
      </w:r>
      <w:r w:rsidR="00E106BD">
        <w:t> </w:t>
      </w:r>
      <w:r w:rsidR="00E477BB" w:rsidRPr="00E106BD">
        <w:t>9A prescribes the HSD pharmaceutical benefit for supply under Part</w:t>
      </w:r>
      <w:r w:rsidR="00C33CB5" w:rsidRPr="00E106BD">
        <w:t> </w:t>
      </w:r>
      <w:r w:rsidR="00E477BB" w:rsidRPr="00E106BD">
        <w:t>VII of the Act, and the HSD pharmaceutical benefit</w:t>
      </w:r>
      <w:r w:rsidRPr="00E106BD">
        <w:t xml:space="preserve"> has a CAR drug, then either the:</w:t>
      </w:r>
    </w:p>
    <w:p w:rsidR="000E3226" w:rsidRPr="00E106BD" w:rsidRDefault="000E3226" w:rsidP="004E4760">
      <w:pPr>
        <w:pStyle w:val="paragraph"/>
      </w:pPr>
      <w:r w:rsidRPr="00E106BD">
        <w:tab/>
        <w:t>(a)</w:t>
      </w:r>
      <w:r w:rsidRPr="00E106BD">
        <w:tab/>
      </w:r>
      <w:r w:rsidR="00E477BB" w:rsidRPr="00E106BD">
        <w:t>authorised prescriber</w:t>
      </w:r>
      <w:r w:rsidRPr="00E106BD">
        <w:t xml:space="preserve">; or </w:t>
      </w:r>
    </w:p>
    <w:p w:rsidR="000E3226" w:rsidRPr="00E106BD" w:rsidRDefault="000E3226" w:rsidP="004E4760">
      <w:pPr>
        <w:pStyle w:val="paragraph"/>
      </w:pPr>
      <w:r w:rsidRPr="00E106BD">
        <w:tab/>
        <w:t>(b)</w:t>
      </w:r>
      <w:r w:rsidRPr="00E106BD">
        <w:tab/>
        <w:t xml:space="preserve">approved hospital authority treating the eligible patient; </w:t>
      </w:r>
    </w:p>
    <w:p w:rsidR="000E3226" w:rsidRPr="00E106BD" w:rsidRDefault="000E3226" w:rsidP="004E4760">
      <w:pPr>
        <w:pStyle w:val="subsection2"/>
      </w:pPr>
      <w:r w:rsidRPr="00E106BD">
        <w:t xml:space="preserve">must keep a copy of any clinical records relating to the prescription, including such records required to demonstrate that the prescription was written in compliance with any relevant </w:t>
      </w:r>
      <w:r w:rsidR="00133E98" w:rsidRPr="00E106BD">
        <w:t>circumstances and/or purposes.</w:t>
      </w:r>
    </w:p>
    <w:p w:rsidR="000E3226" w:rsidRPr="00E106BD" w:rsidRDefault="000E3226" w:rsidP="004E4760">
      <w:pPr>
        <w:pStyle w:val="subsection"/>
      </w:pPr>
      <w:r w:rsidRPr="00E106BD">
        <w:tab/>
        <w:t>(2)</w:t>
      </w:r>
      <w:r w:rsidRPr="00E106BD">
        <w:tab/>
        <w:t xml:space="preserve">These records must be kept for 2 years after the date the prescription to which the records relate is written. </w:t>
      </w:r>
    </w:p>
    <w:p w:rsidR="00D225E1" w:rsidRPr="00E106BD" w:rsidRDefault="00D225E1" w:rsidP="004E4760">
      <w:pPr>
        <w:pStyle w:val="ActHead5"/>
        <w:keepNext w:val="0"/>
        <w:keepLines w:val="0"/>
      </w:pPr>
      <w:bookmarkStart w:id="36" w:name="_Toc53558965"/>
      <w:r w:rsidRPr="00E106BD">
        <w:rPr>
          <w:rStyle w:val="CharSectno"/>
        </w:rPr>
        <w:t>24</w:t>
      </w:r>
      <w:r w:rsidRPr="00E106BD">
        <w:t xml:space="preserve">  HSD pharmaceutical benefits that have CAR drugs—quantity exceptions</w:t>
      </w:r>
      <w:bookmarkEnd w:id="36"/>
    </w:p>
    <w:p w:rsidR="00E477BB" w:rsidRPr="00E106BD" w:rsidRDefault="00E477BB" w:rsidP="00E477BB">
      <w:pPr>
        <w:pStyle w:val="subsection"/>
      </w:pPr>
      <w:r w:rsidRPr="00E106BD">
        <w:rPr>
          <w:szCs w:val="24"/>
        </w:rPr>
        <w:tab/>
        <w:t>(1)</w:t>
      </w:r>
      <w:r w:rsidRPr="00E106BD">
        <w:rPr>
          <w:szCs w:val="24"/>
        </w:rPr>
        <w:tab/>
        <w:t xml:space="preserve">An authorised prescriber for an HSD pharmaceutical benefit that has a CAR drug mentioned in </w:t>
      </w:r>
      <w:r w:rsidR="00E106BD">
        <w:rPr>
          <w:szCs w:val="24"/>
        </w:rPr>
        <w:t>subsection (</w:t>
      </w:r>
      <w:r w:rsidRPr="00E106BD">
        <w:rPr>
          <w:szCs w:val="24"/>
        </w:rPr>
        <w:t xml:space="preserve">2) may write a prescription for the HSD pharmaceutical benefit to be supplied to an eligible patient on any one occasion only in accordance with the limitation mentioned in </w:t>
      </w:r>
      <w:r w:rsidR="00E106BD">
        <w:rPr>
          <w:szCs w:val="24"/>
        </w:rPr>
        <w:t>subsection (</w:t>
      </w:r>
      <w:r w:rsidRPr="00E106BD">
        <w:rPr>
          <w:szCs w:val="24"/>
        </w:rPr>
        <w:t>2) for the drug.</w:t>
      </w:r>
    </w:p>
    <w:p w:rsidR="00D225E1" w:rsidRPr="00E106BD" w:rsidRDefault="00D225E1" w:rsidP="004E4760">
      <w:pPr>
        <w:pStyle w:val="subsection"/>
      </w:pPr>
      <w:r w:rsidRPr="00E106BD">
        <w:rPr>
          <w:szCs w:val="24"/>
        </w:rPr>
        <w:tab/>
        <w:t>(2)</w:t>
      </w:r>
      <w:r w:rsidRPr="00E106BD">
        <w:rPr>
          <w:szCs w:val="24"/>
        </w:rPr>
        <w:tab/>
        <w:t>The drugs and limitations are as follows:</w:t>
      </w:r>
    </w:p>
    <w:p w:rsidR="00D225E1" w:rsidRPr="00E106BD" w:rsidRDefault="00D225E1" w:rsidP="004E4760">
      <w:pPr>
        <w:pStyle w:val="paragraph"/>
      </w:pPr>
      <w:r w:rsidRPr="00E106BD">
        <w:rPr>
          <w:color w:val="000000"/>
          <w:szCs w:val="24"/>
        </w:rPr>
        <w:tab/>
        <w:t>(a)</w:t>
      </w:r>
      <w:r w:rsidRPr="00E106BD">
        <w:rPr>
          <w:color w:val="000000"/>
          <w:szCs w:val="24"/>
        </w:rPr>
        <w:tab/>
        <w:t>for HSD pharmaceutical benefits that have the drug ambrisentan, bosentan, epoprostenol, etanercept, iloprost, sildenafil or tadalafil—a quantity of units sufficient for up to 1 month of treatment with the drug;</w:t>
      </w:r>
    </w:p>
    <w:p w:rsidR="00D225E1" w:rsidRPr="00E106BD" w:rsidRDefault="00D225E1" w:rsidP="004E4760">
      <w:pPr>
        <w:pStyle w:val="paragraph"/>
      </w:pPr>
      <w:r w:rsidRPr="00E106BD">
        <w:tab/>
        <w:t>(b)</w:t>
      </w:r>
      <w:r w:rsidRPr="00E106BD">
        <w:tab/>
        <w:t>for HSD pharmaceutical benefits that have the drug infliximab, for the treatment of an adult with severe active rheumatoid arthritis—a quantity of units that are sufficient, based on the weight of the patient, to provide for a single dose of 3 milligrams per kilogram;</w:t>
      </w:r>
    </w:p>
    <w:p w:rsidR="00D225E1" w:rsidRPr="00E106BD" w:rsidRDefault="00D225E1" w:rsidP="004E4760">
      <w:pPr>
        <w:pStyle w:val="paragraph"/>
      </w:pPr>
      <w:r w:rsidRPr="00E106BD">
        <w:tab/>
        <w:t>(c)</w:t>
      </w:r>
      <w:r w:rsidRPr="00E106BD">
        <w:tab/>
        <w:t>for HSD pharmaceutical benefits that have the drug infliximab, for the treatment of an adult with active ankylosing spondylitis, severe active psoriatic arthritis or severe chronic plaque psoriasis—a quantity of units that are sufficient, based on the weight of the patient, to provide for a single dose of 5 milligrams per kilogram;</w:t>
      </w:r>
    </w:p>
    <w:p w:rsidR="00D225E1" w:rsidRPr="00E106BD" w:rsidRDefault="00D225E1" w:rsidP="004E4760">
      <w:pPr>
        <w:pStyle w:val="paragraph"/>
      </w:pPr>
      <w:r w:rsidRPr="00E106BD">
        <w:tab/>
        <w:t>(d)</w:t>
      </w:r>
      <w:r w:rsidRPr="00E106BD">
        <w:tab/>
        <w:t>for HSD pharmaceutical benefits that have the drug infliximab, for the treatment of a patient with refractory Crohn disease or fistulating Crohn disease—a quantity of units that are sufficient, based on the weight of the patient, to provide for a single dose of 5 milligrams per kilogram;</w:t>
      </w:r>
    </w:p>
    <w:p w:rsidR="009B1C70" w:rsidRPr="00E106BD" w:rsidRDefault="009B1C70" w:rsidP="004E4760">
      <w:pPr>
        <w:pStyle w:val="paragraph"/>
      </w:pPr>
      <w:r w:rsidRPr="00E106BD">
        <w:tab/>
        <w:t>(da)</w:t>
      </w:r>
      <w:r w:rsidRPr="00E106BD">
        <w:tab/>
        <w:t>for HSD pharmaceutical benefits that have the drug infliximab, for the treatment of a patient with moderate to severe ulcerative colitis—a quantity of units that are sufficient, based on the weight of the patient, to provide for a single dose of 5 milligrams per kilogram.</w:t>
      </w:r>
    </w:p>
    <w:p w:rsidR="003C4F09" w:rsidRPr="00E106BD" w:rsidRDefault="003C4F09" w:rsidP="004E4760">
      <w:pPr>
        <w:pStyle w:val="paragraph"/>
      </w:pPr>
      <w:r w:rsidRPr="00E106BD">
        <w:tab/>
        <w:t>(db)</w:t>
      </w:r>
      <w:r w:rsidRPr="00E106BD">
        <w:tab/>
        <w:t>for HSD pharmaceutical benefits that have the drug infliximab, for the treatment of an adult with severe Crohn disease—a quantity of units that are sufficient, based on the weight of the patient, to provide for a single dose of 5 milligrams per kilogram.</w:t>
      </w:r>
    </w:p>
    <w:p w:rsidR="00D225E1" w:rsidRPr="00E106BD" w:rsidRDefault="00D225E1" w:rsidP="004E4760">
      <w:pPr>
        <w:pStyle w:val="paragraph"/>
      </w:pPr>
      <w:r w:rsidRPr="00E106BD">
        <w:tab/>
        <w:t>(e)</w:t>
      </w:r>
      <w:r w:rsidRPr="00E106BD">
        <w:tab/>
        <w:t>for HSD pharmaceutical benefits that have the drug rituximab—a quantity of units sufficient to provide for a single dose;</w:t>
      </w:r>
    </w:p>
    <w:p w:rsidR="00D225E1" w:rsidRPr="00E106BD" w:rsidRDefault="00D225E1" w:rsidP="004E4760">
      <w:pPr>
        <w:pStyle w:val="paragraph"/>
      </w:pPr>
      <w:r w:rsidRPr="00E106BD">
        <w:tab/>
        <w:t>(f)</w:t>
      </w:r>
      <w:r w:rsidRPr="00E106BD">
        <w:tab/>
        <w:t>for HSD pharmaceutical benefits that have the drug abatacept—a quantity of units that are sufficient, based on the weight of the patient, to provide for a single dose;</w:t>
      </w:r>
    </w:p>
    <w:p w:rsidR="00D225E1" w:rsidRPr="00E106BD" w:rsidRDefault="00D225E1" w:rsidP="004E4760">
      <w:pPr>
        <w:pStyle w:val="paragraph"/>
      </w:pPr>
      <w:r w:rsidRPr="00E106BD">
        <w:tab/>
        <w:t>(g)</w:t>
      </w:r>
      <w:r w:rsidRPr="00E106BD">
        <w:tab/>
        <w:t>for HSD pharmaceutical benefits that have the drug tocilizumab, for the treatment of adult patients with severe active rheumatoid arthritis—a quantity of units that are sufficient, based on the weight of the patient and taking into account whether any other strength injections will contribute part of the dose, to provide for the whole or part of a single dose of 8 mg per kg;</w:t>
      </w:r>
    </w:p>
    <w:p w:rsidR="00D225E1" w:rsidRPr="00E106BD" w:rsidRDefault="00D225E1" w:rsidP="004E4760">
      <w:pPr>
        <w:pStyle w:val="paragraph"/>
      </w:pPr>
      <w:r w:rsidRPr="00E106BD">
        <w:tab/>
        <w:t>(h)</w:t>
      </w:r>
      <w:r w:rsidRPr="00E106BD">
        <w:tab/>
        <w:t>for HSD pharmaceutical benefits that have the drug adalimumab—a quantity of units that are sufficient, based on the weight of the patient, to provide for 2 doses;</w:t>
      </w:r>
    </w:p>
    <w:p w:rsidR="00D225E1" w:rsidRPr="00E106BD" w:rsidRDefault="00D225E1" w:rsidP="004E4760">
      <w:pPr>
        <w:pStyle w:val="paragraph"/>
      </w:pPr>
      <w:r w:rsidRPr="00E106BD">
        <w:tab/>
        <w:t>(i)</w:t>
      </w:r>
      <w:r w:rsidRPr="00E106BD">
        <w:tab/>
        <w:t>for HSD pharmaceutical benefits that have the drug lenalidomide, for the treatment of a patient with multiple myeloma:</w:t>
      </w:r>
    </w:p>
    <w:p w:rsidR="00D225E1" w:rsidRPr="00E106BD" w:rsidRDefault="00D225E1" w:rsidP="004E4760">
      <w:pPr>
        <w:pStyle w:val="paragraphsub"/>
      </w:pPr>
      <w:r w:rsidRPr="00E106BD">
        <w:tab/>
        <w:t>(i)</w:t>
      </w:r>
      <w:r w:rsidRPr="00E106BD">
        <w:tab/>
        <w:t>with the form Capsule 5 mg</w:t>
      </w:r>
      <w:r w:rsidR="00E65103" w:rsidRPr="00E106BD">
        <w:t>—</w:t>
      </w:r>
      <w:r w:rsidRPr="00E106BD">
        <w:t>up to 84 tablets;</w:t>
      </w:r>
    </w:p>
    <w:p w:rsidR="00D225E1" w:rsidRPr="00E106BD" w:rsidRDefault="00D225E1" w:rsidP="004E4760">
      <w:pPr>
        <w:pStyle w:val="paragraphsub"/>
      </w:pPr>
      <w:r w:rsidRPr="00E106BD">
        <w:tab/>
        <w:t>(ii)</w:t>
      </w:r>
      <w:r w:rsidRPr="00E106BD">
        <w:tab/>
        <w:t>with the form Capsule 10 mg</w:t>
      </w:r>
      <w:r w:rsidR="00E65103" w:rsidRPr="00E106BD">
        <w:t>—</w:t>
      </w:r>
      <w:r w:rsidRPr="00E106BD">
        <w:t>up to 42 tablets;</w:t>
      </w:r>
    </w:p>
    <w:p w:rsidR="00D225E1" w:rsidRPr="00E106BD" w:rsidRDefault="00D225E1" w:rsidP="004E4760">
      <w:pPr>
        <w:pStyle w:val="paragraphsub"/>
      </w:pPr>
      <w:r w:rsidRPr="00E106BD">
        <w:tab/>
        <w:t>(iii)</w:t>
      </w:r>
      <w:r w:rsidRPr="00E106BD">
        <w:tab/>
        <w:t>with the form Capsule 15 mg</w:t>
      </w:r>
      <w:r w:rsidR="00E65103" w:rsidRPr="00E106BD">
        <w:t>—</w:t>
      </w:r>
      <w:r w:rsidRPr="00E106BD">
        <w:t>up to 21 tablets;</w:t>
      </w:r>
    </w:p>
    <w:p w:rsidR="00D225E1" w:rsidRPr="00E106BD" w:rsidRDefault="00D225E1" w:rsidP="004E4760">
      <w:pPr>
        <w:pStyle w:val="paragraphsub"/>
      </w:pPr>
      <w:r w:rsidRPr="00E106BD">
        <w:tab/>
        <w:t>(iv)</w:t>
      </w:r>
      <w:r w:rsidRPr="00E106BD">
        <w:tab/>
        <w:t>with the form Capsule 25 mg</w:t>
      </w:r>
      <w:r w:rsidR="00E65103" w:rsidRPr="00E106BD">
        <w:t>—</w:t>
      </w:r>
      <w:r w:rsidRPr="00E106BD">
        <w:t>up to 21 tablets;</w:t>
      </w:r>
    </w:p>
    <w:p w:rsidR="00D225E1" w:rsidRPr="00E106BD" w:rsidRDefault="00D225E1" w:rsidP="004E4760">
      <w:pPr>
        <w:pStyle w:val="paragraph"/>
        <w:rPr>
          <w:szCs w:val="24"/>
        </w:rPr>
      </w:pPr>
      <w:r w:rsidRPr="00E106BD">
        <w:rPr>
          <w:szCs w:val="24"/>
        </w:rPr>
        <w:tab/>
        <w:t>(j)</w:t>
      </w:r>
      <w:r w:rsidRPr="00E106BD">
        <w:rPr>
          <w:szCs w:val="24"/>
        </w:rPr>
        <w:tab/>
        <w:t>for HSD pharmaceutical benefits that have the drug lenalidomide, for the treatment of a patient with myelodysplastic syndrome:</w:t>
      </w:r>
    </w:p>
    <w:p w:rsidR="00D225E1" w:rsidRPr="00E106BD" w:rsidRDefault="00D225E1" w:rsidP="004E4760">
      <w:pPr>
        <w:pStyle w:val="paragraphsub"/>
      </w:pPr>
      <w:r w:rsidRPr="00E106BD">
        <w:tab/>
        <w:t>(i)</w:t>
      </w:r>
      <w:r w:rsidRPr="00E106BD">
        <w:tab/>
        <w:t>with the form Capsule 5 mg</w:t>
      </w:r>
      <w:r w:rsidR="00E65103" w:rsidRPr="00E106BD">
        <w:t>—</w:t>
      </w:r>
      <w:r w:rsidRPr="00E106BD">
        <w:t xml:space="preserve">up to 21 tablets; </w:t>
      </w:r>
    </w:p>
    <w:p w:rsidR="00D225E1" w:rsidRPr="00E106BD" w:rsidRDefault="00D225E1" w:rsidP="004E4760">
      <w:pPr>
        <w:pStyle w:val="paragraphsub"/>
      </w:pPr>
      <w:r w:rsidRPr="00E106BD">
        <w:tab/>
        <w:t>(ii)</w:t>
      </w:r>
      <w:r w:rsidRPr="00E106BD">
        <w:tab/>
        <w:t>with the form Capsule 10 mg</w:t>
      </w:r>
      <w:r w:rsidR="0050526D" w:rsidRPr="00E106BD">
        <w:t>—</w:t>
      </w:r>
      <w:r w:rsidRPr="00E106BD">
        <w:t>up to 21 tablets;</w:t>
      </w:r>
    </w:p>
    <w:p w:rsidR="00D225E1" w:rsidRPr="00E106BD" w:rsidRDefault="00D225E1" w:rsidP="004E4760">
      <w:pPr>
        <w:pStyle w:val="paragraph"/>
      </w:pPr>
      <w:r w:rsidRPr="00E106BD">
        <w:rPr>
          <w:szCs w:val="24"/>
        </w:rPr>
        <w:tab/>
        <w:t>(k)</w:t>
      </w:r>
      <w:r w:rsidRPr="00E106BD">
        <w:rPr>
          <w:szCs w:val="24"/>
        </w:rPr>
        <w:tab/>
        <w:t xml:space="preserve">for HSD pharmaceutical benefits that have the drug azacitidine with the </w:t>
      </w:r>
      <w:r w:rsidRPr="00E106BD">
        <w:t>form</w:t>
      </w:r>
      <w:r w:rsidRPr="00E106BD">
        <w:rPr>
          <w:szCs w:val="24"/>
        </w:rPr>
        <w:t xml:space="preserve"> Powder for injection 100mg</w:t>
      </w:r>
      <w:r w:rsidR="0050526D" w:rsidRPr="00E106BD">
        <w:rPr>
          <w:szCs w:val="24"/>
        </w:rPr>
        <w:t>—</w:t>
      </w:r>
      <w:r w:rsidRPr="00E106BD">
        <w:rPr>
          <w:szCs w:val="24"/>
        </w:rPr>
        <w:t>up to 14 units.</w:t>
      </w:r>
    </w:p>
    <w:p w:rsidR="00D225E1" w:rsidRPr="00E106BD" w:rsidRDefault="00D225E1" w:rsidP="004E4760">
      <w:pPr>
        <w:pStyle w:val="paragraph"/>
        <w:rPr>
          <w:color w:val="000000"/>
        </w:rPr>
      </w:pPr>
      <w:r w:rsidRPr="00E106BD">
        <w:rPr>
          <w:color w:val="000000"/>
        </w:rPr>
        <w:tab/>
        <w:t>(l)</w:t>
      </w:r>
      <w:r w:rsidRPr="00E106BD">
        <w:rPr>
          <w:color w:val="000000"/>
        </w:rPr>
        <w:tab/>
        <w:t>for HSD pharmaceutical benefits that have the drug</w:t>
      </w:r>
      <w:r w:rsidRPr="00E106BD">
        <w:t xml:space="preserve"> </w:t>
      </w:r>
      <w:r w:rsidRPr="00E106BD">
        <w:rPr>
          <w:color w:val="000000"/>
        </w:rPr>
        <w:t xml:space="preserve">romiplostim, </w:t>
      </w:r>
      <w:r w:rsidRPr="00E106BD">
        <w:t>for initial treatment as the sole PBS</w:t>
      </w:r>
      <w:r w:rsidR="00E106BD">
        <w:noBreakHyphen/>
      </w:r>
      <w:r w:rsidRPr="00E106BD">
        <w:t>subsidised thrombopoetin receptor agonist (TRA)</w:t>
      </w:r>
      <w:r w:rsidRPr="00E106BD">
        <w:rPr>
          <w:color w:val="FF0000"/>
        </w:rPr>
        <w:t xml:space="preserve"> </w:t>
      </w:r>
      <w:r w:rsidRPr="00E106BD">
        <w:rPr>
          <w:color w:val="000000"/>
        </w:rPr>
        <w:t>of severe thrombocytopenia in an adult with severe chronic immune (idiopathic) thrombocytopenic purpura (ITP):</w:t>
      </w:r>
    </w:p>
    <w:p w:rsidR="00D225E1" w:rsidRPr="00E106BD" w:rsidRDefault="00D225E1" w:rsidP="004E4760">
      <w:pPr>
        <w:pStyle w:val="paragraphsub"/>
      </w:pPr>
      <w:r w:rsidRPr="00E106BD">
        <w:tab/>
        <w:t>(i)</w:t>
      </w:r>
      <w:r w:rsidRPr="00E106BD">
        <w:tab/>
        <w:t>at the time of the initial written authority application—a quantity of units that are sufficient, based on the weight of the patient, to provide for a single dose of 1 microgram per kilogram;</w:t>
      </w:r>
    </w:p>
    <w:p w:rsidR="00D225E1" w:rsidRPr="00E106BD" w:rsidRDefault="00D225E1" w:rsidP="004E4760">
      <w:pPr>
        <w:pStyle w:val="paragraphsub"/>
      </w:pPr>
      <w:r w:rsidRPr="00E106BD">
        <w:tab/>
        <w:t>(ii)</w:t>
      </w:r>
      <w:r w:rsidRPr="00E106BD">
        <w:tab/>
        <w:t>during the initial period of dose titration—a quantity of units sufficient to provide for a single dose;</w:t>
      </w:r>
    </w:p>
    <w:p w:rsidR="00D225E1" w:rsidRPr="00E106BD" w:rsidRDefault="00D225E1" w:rsidP="004E4760">
      <w:pPr>
        <w:pStyle w:val="paragraphsub"/>
      </w:pPr>
      <w:r w:rsidRPr="00E106BD">
        <w:tab/>
        <w:t>(iii)</w:t>
      </w:r>
      <w:r w:rsidRPr="00E106BD">
        <w:tab/>
        <w:t>for a patient whose dose has been stable for a period of 4 weeks—a quantity of units that are sufficient, based on the weight of the patient and the dose,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(m)</w:t>
      </w:r>
      <w:r w:rsidRPr="00E106BD">
        <w:rPr>
          <w:color w:val="000000"/>
        </w:rPr>
        <w:tab/>
        <w:t>for HSD pharmaceutical benefits that have the drug romiplostim, for initial PBS</w:t>
      </w:r>
      <w:r w:rsidR="00E106BD">
        <w:rPr>
          <w:color w:val="000000"/>
        </w:rPr>
        <w:noBreakHyphen/>
      </w:r>
      <w:r w:rsidRPr="00E106BD">
        <w:rPr>
          <w:color w:val="000000"/>
        </w:rPr>
        <w:t>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was receiving treatment with Romiplostim prior to 1</w:t>
      </w:r>
      <w:r w:rsidR="00E106BD">
        <w:rPr>
          <w:color w:val="000000"/>
        </w:rPr>
        <w:t> </w:t>
      </w:r>
      <w:r w:rsidRPr="00E106BD">
        <w:rPr>
          <w:color w:val="000000"/>
        </w:rPr>
        <w:t>April 2011 and in whom the criteria for initial treatment in the circumstances can be demonstrated to have been met at the time his or her treatment with Romiplostim was commenced:</w:t>
      </w:r>
    </w:p>
    <w:p w:rsidR="00D225E1" w:rsidRPr="00E106BD" w:rsidRDefault="00D225E1" w:rsidP="004E4760">
      <w:pPr>
        <w:pStyle w:val="paragraphsub"/>
      </w:pPr>
      <w:r w:rsidRPr="00E106BD">
        <w:tab/>
        <w:t>(i)</w:t>
      </w:r>
      <w:r w:rsidRPr="00E106BD">
        <w:tab/>
        <w:t>at the time of the initial written authority application—a quantity of units that are sufficient, based on the weight of the patient, to provide for a single dose of 1 microgram per kilogram;</w:t>
      </w:r>
    </w:p>
    <w:p w:rsidR="00D225E1" w:rsidRPr="00E106BD" w:rsidRDefault="00D225E1" w:rsidP="004E4760">
      <w:pPr>
        <w:pStyle w:val="paragraphsub"/>
      </w:pPr>
      <w:r w:rsidRPr="00E106BD">
        <w:tab/>
        <w:t>(ii)</w:t>
      </w:r>
      <w:r w:rsidRPr="00E106BD">
        <w:tab/>
        <w:t>during the initial period of dose titration—a quantity of units sufficient to provide for a single dose;</w:t>
      </w:r>
    </w:p>
    <w:p w:rsidR="00D225E1" w:rsidRPr="00E106BD" w:rsidRDefault="00D225E1" w:rsidP="004E4760">
      <w:pPr>
        <w:pStyle w:val="paragraphsub"/>
      </w:pPr>
      <w:r w:rsidRPr="00E106BD">
        <w:tab/>
        <w:t>(iii)</w:t>
      </w:r>
      <w:r w:rsidRPr="00E106BD">
        <w:tab/>
        <w:t>for a patient in the titration phase of treatment whose dose has been stable for a period of 4 weeks—a quantity of units that are sufficient, based on the weight of the patient and the dose, for up to 4 weeks of treatment, as long as the total period of treatment that has been authorised does not exceed 24 weeks;</w:t>
      </w:r>
    </w:p>
    <w:p w:rsidR="00D225E1" w:rsidRPr="00E106BD" w:rsidRDefault="00D225E1" w:rsidP="004E4760">
      <w:pPr>
        <w:pStyle w:val="paragraphsub"/>
      </w:pPr>
      <w:r w:rsidRPr="00E106BD">
        <w:tab/>
        <w:t>(iv)</w:t>
      </w:r>
      <w:r w:rsidRPr="00E106BD">
        <w:tab/>
        <w:t>for a patient whose dose had been stable for a period of at least 4 weeks at the time of the initial application for PBS</w:t>
      </w:r>
      <w:r w:rsidR="00E106BD">
        <w:noBreakHyphen/>
      </w:r>
      <w:r w:rsidRPr="00E106BD">
        <w:t>subsidy—a quantity of units that are sufficient, based on the weight of the patient and the dose, for up to 4 weeks of treatment.</w:t>
      </w:r>
    </w:p>
    <w:p w:rsidR="00D225E1" w:rsidRPr="00E106BD" w:rsidRDefault="00D225E1" w:rsidP="004E4760">
      <w:pPr>
        <w:pStyle w:val="paragraph"/>
        <w:rPr>
          <w:color w:val="000000"/>
        </w:rPr>
      </w:pPr>
      <w:r w:rsidRPr="00E106BD">
        <w:rPr>
          <w:color w:val="000000"/>
        </w:rPr>
        <w:tab/>
        <w:t>(n)</w:t>
      </w:r>
      <w:r w:rsidRPr="00E106BD">
        <w:rPr>
          <w:color w:val="000000"/>
        </w:rPr>
        <w:tab/>
        <w:t>for HSD pharmaceutical benefits that have the drug romiplostim, for the first period of continuing treatment or re</w:t>
      </w:r>
      <w:r w:rsidR="00E106BD">
        <w:rPr>
          <w:color w:val="000000"/>
        </w:rPr>
        <w:noBreakHyphen/>
      </w:r>
      <w:r w:rsidRPr="00E106BD">
        <w:rPr>
          <w:color w:val="000000"/>
        </w:rPr>
        <w:t>initiation of interrupted PBS 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has displayed a sustained platelet response to treatment with Romiplostim during the initial period of PBS</w:t>
      </w:r>
      <w:r w:rsidR="00E106BD">
        <w:rPr>
          <w:color w:val="000000"/>
        </w:rPr>
        <w:noBreakHyphen/>
      </w:r>
      <w:r w:rsidRPr="00E106BD">
        <w:rPr>
          <w:color w:val="000000"/>
        </w:rPr>
        <w:t>subsidised treatment—a quantity of units that are sufficient, based on the weight of the patient and the dose, for up to 4 weeks treatment.</w:t>
      </w:r>
    </w:p>
    <w:p w:rsidR="00D225E1" w:rsidRPr="00E106BD" w:rsidRDefault="00D225E1" w:rsidP="004E4760">
      <w:pPr>
        <w:pStyle w:val="paragraph"/>
        <w:rPr>
          <w:color w:val="000000"/>
        </w:rPr>
      </w:pPr>
      <w:r w:rsidRPr="00E106BD">
        <w:rPr>
          <w:color w:val="000000"/>
        </w:rPr>
        <w:tab/>
        <w:t>(o)</w:t>
      </w:r>
      <w:r w:rsidRPr="00E106BD">
        <w:rPr>
          <w:color w:val="000000"/>
        </w:rPr>
        <w:tab/>
        <w:t>for HSD pharmaceutical benefits that have the drug romiplostim, for the second and subsequent periods of continuing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continues to display a sustained platelet response to treatment with Romiplostim—a quantity of units that are sufficient, based on the weight of the patient and the dose, for up to 4 weeks of treatment.</w:t>
      </w:r>
    </w:p>
    <w:p w:rsidR="00D225E1" w:rsidRPr="00E106BD" w:rsidRDefault="00D225E1" w:rsidP="004E4760">
      <w:pPr>
        <w:pStyle w:val="paragraph"/>
        <w:rPr>
          <w:color w:val="000000"/>
        </w:rPr>
      </w:pPr>
      <w:r w:rsidRPr="00E106BD">
        <w:rPr>
          <w:color w:val="000000"/>
        </w:rPr>
        <w:tab/>
        <w:t>(p)</w:t>
      </w:r>
      <w:r w:rsidRPr="00E106BD">
        <w:rPr>
          <w:color w:val="000000"/>
        </w:rPr>
        <w:tab/>
        <w:t>for HSD pharmaceutical benefits that have the drug omalizumab, for initial treatment of uncontrolled severe allergic asthma—a quantity of units that are sufficient to provide for 28 weeks treatment;</w:t>
      </w:r>
    </w:p>
    <w:p w:rsidR="00D225E1" w:rsidRPr="00E106BD" w:rsidRDefault="00D225E1" w:rsidP="004E4760">
      <w:pPr>
        <w:pStyle w:val="paragraph"/>
        <w:rPr>
          <w:color w:val="000000"/>
        </w:rPr>
      </w:pPr>
      <w:r w:rsidRPr="00E106BD">
        <w:rPr>
          <w:color w:val="000000"/>
        </w:rPr>
        <w:tab/>
        <w:t>(r)</w:t>
      </w:r>
      <w:r w:rsidRPr="00E106BD">
        <w:rPr>
          <w:color w:val="000000"/>
        </w:rPr>
        <w:tab/>
        <w:t>for HSD pharmaceutical benefits that have the drug omalizumab, for continuing treatment—a quantity of units that are sufficient to provide for 24 weeks treatment.</w:t>
      </w:r>
    </w:p>
    <w:p w:rsidR="001B3B1D" w:rsidRPr="00E106BD" w:rsidRDefault="001B3B1D" w:rsidP="001B3B1D">
      <w:pPr>
        <w:pStyle w:val="paragraph"/>
      </w:pPr>
      <w:r w:rsidRPr="00E106BD">
        <w:tab/>
        <w:t>(ra)</w:t>
      </w:r>
      <w:r w:rsidRPr="00E106BD">
        <w:tab/>
        <w:t>for HSD pharmaceutical benefits that have the drug omalizumab, for the treatment of severe chronic spontaneous urticaria:</w:t>
      </w:r>
    </w:p>
    <w:p w:rsidR="001B3B1D" w:rsidRPr="00E106BD" w:rsidRDefault="001B3B1D" w:rsidP="001B3B1D">
      <w:pPr>
        <w:pStyle w:val="paragraphsub"/>
      </w:pPr>
      <w:r w:rsidRPr="00E106BD">
        <w:tab/>
        <w:t>(i)</w:t>
      </w:r>
      <w:r w:rsidRPr="00E106BD">
        <w:tab/>
        <w:t>for initial treatment—a quantity of units that are sufficient to provide for 12 weeks treatment;</w:t>
      </w:r>
    </w:p>
    <w:p w:rsidR="001B3B1D" w:rsidRPr="00E106BD" w:rsidRDefault="001B3B1D" w:rsidP="001B3B1D">
      <w:pPr>
        <w:pStyle w:val="paragraphsub"/>
      </w:pPr>
      <w:r w:rsidRPr="00E106BD">
        <w:tab/>
        <w:t>(ii)</w:t>
      </w:r>
      <w:r w:rsidRPr="00E106BD">
        <w:tab/>
        <w:t>for initial PBS</w:t>
      </w:r>
      <w:r w:rsidR="00E106BD">
        <w:noBreakHyphen/>
      </w:r>
      <w:r w:rsidRPr="00E106BD">
        <w:t>subsidised treatment in a patient who has previously received non</w:t>
      </w:r>
      <w:r w:rsidR="00E106BD">
        <w:noBreakHyphen/>
      </w:r>
      <w:r w:rsidRPr="00E106BD">
        <w:t>PBS</w:t>
      </w:r>
      <w:r w:rsidR="00E106BD">
        <w:noBreakHyphen/>
      </w:r>
      <w:r w:rsidRPr="00E106BD">
        <w:t>subsidised therapy with omalizumab (grandfathered patients)—a quantity of units that are sufficient to provide for 24 weeks treatment;</w:t>
      </w:r>
    </w:p>
    <w:p w:rsidR="001B3B1D" w:rsidRPr="00E106BD" w:rsidRDefault="001B3B1D" w:rsidP="00F91AB2">
      <w:pPr>
        <w:pStyle w:val="paragraphsub"/>
      </w:pPr>
      <w:r w:rsidRPr="00E106BD">
        <w:tab/>
        <w:t>(iii)</w:t>
      </w:r>
      <w:r w:rsidRPr="00E106BD">
        <w:tab/>
        <w:t>for continuing treatment—a quantity of units that are sufficient to provide for 24 weeks treatment.</w:t>
      </w:r>
    </w:p>
    <w:p w:rsidR="00D225E1" w:rsidRPr="00E106BD" w:rsidRDefault="00D225E1" w:rsidP="004E4760">
      <w:pPr>
        <w:pStyle w:val="paragraph"/>
        <w:rPr>
          <w:color w:val="000000"/>
        </w:rPr>
      </w:pPr>
      <w:r w:rsidRPr="00E106BD">
        <w:rPr>
          <w:color w:val="000000"/>
        </w:rPr>
        <w:tab/>
        <w:t>(s)</w:t>
      </w:r>
      <w:r w:rsidRPr="00E106BD">
        <w:rPr>
          <w:color w:val="000000"/>
        </w:rPr>
        <w:tab/>
        <w:t>for HSD pharmaceutical benefits that have the drug eltrombopag, for initial PBS</w:t>
      </w:r>
      <w:r w:rsidR="00E106BD">
        <w:rPr>
          <w:color w:val="000000"/>
        </w:rPr>
        <w:noBreakHyphen/>
      </w:r>
      <w:r w:rsidRPr="00E106BD">
        <w:rPr>
          <w:color w:val="000000"/>
        </w:rPr>
        <w:t>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w:t>
      </w:r>
    </w:p>
    <w:p w:rsidR="00D225E1" w:rsidRPr="00E106BD" w:rsidRDefault="00D225E1" w:rsidP="004E4760">
      <w:pPr>
        <w:pStyle w:val="paragraphsub"/>
      </w:pPr>
      <w:r w:rsidRPr="00E106BD">
        <w:tab/>
        <w:t>(i)</w:t>
      </w:r>
      <w:r w:rsidRPr="00E106BD">
        <w:tab/>
        <w:t>with the form Tablet 25 mg (as olamine)</w:t>
      </w:r>
      <w:r w:rsidR="00E65103" w:rsidRPr="00E106BD">
        <w:t>—</w:t>
      </w:r>
      <w:r w:rsidRPr="00E106BD">
        <w:t>up to 28 tablets;</w:t>
      </w:r>
    </w:p>
    <w:p w:rsidR="00D225E1" w:rsidRPr="00E106BD" w:rsidRDefault="00D225E1" w:rsidP="004E4760">
      <w:pPr>
        <w:pStyle w:val="paragraphsub"/>
      </w:pPr>
      <w:r w:rsidRPr="00E106BD">
        <w:tab/>
        <w:t>(ii)</w:t>
      </w:r>
      <w:r w:rsidRPr="00E106BD">
        <w:tab/>
        <w:t>with the form Tablet 50 mg (as olamine)</w:t>
      </w:r>
      <w:r w:rsidR="00E65103" w:rsidRPr="00E106BD">
        <w:t>—</w:t>
      </w:r>
      <w:r w:rsidRPr="00E106BD">
        <w:t>up to 28 tablets;</w:t>
      </w:r>
    </w:p>
    <w:p w:rsidR="00D225E1" w:rsidRPr="00E106BD" w:rsidRDefault="00AD3159" w:rsidP="004E4760">
      <w:pPr>
        <w:pStyle w:val="paragraph"/>
      </w:pPr>
      <w:r w:rsidRPr="00E106BD">
        <w:tab/>
      </w:r>
      <w:r w:rsidRPr="00E106BD">
        <w:tab/>
      </w:r>
      <w:r w:rsidR="00E65103" w:rsidRPr="00E106BD">
        <w:t>—</w:t>
      </w:r>
      <w:r w:rsidR="00D225E1" w:rsidRPr="00E106BD">
        <w:t>a quantity of units that are sufficient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(t)</w:t>
      </w:r>
      <w:r w:rsidRPr="00E106BD">
        <w:rPr>
          <w:color w:val="000000"/>
        </w:rPr>
        <w:tab/>
        <w:t>for HSD pharmaceutical benefits that have the drug eltrombopag, for initial PBS</w:t>
      </w:r>
      <w:r w:rsidR="00E106BD">
        <w:rPr>
          <w:color w:val="000000"/>
        </w:rPr>
        <w:noBreakHyphen/>
      </w:r>
      <w:r w:rsidRPr="00E106BD">
        <w:rPr>
          <w:color w:val="000000"/>
        </w:rPr>
        <w:t>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was receiving treatment with Eltrombopag prior to 1</w:t>
      </w:r>
      <w:r w:rsidR="00E106BD">
        <w:rPr>
          <w:color w:val="000000"/>
        </w:rPr>
        <w:t> </w:t>
      </w:r>
      <w:r w:rsidRPr="00E106BD">
        <w:rPr>
          <w:color w:val="000000"/>
        </w:rPr>
        <w:t>November 2011 and in whom the criteria for initial treatment in the circumstances can be demonstrated to have been met at the time his or her treatment with Eltrombopag was commenced):</w:t>
      </w:r>
    </w:p>
    <w:p w:rsidR="00D225E1" w:rsidRPr="00E106BD" w:rsidRDefault="00D225E1" w:rsidP="004E4760">
      <w:pPr>
        <w:pStyle w:val="paragraphsub"/>
      </w:pPr>
      <w:r w:rsidRPr="00E106BD">
        <w:tab/>
        <w:t>(i)</w:t>
      </w:r>
      <w:r w:rsidRPr="00E106BD">
        <w:tab/>
        <w:t>with the form Tablet 25 mg (as olamine)</w:t>
      </w:r>
      <w:r w:rsidR="00E65103" w:rsidRPr="00E106BD">
        <w:t>—</w:t>
      </w:r>
      <w:r w:rsidRPr="00E106BD">
        <w:t>up to 28 tablets;</w:t>
      </w:r>
    </w:p>
    <w:p w:rsidR="00D225E1" w:rsidRPr="00E106BD" w:rsidRDefault="00D225E1" w:rsidP="004E4760">
      <w:pPr>
        <w:pStyle w:val="paragraphsub"/>
      </w:pPr>
      <w:r w:rsidRPr="00E106BD">
        <w:tab/>
        <w:t>(ii)</w:t>
      </w:r>
      <w:r w:rsidRPr="00E106BD">
        <w:tab/>
        <w:t>with the form Tablet 50 mg (as olamine)</w:t>
      </w:r>
      <w:r w:rsidR="00E65103" w:rsidRPr="00E106BD">
        <w:t>—</w:t>
      </w:r>
      <w:r w:rsidRPr="00E106BD">
        <w:t>up to 28 tablets;</w:t>
      </w:r>
    </w:p>
    <w:p w:rsidR="00D225E1" w:rsidRPr="00E106BD" w:rsidRDefault="00AD3159" w:rsidP="004E4760">
      <w:pPr>
        <w:pStyle w:val="paragraph"/>
      </w:pPr>
      <w:r w:rsidRPr="00E106BD">
        <w:tab/>
      </w:r>
      <w:r w:rsidRPr="00E106BD">
        <w:tab/>
      </w:r>
      <w:r w:rsidR="00E65103" w:rsidRPr="00E106BD">
        <w:t>—</w:t>
      </w:r>
      <w:r w:rsidR="00D225E1" w:rsidRPr="00E106BD">
        <w:t>a quantity of units that are sufficient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(u)</w:t>
      </w:r>
      <w:r w:rsidRPr="00E106BD">
        <w:rPr>
          <w:color w:val="000000"/>
        </w:rPr>
        <w:tab/>
        <w:t>for HSD pharmaceutical benefits that have the drug eltrombopag, for the first period of continuing treatment or re</w:t>
      </w:r>
      <w:r w:rsidR="00E106BD">
        <w:rPr>
          <w:color w:val="000000"/>
        </w:rPr>
        <w:noBreakHyphen/>
      </w:r>
      <w:r w:rsidRPr="00E106BD">
        <w:rPr>
          <w:color w:val="000000"/>
        </w:rPr>
        <w:t>initiation of interrupted PBS 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has displayed a sustained platelet response to treatment with Eltrombopag during the initial period of PBS</w:t>
      </w:r>
      <w:r w:rsidR="00E106BD">
        <w:rPr>
          <w:color w:val="000000"/>
        </w:rPr>
        <w:noBreakHyphen/>
      </w:r>
      <w:r w:rsidRPr="00E106BD">
        <w:rPr>
          <w:color w:val="000000"/>
        </w:rPr>
        <w:t>subsidised treatment:</w:t>
      </w:r>
    </w:p>
    <w:p w:rsidR="00D225E1" w:rsidRPr="00E106BD" w:rsidRDefault="00D225E1" w:rsidP="004E4760">
      <w:pPr>
        <w:pStyle w:val="paragraphsub"/>
      </w:pPr>
      <w:r w:rsidRPr="00E106BD">
        <w:tab/>
        <w:t>(i)</w:t>
      </w:r>
      <w:r w:rsidRPr="00E106BD">
        <w:tab/>
        <w:t>with the form Tablet 25 mg (as olamine)</w:t>
      </w:r>
      <w:r w:rsidR="0050526D" w:rsidRPr="00E106BD">
        <w:t>—</w:t>
      </w:r>
      <w:r w:rsidRPr="00E106BD">
        <w:t>up to 28 tablets;</w:t>
      </w:r>
    </w:p>
    <w:p w:rsidR="00D225E1" w:rsidRPr="00E106BD" w:rsidRDefault="00D225E1" w:rsidP="004E4760">
      <w:pPr>
        <w:pStyle w:val="paragraphsub"/>
      </w:pPr>
      <w:r w:rsidRPr="00E106BD">
        <w:tab/>
        <w:t>(ii)</w:t>
      </w:r>
      <w:r w:rsidRPr="00E106BD">
        <w:tab/>
        <w:t>with the form Tablet 50 mg (as olamine)</w:t>
      </w:r>
      <w:r w:rsidR="00E65103" w:rsidRPr="00E106BD">
        <w:t>—</w:t>
      </w:r>
      <w:r w:rsidRPr="00E106BD">
        <w:t>up to 28 tablets;</w:t>
      </w:r>
    </w:p>
    <w:p w:rsidR="00D225E1" w:rsidRPr="00E106BD" w:rsidRDefault="00AD3159" w:rsidP="004E4760">
      <w:pPr>
        <w:pStyle w:val="paragraph"/>
      </w:pPr>
      <w:r w:rsidRPr="00E106BD">
        <w:tab/>
      </w:r>
      <w:r w:rsidRPr="00E106BD">
        <w:tab/>
      </w:r>
      <w:r w:rsidR="00E65103" w:rsidRPr="00E106BD">
        <w:t>—</w:t>
      </w:r>
      <w:r w:rsidR="00D225E1" w:rsidRPr="00E106BD">
        <w:t>a quantity of units that are sufficient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(v)</w:t>
      </w:r>
      <w:r w:rsidRPr="00E106BD">
        <w:rPr>
          <w:color w:val="000000"/>
        </w:rPr>
        <w:tab/>
        <w:t>for HSD pharmaceutical benefits that have the drug eltrombopag, for the second and subsequent periods of continuing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continues to display a sustained platelet response to treatment with Eltrombopag:</w:t>
      </w:r>
    </w:p>
    <w:p w:rsidR="00D225E1" w:rsidRPr="00E106BD" w:rsidRDefault="00D225E1" w:rsidP="004E4760">
      <w:pPr>
        <w:pStyle w:val="paragraphsub"/>
      </w:pPr>
      <w:r w:rsidRPr="00E106BD">
        <w:tab/>
        <w:t>(i)</w:t>
      </w:r>
      <w:r w:rsidRPr="00E106BD">
        <w:tab/>
        <w:t>with the form Tablet 25 mg (as olamine)</w:t>
      </w:r>
      <w:r w:rsidR="00E65103" w:rsidRPr="00E106BD">
        <w:t>—</w:t>
      </w:r>
      <w:r w:rsidRPr="00E106BD">
        <w:t>up to 28 tablets;</w:t>
      </w:r>
    </w:p>
    <w:p w:rsidR="00D225E1" w:rsidRPr="00E106BD" w:rsidRDefault="00D225E1" w:rsidP="004E4760">
      <w:pPr>
        <w:pStyle w:val="paragraphsub"/>
      </w:pPr>
      <w:r w:rsidRPr="00E106BD">
        <w:tab/>
        <w:t>(ii)</w:t>
      </w:r>
      <w:r w:rsidRPr="00E106BD">
        <w:tab/>
        <w:t>with the form Tablet 50 mg (as olamine)</w:t>
      </w:r>
      <w:r w:rsidR="00E65103" w:rsidRPr="00E106BD">
        <w:t>—</w:t>
      </w:r>
      <w:r w:rsidRPr="00E106BD">
        <w:t>up to 28 tablets;</w:t>
      </w:r>
    </w:p>
    <w:p w:rsidR="00D225E1" w:rsidRPr="00E106BD" w:rsidRDefault="00AD3159" w:rsidP="004E4760">
      <w:pPr>
        <w:pStyle w:val="paragraph"/>
      </w:pPr>
      <w:r w:rsidRPr="00E106BD">
        <w:tab/>
      </w:r>
      <w:r w:rsidRPr="00E106BD">
        <w:tab/>
      </w:r>
      <w:r w:rsidR="00E65103" w:rsidRPr="00E106BD">
        <w:t>—</w:t>
      </w:r>
      <w:r w:rsidR="00D225E1" w:rsidRPr="00E106BD">
        <w:t>a quantity of units that are sufficient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(w)</w:t>
      </w:r>
      <w:r w:rsidRPr="00E106BD">
        <w:rPr>
          <w:color w:val="000000"/>
        </w:rPr>
        <w:tab/>
        <w:t>for HSD pharmaceutical benefits that have the drug tocilizumab, for the treatment of patients with severe active systemic juvenile idiopathic arthritis—a quantity of units sufficient for up to 1 month of treatment with the drug.</w:t>
      </w:r>
    </w:p>
    <w:p w:rsidR="00D6405D" w:rsidRPr="00E106BD" w:rsidRDefault="00D6405D" w:rsidP="00D6405D">
      <w:pPr>
        <w:pStyle w:val="paragraph"/>
        <w:rPr>
          <w:color w:val="000000"/>
        </w:rPr>
      </w:pPr>
      <w:r w:rsidRPr="00E106BD">
        <w:rPr>
          <w:color w:val="000000"/>
        </w:rPr>
        <w:tab/>
        <w:t>(x)</w:t>
      </w:r>
      <w:r w:rsidRPr="00E106BD">
        <w:rPr>
          <w:color w:val="000000"/>
        </w:rPr>
        <w:tab/>
      </w:r>
      <w:r w:rsidRPr="00E106BD">
        <w:rPr>
          <w:szCs w:val="22"/>
        </w:rPr>
        <w:t>for HSD pharmaceutical benefits that have the drug riociguat, for the treatment of Chronic thromboembolic pulmonary hypertension (CTEPH):</w:t>
      </w:r>
    </w:p>
    <w:p w:rsidR="00A05559" w:rsidRPr="00E106BD" w:rsidRDefault="00A05559" w:rsidP="00A05559">
      <w:pPr>
        <w:pStyle w:val="paragraphsub"/>
        <w:rPr>
          <w:szCs w:val="22"/>
        </w:rPr>
      </w:pPr>
      <w:r w:rsidRPr="00E106BD">
        <w:tab/>
        <w:t>(ii)</w:t>
      </w:r>
      <w:r w:rsidRPr="00E106BD">
        <w:tab/>
      </w:r>
      <w:r w:rsidRPr="00E106BD">
        <w:rPr>
          <w:szCs w:val="22"/>
        </w:rPr>
        <w:t>for Initial treatment</w:t>
      </w:r>
      <w:r w:rsidRPr="00E106BD">
        <w:t>—</w:t>
      </w:r>
      <w:r w:rsidRPr="00E106BD">
        <w:rPr>
          <w:szCs w:val="22"/>
        </w:rPr>
        <w:t>prescriptions for dose titration must provide sufficient quantity for dose titrations by 0.5 mg increments at 2</w:t>
      </w:r>
      <w:r w:rsidR="00E106BD">
        <w:rPr>
          <w:szCs w:val="22"/>
        </w:rPr>
        <w:noBreakHyphen/>
      </w:r>
      <w:r w:rsidRPr="00E106BD">
        <w:rPr>
          <w:szCs w:val="22"/>
        </w:rPr>
        <w:t>week intervals to achieve up to a maximum of 2.5 mg three times daily.  Approvals for subsequent authority prescriptions will be limited to 1 month of treatment.</w:t>
      </w:r>
    </w:p>
    <w:p w:rsidR="00A05559" w:rsidRPr="00E106BD" w:rsidRDefault="00A05559" w:rsidP="00A05559">
      <w:pPr>
        <w:pStyle w:val="paragraphsub"/>
        <w:rPr>
          <w:szCs w:val="22"/>
        </w:rPr>
      </w:pPr>
      <w:r w:rsidRPr="00E106BD">
        <w:tab/>
        <w:t>(iii)</w:t>
      </w:r>
      <w:r w:rsidRPr="00E106BD">
        <w:tab/>
      </w:r>
      <w:r w:rsidRPr="00E106BD">
        <w:rPr>
          <w:szCs w:val="22"/>
        </w:rPr>
        <w:t>for Continuing treatment</w:t>
      </w:r>
      <w:r w:rsidRPr="00E106BD">
        <w:t>—</w:t>
      </w:r>
      <w:r w:rsidRPr="00E106BD">
        <w:rPr>
          <w:szCs w:val="22"/>
        </w:rPr>
        <w:t>the maximum quantity per prescription will be limited to provide sufficient supply for 1 month of treatment.</w:t>
      </w:r>
    </w:p>
    <w:p w:rsidR="00A05559" w:rsidRPr="00E106BD" w:rsidRDefault="00A05559" w:rsidP="00A05559">
      <w:pPr>
        <w:pStyle w:val="paragraph"/>
        <w:rPr>
          <w:color w:val="000000"/>
        </w:rPr>
      </w:pPr>
      <w:r w:rsidRPr="00E106BD">
        <w:rPr>
          <w:color w:val="000000"/>
        </w:rPr>
        <w:tab/>
        <w:t>(y)</w:t>
      </w:r>
      <w:r w:rsidRPr="00E106BD">
        <w:rPr>
          <w:color w:val="000000"/>
        </w:rPr>
        <w:tab/>
      </w:r>
      <w:r w:rsidRPr="00E106BD">
        <w:rPr>
          <w:szCs w:val="22"/>
        </w:rPr>
        <w:t>for HSD pharmaceutical benefits that have the drug riociguat, for balance of supply for patient who has received insufficient therapy with this agent:</w:t>
      </w:r>
    </w:p>
    <w:p w:rsidR="00A05559" w:rsidRPr="00E106BD" w:rsidRDefault="00A05559" w:rsidP="00A05559">
      <w:pPr>
        <w:pStyle w:val="paragraphsub"/>
        <w:rPr>
          <w:szCs w:val="22"/>
        </w:rPr>
      </w:pPr>
      <w:r w:rsidRPr="00E106BD">
        <w:tab/>
        <w:t>(ii)</w:t>
      </w:r>
      <w:r w:rsidRPr="00E106BD">
        <w:tab/>
      </w:r>
      <w:r w:rsidRPr="00E106BD">
        <w:rPr>
          <w:szCs w:val="22"/>
        </w:rPr>
        <w:t>for Initial treatment</w:t>
      </w:r>
      <w:r w:rsidRPr="00E106BD">
        <w:t>—</w:t>
      </w:r>
      <w:r w:rsidRPr="00E106BD">
        <w:rPr>
          <w:szCs w:val="22"/>
        </w:rPr>
        <w:t>maximum of 20 weeks of treatment.</w:t>
      </w:r>
    </w:p>
    <w:p w:rsidR="00A05559" w:rsidRPr="00E106BD" w:rsidRDefault="00A05559" w:rsidP="00A05559">
      <w:pPr>
        <w:pStyle w:val="paragraphsub"/>
        <w:rPr>
          <w:szCs w:val="22"/>
        </w:rPr>
      </w:pPr>
      <w:r w:rsidRPr="00E106BD">
        <w:tab/>
        <w:t>(iii)</w:t>
      </w:r>
      <w:r w:rsidRPr="00E106BD">
        <w:tab/>
      </w:r>
      <w:r w:rsidRPr="00E106BD">
        <w:rPr>
          <w:szCs w:val="22"/>
        </w:rPr>
        <w:t>for Continuing treatment</w:t>
      </w:r>
      <w:r w:rsidRPr="00E106BD">
        <w:t>—</w:t>
      </w:r>
      <w:r w:rsidRPr="00E106BD">
        <w:rPr>
          <w:szCs w:val="22"/>
        </w:rPr>
        <w:t>maximum of 24 weeks of treatment—the treatment must provide no more than the balance up to 20 or 24 weeks of treatment available under the above respective restriction.</w:t>
      </w:r>
    </w:p>
    <w:p w:rsidR="00787919" w:rsidRPr="00E106BD" w:rsidRDefault="00787919" w:rsidP="00364E8E">
      <w:pPr>
        <w:pStyle w:val="paragraph"/>
        <w:tabs>
          <w:tab w:val="left" w:pos="1276"/>
        </w:tabs>
        <w:rPr>
          <w:color w:val="000000"/>
        </w:rPr>
      </w:pPr>
      <w:r w:rsidRPr="00E106BD">
        <w:rPr>
          <w:color w:val="000000"/>
        </w:rPr>
        <w:tab/>
        <w:t>(z)</w:t>
      </w:r>
      <w:r w:rsidR="00635826" w:rsidRPr="00E106BD">
        <w:rPr>
          <w:color w:val="000000"/>
        </w:rPr>
        <w:tab/>
      </w:r>
      <w:r w:rsidRPr="00E106BD">
        <w:rPr>
          <w:color w:val="000000"/>
        </w:rPr>
        <w:t>for HSD pharmaceutical benefits that have the drug riociguat, for the treatment of Pulmonary arterial hypertension (PAH):</w:t>
      </w:r>
    </w:p>
    <w:p w:rsidR="00787919" w:rsidRPr="00E106BD" w:rsidRDefault="00787919" w:rsidP="00364E8E">
      <w:pPr>
        <w:pStyle w:val="paragraphsub"/>
      </w:pPr>
      <w:r w:rsidRPr="00E106BD">
        <w:tab/>
        <w:t>(i)</w:t>
      </w:r>
      <w:r w:rsidRPr="00E106BD">
        <w:tab/>
        <w:t>for Initial 1(new patients), Initial 2 (new patients) and Initial 3 (change or re</w:t>
      </w:r>
      <w:r w:rsidR="00E106BD">
        <w:noBreakHyphen/>
      </w:r>
      <w:r w:rsidRPr="00E106BD">
        <w:t>commencement of therapy for all patients) – prescriptions for dose titration will provide sufficient quantity for dose titrations by 0.5 mg increments at 2</w:t>
      </w:r>
      <w:r w:rsidR="00E106BD">
        <w:noBreakHyphen/>
      </w:r>
      <w:r w:rsidRPr="00E106BD">
        <w:t xml:space="preserve">week intervals to achieve up to a maximum of 2.5 mg three times daily. Approvals for subsequent authority prescriptions will be limited to 1 month of treatment. </w:t>
      </w:r>
    </w:p>
    <w:p w:rsidR="00787919" w:rsidRPr="00E106BD" w:rsidRDefault="00787919" w:rsidP="00364E8E">
      <w:pPr>
        <w:pStyle w:val="paragraphsub"/>
      </w:pPr>
      <w:r w:rsidRPr="00E106BD">
        <w:tab/>
        <w:t>(ii)</w:t>
      </w:r>
      <w:r w:rsidRPr="00E106BD">
        <w:tab/>
        <w:t xml:space="preserve">for First Continuing treatment and Subsequent Continuing treatment – the maximum quantity authorised will be limited to provide sufficient supply for 1 month of treatment. </w:t>
      </w:r>
    </w:p>
    <w:p w:rsidR="00787919" w:rsidRPr="00E106BD" w:rsidRDefault="00787919" w:rsidP="00364E8E">
      <w:pPr>
        <w:pStyle w:val="paragraphsub"/>
      </w:pPr>
      <w:r w:rsidRPr="00E106BD">
        <w:tab/>
        <w:t>(iii)</w:t>
      </w:r>
      <w:r w:rsidRPr="00E106BD">
        <w:tab/>
        <w:t>for Initial 1 (new patients) or Initial 2 (new patients) or Initial 3 (change or re</w:t>
      </w:r>
      <w:r w:rsidR="00E106BD">
        <w:noBreakHyphen/>
      </w:r>
      <w:r w:rsidRPr="00E106BD">
        <w:t>commencement of therapy for all patients) or First Continuing treatment – Balance of supply – the treatment must provide no more than the balance of up to six months treatment.</w:t>
      </w:r>
    </w:p>
    <w:p w:rsidR="001B3B1D" w:rsidRPr="00E106BD" w:rsidRDefault="001B3B1D" w:rsidP="00F91AB2">
      <w:pPr>
        <w:pStyle w:val="paragraph"/>
        <w:rPr>
          <w:color w:val="000000"/>
        </w:rPr>
      </w:pPr>
      <w:r w:rsidRPr="00E106BD">
        <w:rPr>
          <w:color w:val="000000"/>
        </w:rPr>
        <w:tab/>
        <w:t>(za)</w:t>
      </w:r>
      <w:r w:rsidRPr="00E106BD">
        <w:rPr>
          <w:color w:val="000000"/>
        </w:rPr>
        <w:tab/>
      </w:r>
      <w:r w:rsidRPr="00E106BD">
        <w:t xml:space="preserve">for HSD pharmaceutical benefits that have the drug pasireotide, for the </w:t>
      </w:r>
      <w:r w:rsidRPr="00E106BD">
        <w:rPr>
          <w:color w:val="000000"/>
        </w:rPr>
        <w:t>treatment</w:t>
      </w:r>
      <w:r w:rsidRPr="00E106BD">
        <w:t xml:space="preserve"> of acromegaly:</w:t>
      </w:r>
    </w:p>
    <w:p w:rsidR="001B3B1D" w:rsidRPr="00E106BD" w:rsidRDefault="001B3B1D" w:rsidP="001B3B1D">
      <w:pPr>
        <w:pStyle w:val="paragraphsub"/>
      </w:pPr>
      <w:r w:rsidRPr="00E106BD">
        <w:tab/>
        <w:t>(i)</w:t>
      </w:r>
      <w:r w:rsidRPr="00E106BD">
        <w:tab/>
        <w:t>with the form Injection (modified release) 20 mg (as embonate), vial and diluent syringe—up to 2 vials and diluent syringes;</w:t>
      </w:r>
    </w:p>
    <w:p w:rsidR="001B3B1D" w:rsidRPr="00E106BD" w:rsidRDefault="001B3B1D" w:rsidP="001B3B1D">
      <w:pPr>
        <w:pStyle w:val="paragraphsub"/>
      </w:pPr>
      <w:r w:rsidRPr="00E106BD">
        <w:tab/>
        <w:t>(ii)</w:t>
      </w:r>
      <w:r w:rsidRPr="00E106BD">
        <w:tab/>
        <w:t>with the form Injection (modified release) 40 mg (as embonate), vial and diluent syringe—up to 2 vials and diluent syringes;</w:t>
      </w:r>
    </w:p>
    <w:p w:rsidR="001B3B1D" w:rsidRPr="00E106BD" w:rsidRDefault="001B3B1D" w:rsidP="00364E8E">
      <w:pPr>
        <w:pStyle w:val="paragraphsub"/>
      </w:pPr>
      <w:r w:rsidRPr="00E106BD">
        <w:tab/>
        <w:t>(iii)</w:t>
      </w:r>
      <w:r w:rsidRPr="00E106BD">
        <w:tab/>
        <w:t>with the form Injection (modified release) 60 mg (as embonate), vial and diluent syringe—up to 2 vials and diluent syringes.</w:t>
      </w:r>
    </w:p>
    <w:p w:rsidR="001B3B1D" w:rsidRPr="00E106BD" w:rsidRDefault="001B3B1D" w:rsidP="00F91AB2">
      <w:pPr>
        <w:pStyle w:val="paragraph"/>
        <w:rPr>
          <w:color w:val="000000"/>
        </w:rPr>
      </w:pPr>
      <w:r w:rsidRPr="00E106BD">
        <w:rPr>
          <w:color w:val="000000"/>
        </w:rPr>
        <w:tab/>
        <w:t>(zb)</w:t>
      </w:r>
      <w:r w:rsidRPr="00E106BD">
        <w:rPr>
          <w:color w:val="000000"/>
        </w:rPr>
        <w:tab/>
      </w:r>
      <w:r w:rsidRPr="00E106BD">
        <w:t>for HSD pharmaceutical benefits that have the drug pegvisomant, for the treatment of acromegaly:</w:t>
      </w:r>
    </w:p>
    <w:p w:rsidR="001B3B1D" w:rsidRPr="00E106BD" w:rsidRDefault="001B3B1D" w:rsidP="001B3B1D">
      <w:pPr>
        <w:pStyle w:val="paragraphsub"/>
      </w:pPr>
      <w:r w:rsidRPr="00E106BD">
        <w:tab/>
        <w:t>(i)</w:t>
      </w:r>
      <w:r w:rsidRPr="00E106BD">
        <w:tab/>
        <w:t>for initial treatment, for the 80 mg loading dose—4 x injection set containing powder for injection 20 mg, 1 and diluent, 1;</w:t>
      </w:r>
    </w:p>
    <w:p w:rsidR="001B3B1D" w:rsidRPr="00E106BD" w:rsidRDefault="001B3B1D" w:rsidP="001B3B1D">
      <w:pPr>
        <w:pStyle w:val="paragraphsub"/>
      </w:pPr>
      <w:r w:rsidRPr="00E106BD">
        <w:tab/>
        <w:t>(ii)</w:t>
      </w:r>
      <w:r w:rsidRPr="00E106BD">
        <w:tab/>
        <w:t>for initial treatment (subsequent doses)—1 x injection set containing powder for injection 10 mg, 15 mg or 20 mg, 30 and diluent, 30;</w:t>
      </w:r>
    </w:p>
    <w:p w:rsidR="001B3B1D" w:rsidRPr="00E106BD" w:rsidRDefault="001B3B1D" w:rsidP="001B3B1D">
      <w:pPr>
        <w:pStyle w:val="paragraphsub"/>
      </w:pPr>
      <w:r w:rsidRPr="00E106BD">
        <w:tab/>
        <w:t>(iii)</w:t>
      </w:r>
      <w:r w:rsidRPr="00E106BD">
        <w:tab/>
        <w:t>for initial PBS</w:t>
      </w:r>
      <w:r w:rsidR="00E106BD">
        <w:noBreakHyphen/>
      </w:r>
      <w:r w:rsidRPr="00E106BD">
        <w:t>subsidised treatment in a patient who has previously received non</w:t>
      </w:r>
      <w:r w:rsidR="00E106BD">
        <w:noBreakHyphen/>
      </w:r>
      <w:r w:rsidRPr="00E106BD">
        <w:t>PBS</w:t>
      </w:r>
      <w:r w:rsidR="00E106BD">
        <w:noBreakHyphen/>
      </w:r>
      <w:r w:rsidRPr="00E106BD">
        <w:t>subsidised therapy with pegvisomant—1 x injection set containing powder for injection 10 mg, 15 mg or 20 mg, 30 and diluent, 30;</w:t>
      </w:r>
    </w:p>
    <w:p w:rsidR="001B3B1D" w:rsidRPr="00E106BD" w:rsidRDefault="001B3B1D" w:rsidP="001B3B1D">
      <w:pPr>
        <w:pStyle w:val="paragraphsub"/>
      </w:pPr>
      <w:r w:rsidRPr="00E106BD">
        <w:tab/>
        <w:t>(iv)</w:t>
      </w:r>
      <w:r w:rsidRPr="00E106BD">
        <w:tab/>
        <w:t>for continuing treatment—1 x injection set containing powder for injection 10 mg, 15 mg or 20 mg, 30 and diluent, 30.</w:t>
      </w:r>
    </w:p>
    <w:p w:rsidR="00B4164A" w:rsidRPr="00E106BD" w:rsidRDefault="00B4164A" w:rsidP="009D2568">
      <w:pPr>
        <w:pStyle w:val="paragraph"/>
        <w:rPr>
          <w:color w:val="000000"/>
        </w:rPr>
      </w:pPr>
      <w:r w:rsidRPr="00E106BD">
        <w:rPr>
          <w:color w:val="000000"/>
        </w:rPr>
        <w:tab/>
        <w:t>(zc)</w:t>
      </w:r>
      <w:r w:rsidRPr="00E106BD">
        <w:rPr>
          <w:color w:val="000000"/>
        </w:rPr>
        <w:tab/>
        <w:t>for HSD pharmaceutical benefits that have the drug ustekinumab, for the treatment of severe Crohn disease:</w:t>
      </w:r>
    </w:p>
    <w:p w:rsidR="00B4164A" w:rsidRPr="00E106BD" w:rsidRDefault="00BD7124" w:rsidP="009D2568">
      <w:pPr>
        <w:pStyle w:val="paragraphsub"/>
      </w:pPr>
      <w:r w:rsidRPr="00E106BD">
        <w:rPr>
          <w:color w:val="000000"/>
        </w:rPr>
        <w:tab/>
      </w:r>
      <w:r w:rsidR="00B4164A" w:rsidRPr="00E106BD">
        <w:rPr>
          <w:color w:val="000000"/>
        </w:rPr>
        <w:t>(</w:t>
      </w:r>
      <w:r w:rsidR="00B4164A" w:rsidRPr="00E106BD">
        <w:t>i)</w:t>
      </w:r>
      <w:r w:rsidR="00B4164A" w:rsidRPr="00E106BD">
        <w:tab/>
        <w:t>for initial treatment, for a weight</w:t>
      </w:r>
      <w:r w:rsidR="00E106BD">
        <w:noBreakHyphen/>
      </w:r>
      <w:r w:rsidR="00B4164A" w:rsidRPr="00E106BD">
        <w:t>based loading dose—up to 4 vials of Solution for I.V. infusion 130 mg in 26 mL;</w:t>
      </w:r>
    </w:p>
    <w:p w:rsidR="003C4F09" w:rsidRPr="00E106BD" w:rsidRDefault="00BD7124" w:rsidP="003C4F09">
      <w:pPr>
        <w:pStyle w:val="paragraphsub"/>
        <w:rPr>
          <w:color w:val="000000"/>
        </w:rPr>
      </w:pPr>
      <w:r w:rsidRPr="00E106BD">
        <w:tab/>
      </w:r>
      <w:r w:rsidR="00B4164A" w:rsidRPr="00E106BD">
        <w:t>(ii)</w:t>
      </w:r>
      <w:r w:rsidR="00B4164A" w:rsidRPr="00E106BD">
        <w:tab/>
        <w:t>for a change or re</w:t>
      </w:r>
      <w:r w:rsidR="00E106BD">
        <w:noBreakHyphen/>
      </w:r>
      <w:r w:rsidR="00B4164A" w:rsidRPr="00E106BD">
        <w:t>commencement of treatment, for a weight</w:t>
      </w:r>
      <w:r w:rsidR="00E106BD">
        <w:noBreakHyphen/>
      </w:r>
      <w:r w:rsidR="00B4164A" w:rsidRPr="00E106BD">
        <w:t>based loadin</w:t>
      </w:r>
      <w:r w:rsidR="00B4164A" w:rsidRPr="00E106BD">
        <w:rPr>
          <w:color w:val="000000"/>
        </w:rPr>
        <w:t>g dose—up to 4 vials of Solution for I.V. infusion 130 mg in 26 mL.</w:t>
      </w:r>
    </w:p>
    <w:p w:rsidR="003C4F09" w:rsidRPr="00E106BD" w:rsidRDefault="003C4F09" w:rsidP="00267E76">
      <w:pPr>
        <w:pStyle w:val="paragraph"/>
        <w:rPr>
          <w:color w:val="000000"/>
        </w:rPr>
      </w:pPr>
      <w:r w:rsidRPr="00E106BD">
        <w:rPr>
          <w:color w:val="000000"/>
        </w:rPr>
        <w:tab/>
        <w:t>(zd)</w:t>
      </w:r>
      <w:r w:rsidRPr="00E106BD">
        <w:rPr>
          <w:color w:val="000000"/>
        </w:rPr>
        <w:tab/>
      </w:r>
      <w:r w:rsidRPr="00E106BD">
        <w:t>for</w:t>
      </w:r>
      <w:r w:rsidRPr="00E106BD">
        <w:rPr>
          <w:color w:val="000000"/>
        </w:rPr>
        <w:t xml:space="preserve"> HSD pharmaceutical benefits that have the drug vedolizumab, for the treatment of moderate to severe ulcerative colitis—the appropriate number of vials to provide for a single infusion of 300 mg per dose.</w:t>
      </w:r>
    </w:p>
    <w:p w:rsidR="003C4F09" w:rsidRPr="00E106BD" w:rsidRDefault="003C4F09" w:rsidP="00267E76">
      <w:pPr>
        <w:pStyle w:val="paragraph"/>
        <w:rPr>
          <w:color w:val="000000"/>
        </w:rPr>
      </w:pPr>
      <w:r w:rsidRPr="00E106BD">
        <w:rPr>
          <w:color w:val="000000"/>
        </w:rPr>
        <w:tab/>
        <w:t>(ze)</w:t>
      </w:r>
      <w:r w:rsidRPr="00E106BD">
        <w:rPr>
          <w:color w:val="000000"/>
        </w:rPr>
        <w:tab/>
        <w:t>for HSD pharmaceutical benefits that have the drug vedolizumab, for the treatment of severe Crohn disease— the appropriate number of vials to provide for a single infusion of 300 mg.</w:t>
      </w:r>
    </w:p>
    <w:p w:rsidR="005A2C40" w:rsidRPr="00E106BD" w:rsidRDefault="005A2C40" w:rsidP="00267E76">
      <w:pPr>
        <w:pStyle w:val="paragraph"/>
        <w:rPr>
          <w:color w:val="000000"/>
        </w:rPr>
      </w:pPr>
      <w:r w:rsidRPr="00E106BD">
        <w:rPr>
          <w:color w:val="000000"/>
        </w:rPr>
        <w:tab/>
        <w:t>(zf)</w:t>
      </w:r>
      <w:r w:rsidRPr="00E106BD">
        <w:rPr>
          <w:color w:val="000000"/>
        </w:rPr>
        <w:tab/>
        <w:t>for HSD pharmaceutical benefits that have the drug nusinersen, for PBS</w:t>
      </w:r>
      <w:r w:rsidR="00E106BD">
        <w:rPr>
          <w:color w:val="000000"/>
        </w:rPr>
        <w:noBreakHyphen/>
      </w:r>
      <w:r w:rsidRPr="00E106BD">
        <w:rPr>
          <w:color w:val="000000"/>
        </w:rPr>
        <w:t>subsidised treatment of spinal muscular atrophy:</w:t>
      </w:r>
    </w:p>
    <w:p w:rsidR="005A2C40" w:rsidRPr="00E106BD" w:rsidRDefault="005A2C40" w:rsidP="005A2C40">
      <w:pPr>
        <w:pStyle w:val="paragraphsub"/>
      </w:pPr>
      <w:r w:rsidRPr="00E106BD">
        <w:rPr>
          <w:color w:val="000000"/>
        </w:rPr>
        <w:tab/>
        <w:t>(</w:t>
      </w:r>
      <w:r w:rsidRPr="00E106BD">
        <w:t>i)</w:t>
      </w:r>
      <w:r w:rsidRPr="00E106BD">
        <w:tab/>
        <w:t>for initial treatment with loading doses at days 0, 14, 28 and 63—up to 2 x solution for injection 12 mg in 5 mL for days 0 and 14; up to 1 x solution for injection 12 mg in 5 mL for day 28 or 63.</w:t>
      </w:r>
    </w:p>
    <w:p w:rsidR="005A2C40" w:rsidRPr="00E106BD" w:rsidRDefault="005A2C40" w:rsidP="00616656">
      <w:pPr>
        <w:pStyle w:val="paragraphsub"/>
        <w:rPr>
          <w:color w:val="000000"/>
        </w:rPr>
      </w:pPr>
      <w:r w:rsidRPr="00E106BD">
        <w:tab/>
        <w:t>(ii)</w:t>
      </w:r>
      <w:r w:rsidRPr="00E106BD">
        <w:tab/>
        <w:t>for continuing treatment—0 repeat supplies</w:t>
      </w:r>
    </w:p>
    <w:p w:rsidR="00F85D99" w:rsidRPr="00E106BD" w:rsidRDefault="00F85D99" w:rsidP="00E57151">
      <w:pPr>
        <w:pStyle w:val="ActHead5"/>
      </w:pPr>
      <w:bookmarkStart w:id="37" w:name="_Toc53558966"/>
      <w:r w:rsidRPr="00E106BD">
        <w:rPr>
          <w:rStyle w:val="CharSectno"/>
        </w:rPr>
        <w:t>25</w:t>
      </w:r>
      <w:r w:rsidRPr="00E106BD">
        <w:t xml:space="preserve">  HSD pharmaceutical benefits that have CAR drugs—repeat exceptions</w:t>
      </w:r>
      <w:bookmarkEnd w:id="37"/>
    </w:p>
    <w:p w:rsidR="00F85D99" w:rsidRPr="00E106BD" w:rsidRDefault="002F779E" w:rsidP="00E57151">
      <w:pPr>
        <w:pStyle w:val="subsection"/>
        <w:keepNext/>
        <w:keepLines/>
        <w:rPr>
          <w:szCs w:val="24"/>
        </w:rPr>
      </w:pPr>
      <w:r w:rsidRPr="00E106BD">
        <w:rPr>
          <w:szCs w:val="24"/>
        </w:rPr>
        <w:tab/>
      </w:r>
      <w:r w:rsidR="00F85D99" w:rsidRPr="00E106BD">
        <w:rPr>
          <w:szCs w:val="24"/>
        </w:rPr>
        <w:t>(1)</w:t>
      </w:r>
      <w:r w:rsidR="00F85D99" w:rsidRPr="00E106BD">
        <w:rPr>
          <w:szCs w:val="24"/>
        </w:rPr>
        <w:tab/>
        <w:t xml:space="preserve">An </w:t>
      </w:r>
      <w:r w:rsidR="00E477BB" w:rsidRPr="00E106BD">
        <w:rPr>
          <w:szCs w:val="24"/>
        </w:rPr>
        <w:t xml:space="preserve">authorised prescriber for an HSD pharmaceutical benefit that has a CAR drug mentioned in </w:t>
      </w:r>
      <w:r w:rsidR="00E106BD">
        <w:rPr>
          <w:szCs w:val="24"/>
        </w:rPr>
        <w:t>subsection (</w:t>
      </w:r>
      <w:r w:rsidR="00E477BB" w:rsidRPr="00E106BD">
        <w:rPr>
          <w:szCs w:val="24"/>
        </w:rPr>
        <w:t>2) may authorise the repeat supply of the HSD pharmaceutical benefit</w:t>
      </w:r>
      <w:r w:rsidR="00F85D99" w:rsidRPr="00E106BD">
        <w:rPr>
          <w:szCs w:val="24"/>
        </w:rPr>
        <w:t xml:space="preserve"> only in accordance with the limitations mentioned in </w:t>
      </w:r>
      <w:r w:rsidR="00E106BD">
        <w:rPr>
          <w:szCs w:val="24"/>
        </w:rPr>
        <w:t>subsection (</w:t>
      </w:r>
      <w:r w:rsidR="00F85D99" w:rsidRPr="00E106BD">
        <w:rPr>
          <w:szCs w:val="24"/>
        </w:rPr>
        <w:t>2) for the drug.</w:t>
      </w:r>
    </w:p>
    <w:p w:rsidR="00F85D99" w:rsidRPr="00E106BD" w:rsidRDefault="002F779E" w:rsidP="00E57151">
      <w:pPr>
        <w:pStyle w:val="subsection"/>
        <w:keepNext/>
        <w:keepLines/>
        <w:rPr>
          <w:szCs w:val="24"/>
        </w:rPr>
      </w:pPr>
      <w:r w:rsidRPr="00E106BD">
        <w:rPr>
          <w:szCs w:val="24"/>
        </w:rPr>
        <w:tab/>
      </w:r>
      <w:r w:rsidR="00F85D99" w:rsidRPr="00E106BD">
        <w:rPr>
          <w:szCs w:val="24"/>
        </w:rPr>
        <w:t>(2)</w:t>
      </w:r>
      <w:r w:rsidR="00F85D99" w:rsidRPr="00E106BD">
        <w:rPr>
          <w:szCs w:val="24"/>
        </w:rPr>
        <w:tab/>
        <w:t>The drugs and limitations are as follows:</w:t>
      </w:r>
    </w:p>
    <w:p w:rsidR="00F85D99" w:rsidRPr="00E106BD" w:rsidRDefault="002F779E" w:rsidP="00E57151">
      <w:pPr>
        <w:pStyle w:val="paragraph"/>
        <w:keepNext/>
        <w:keepLines/>
      </w:pPr>
      <w:r w:rsidRPr="00E106BD">
        <w:rPr>
          <w:szCs w:val="24"/>
        </w:rPr>
        <w:tab/>
      </w:r>
      <w:r w:rsidR="00F85D99" w:rsidRPr="00E106BD">
        <w:rPr>
          <w:szCs w:val="24"/>
        </w:rPr>
        <w:t>(a)</w:t>
      </w:r>
      <w:r w:rsidR="00F85D99" w:rsidRPr="00E106BD">
        <w:rPr>
          <w:szCs w:val="24"/>
        </w:rPr>
        <w:tab/>
        <w:t xml:space="preserve">for </w:t>
      </w:r>
      <w:r w:rsidR="00F85D99" w:rsidRPr="00E106BD">
        <w:t>bosentan</w:t>
      </w:r>
      <w:r w:rsidR="00F85D99" w:rsidRPr="00E106BD">
        <w:rPr>
          <w:szCs w:val="24"/>
        </w:rPr>
        <w:t xml:space="preserve">: </w:t>
      </w:r>
    </w:p>
    <w:p w:rsidR="00F85D99" w:rsidRPr="00E106BD" w:rsidRDefault="002F779E" w:rsidP="00E57151">
      <w:pPr>
        <w:pStyle w:val="paragraphsub"/>
        <w:keepNext/>
        <w:keepLines/>
        <w:rPr>
          <w:szCs w:val="24"/>
        </w:rPr>
      </w:pPr>
      <w:r w:rsidRPr="00E106BD">
        <w:rPr>
          <w:szCs w:val="24"/>
        </w:rPr>
        <w:tab/>
      </w:r>
      <w:r w:rsidR="00F85D99" w:rsidRPr="00E106BD">
        <w:rPr>
          <w:szCs w:val="24"/>
        </w:rPr>
        <w:t>(i)</w:t>
      </w:r>
      <w:r w:rsidR="00F85D99" w:rsidRPr="00E106BD">
        <w:rPr>
          <w:szCs w:val="24"/>
        </w:rPr>
        <w:tab/>
        <w:t>if the prescription is for the balance of a 6 month course of initial treatment for a patient who has been issued with an authority prescription for the first month of the 6 month course—up to 4 repeat supplies; or</w:t>
      </w:r>
    </w:p>
    <w:p w:rsidR="00F85D99" w:rsidRPr="00E106BD" w:rsidRDefault="002F779E" w:rsidP="004E4760">
      <w:pPr>
        <w:pStyle w:val="paragraphsub"/>
        <w:rPr>
          <w:szCs w:val="24"/>
        </w:rPr>
      </w:pPr>
      <w:r w:rsidRPr="00E106BD">
        <w:rPr>
          <w:szCs w:val="24"/>
        </w:rPr>
        <w:tab/>
      </w:r>
      <w:r w:rsidR="00F85D99" w:rsidRPr="00E106BD">
        <w:rPr>
          <w:szCs w:val="24"/>
        </w:rPr>
        <w:t>(ii)</w:t>
      </w:r>
      <w:r w:rsidR="00F85D99" w:rsidRPr="00E106BD">
        <w:rPr>
          <w:szCs w:val="24"/>
        </w:rPr>
        <w:tab/>
        <w:t>if the prescription is for continuing treatment of a patient who has achieved a response to his or her most recent course of PBS</w:t>
      </w:r>
      <w:r w:rsidR="00E106BD">
        <w:rPr>
          <w:szCs w:val="24"/>
        </w:rPr>
        <w:noBreakHyphen/>
      </w:r>
      <w:r w:rsidR="00F85D99" w:rsidRPr="00E106BD">
        <w:rPr>
          <w:szCs w:val="24"/>
        </w:rPr>
        <w:t>subsidised treatment—up to 5 repeat supplies;</w:t>
      </w:r>
    </w:p>
    <w:p w:rsidR="00F85D99" w:rsidRPr="00E106BD" w:rsidRDefault="002F779E" w:rsidP="004E4760">
      <w:pPr>
        <w:pStyle w:val="paragraph"/>
        <w:rPr>
          <w:szCs w:val="24"/>
        </w:rPr>
      </w:pPr>
      <w:r w:rsidRPr="00E106BD">
        <w:rPr>
          <w:szCs w:val="24"/>
        </w:rPr>
        <w:tab/>
      </w:r>
      <w:r w:rsidR="00F85D99" w:rsidRPr="00E106BD">
        <w:rPr>
          <w:szCs w:val="24"/>
        </w:rPr>
        <w:t>(b)</w:t>
      </w:r>
      <w:r w:rsidR="00F85D99" w:rsidRPr="00E106BD">
        <w:rPr>
          <w:szCs w:val="24"/>
        </w:rPr>
        <w:tab/>
        <w:t>for etanercept:</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for the initial treatment of severe polyarticular course juvenile chronic arthritis—up to 3 repeat supplies; or</w:t>
      </w:r>
    </w:p>
    <w:p w:rsidR="00F85D99" w:rsidRPr="00E106BD" w:rsidRDefault="002F779E" w:rsidP="004E4760">
      <w:pPr>
        <w:pStyle w:val="paragraphsub"/>
        <w:rPr>
          <w:szCs w:val="24"/>
        </w:rPr>
      </w:pPr>
      <w:r w:rsidRPr="00E106BD">
        <w:rPr>
          <w:szCs w:val="24"/>
        </w:rPr>
        <w:tab/>
      </w:r>
      <w:r w:rsidR="00F85D99" w:rsidRPr="00E106BD">
        <w:rPr>
          <w:szCs w:val="24"/>
        </w:rPr>
        <w:t>(ii)</w:t>
      </w:r>
      <w:r w:rsidR="00F85D99" w:rsidRPr="00E106BD">
        <w:rPr>
          <w:szCs w:val="24"/>
        </w:rPr>
        <w:tab/>
        <w:t>for the continuing treatment of severe polyarticular course juvenile chronic arthritis—up to 5 repeat supplies;</w:t>
      </w:r>
    </w:p>
    <w:p w:rsidR="00F85D99" w:rsidRPr="00E106BD" w:rsidRDefault="002F779E" w:rsidP="004E4760">
      <w:pPr>
        <w:pStyle w:val="paragraph"/>
      </w:pPr>
      <w:r w:rsidRPr="00E106BD">
        <w:rPr>
          <w:szCs w:val="24"/>
        </w:rPr>
        <w:tab/>
      </w:r>
      <w:r w:rsidR="00F85D99" w:rsidRPr="00E106BD">
        <w:rPr>
          <w:szCs w:val="24"/>
        </w:rPr>
        <w:t>(c)</w:t>
      </w:r>
      <w:r w:rsidR="00F85D99" w:rsidRPr="00E106BD">
        <w:rPr>
          <w:szCs w:val="24"/>
        </w:rPr>
        <w:tab/>
        <w:t>for infliximab, for the treatment of an adult with severe active rheumatoid arthritis:</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if the circumstances permit a course of up to a maximum of 22 weeks of treatment to be authorised—up to 3 repeat supplies; or</w:t>
      </w:r>
    </w:p>
    <w:p w:rsidR="00F85D99" w:rsidRPr="00E106BD" w:rsidRDefault="002F779E" w:rsidP="004E4760">
      <w:pPr>
        <w:pStyle w:val="paragraphsub"/>
        <w:rPr>
          <w:szCs w:val="24"/>
        </w:rPr>
      </w:pPr>
      <w:r w:rsidRPr="00E106BD">
        <w:rPr>
          <w:szCs w:val="24"/>
        </w:rPr>
        <w:tab/>
      </w:r>
      <w:r w:rsidR="00F85D99" w:rsidRPr="00E106BD">
        <w:rPr>
          <w:szCs w:val="24"/>
        </w:rPr>
        <w:t>(ii)</w:t>
      </w:r>
      <w:r w:rsidR="00F85D99" w:rsidRPr="00E106BD">
        <w:rPr>
          <w:szCs w:val="24"/>
        </w:rPr>
        <w:tab/>
        <w:t>if the circumstances permit a course of up to a maximum of 24 weeks of treatment to be authorised—up to 2 repeat supplies;</w:t>
      </w:r>
    </w:p>
    <w:p w:rsidR="00F85D99" w:rsidRPr="00E106BD" w:rsidRDefault="002F779E" w:rsidP="004E4760">
      <w:pPr>
        <w:pStyle w:val="paragraph"/>
        <w:rPr>
          <w:szCs w:val="24"/>
        </w:rPr>
      </w:pPr>
      <w:r w:rsidRPr="00E106BD">
        <w:rPr>
          <w:szCs w:val="24"/>
        </w:rPr>
        <w:tab/>
      </w:r>
      <w:r w:rsidR="00F85D99" w:rsidRPr="00E106BD">
        <w:rPr>
          <w:szCs w:val="24"/>
        </w:rPr>
        <w:t>(d)</w:t>
      </w:r>
      <w:r w:rsidR="00F85D99" w:rsidRPr="00E106BD">
        <w:rPr>
          <w:szCs w:val="24"/>
        </w:rPr>
        <w:tab/>
        <w:t>for infliximab, for the treatment of an adult with severe active psoriatic arthritis:</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if the circumstances permit a course of up to a maximum of 22 weeks of treatment to be authorised—up to 3 repeat supplies; or</w:t>
      </w:r>
    </w:p>
    <w:p w:rsidR="00F85D99" w:rsidRPr="00E106BD" w:rsidRDefault="002F779E" w:rsidP="004E4760">
      <w:pPr>
        <w:pStyle w:val="paragraphsub"/>
        <w:rPr>
          <w:szCs w:val="24"/>
        </w:rPr>
      </w:pPr>
      <w:r w:rsidRPr="00E106BD">
        <w:rPr>
          <w:szCs w:val="24"/>
        </w:rPr>
        <w:tab/>
      </w:r>
      <w:r w:rsidR="00F85D99" w:rsidRPr="00E106BD">
        <w:rPr>
          <w:szCs w:val="24"/>
        </w:rPr>
        <w:t>(ii)</w:t>
      </w:r>
      <w:r w:rsidR="00F85D99" w:rsidRPr="00E106BD">
        <w:rPr>
          <w:szCs w:val="24"/>
        </w:rPr>
        <w:tab/>
        <w:t>if the circumstances permit a course of up to a maximum of 24 weeks of treatment to be authorised—up to 2 repeat supplies;</w:t>
      </w:r>
    </w:p>
    <w:p w:rsidR="00F85D99" w:rsidRPr="00E106BD" w:rsidRDefault="002F779E" w:rsidP="004E4760">
      <w:pPr>
        <w:pStyle w:val="paragraph"/>
        <w:rPr>
          <w:szCs w:val="24"/>
        </w:rPr>
      </w:pPr>
      <w:r w:rsidRPr="00E106BD">
        <w:rPr>
          <w:color w:val="000000"/>
          <w:szCs w:val="24"/>
        </w:rPr>
        <w:tab/>
      </w:r>
      <w:r w:rsidR="00F85D99" w:rsidRPr="00E106BD">
        <w:rPr>
          <w:color w:val="000000"/>
          <w:szCs w:val="24"/>
        </w:rPr>
        <w:t>(e)</w:t>
      </w:r>
      <w:r w:rsidR="00F85D99" w:rsidRPr="00E106BD">
        <w:rPr>
          <w:color w:val="000000"/>
          <w:szCs w:val="24"/>
        </w:rPr>
        <w:tab/>
        <w:t xml:space="preserve">for </w:t>
      </w:r>
      <w:r w:rsidR="00F85D99" w:rsidRPr="00E106BD">
        <w:rPr>
          <w:szCs w:val="24"/>
        </w:rPr>
        <w:t>infliximab, for the treatment of an adult with active ankylosing spondylitis—up to 3 repeat supplies;</w:t>
      </w:r>
    </w:p>
    <w:p w:rsidR="00F85D99" w:rsidRPr="00E106BD" w:rsidRDefault="002F779E" w:rsidP="004E4760">
      <w:pPr>
        <w:pStyle w:val="paragraph"/>
        <w:rPr>
          <w:szCs w:val="24"/>
        </w:rPr>
      </w:pPr>
      <w:r w:rsidRPr="00E106BD">
        <w:rPr>
          <w:szCs w:val="24"/>
        </w:rPr>
        <w:tab/>
      </w:r>
      <w:r w:rsidR="00F85D99" w:rsidRPr="00E106BD">
        <w:rPr>
          <w:szCs w:val="24"/>
        </w:rPr>
        <w:t>(f)</w:t>
      </w:r>
      <w:r w:rsidR="00F85D99" w:rsidRPr="00E106BD">
        <w:rPr>
          <w:szCs w:val="24"/>
        </w:rPr>
        <w:tab/>
        <w:t>for infliximab, for the treatment of a patient with refractory Crohn disease or fistulating Crohn disease—up to 2 repeat supplies;</w:t>
      </w:r>
    </w:p>
    <w:p w:rsidR="00F85D99" w:rsidRPr="00E106BD" w:rsidRDefault="002F779E" w:rsidP="004E4760">
      <w:pPr>
        <w:pStyle w:val="paragraph"/>
      </w:pPr>
      <w:r w:rsidRPr="00E106BD">
        <w:rPr>
          <w:szCs w:val="24"/>
        </w:rPr>
        <w:tab/>
      </w:r>
      <w:r w:rsidR="00F85D99" w:rsidRPr="00E106BD">
        <w:rPr>
          <w:szCs w:val="24"/>
        </w:rPr>
        <w:t>(g)</w:t>
      </w:r>
      <w:r w:rsidR="00F85D99" w:rsidRPr="00E106BD">
        <w:rPr>
          <w:szCs w:val="24"/>
        </w:rPr>
        <w:tab/>
        <w:t>for infliximab, for the treatment of an adult with severe chronic plaque psoriasis:</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w:t>
      </w:r>
      <w:r w:rsidR="00F85D99" w:rsidRPr="00E106BD">
        <w:rPr>
          <w:color w:val="000000"/>
          <w:szCs w:val="24"/>
        </w:rPr>
        <w:tab/>
        <w:t>if the circumstances permit a course of up to a maximum of 22 weeks of treatment to be authorised—up to 3 repeat supplies; or</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if the circumstances</w:t>
      </w:r>
      <w:r w:rsidR="00F85D99" w:rsidRPr="00E106BD">
        <w:t xml:space="preserve"> permit a course of up to a maximum of 24 weeks of treatment to be authorised—up to 2 repeat supplies;</w:t>
      </w:r>
    </w:p>
    <w:p w:rsidR="00B4164A" w:rsidRPr="00E106BD" w:rsidRDefault="00B4164A" w:rsidP="001C5AB4">
      <w:pPr>
        <w:pStyle w:val="paragraph"/>
        <w:rPr>
          <w:szCs w:val="24"/>
        </w:rPr>
      </w:pPr>
      <w:r w:rsidRPr="00E106BD">
        <w:rPr>
          <w:szCs w:val="24"/>
        </w:rPr>
        <w:tab/>
        <w:t>(ga)</w:t>
      </w:r>
      <w:r w:rsidRPr="00E106BD">
        <w:rPr>
          <w:szCs w:val="24"/>
        </w:rPr>
        <w:tab/>
        <w:t>for infliximab, for the treatment of a patient with moderate to severe ulcerative colitis:</w:t>
      </w:r>
    </w:p>
    <w:p w:rsidR="00B4164A" w:rsidRPr="00E106BD" w:rsidRDefault="00B4164A" w:rsidP="001C5AB4">
      <w:pPr>
        <w:pStyle w:val="paragraphsub"/>
        <w:rPr>
          <w:color w:val="000000"/>
          <w:szCs w:val="24"/>
        </w:rPr>
      </w:pPr>
      <w:r w:rsidRPr="00E106BD">
        <w:rPr>
          <w:szCs w:val="24"/>
        </w:rPr>
        <w:tab/>
        <w:t>(i)</w:t>
      </w:r>
      <w:r w:rsidRPr="00E106BD">
        <w:rPr>
          <w:color w:val="000000"/>
          <w:szCs w:val="24"/>
        </w:rPr>
        <w:tab/>
        <w:t>for initial treatment (new patient or re</w:t>
      </w:r>
      <w:r w:rsidR="00E106BD">
        <w:rPr>
          <w:color w:val="000000"/>
          <w:szCs w:val="24"/>
        </w:rPr>
        <w:noBreakHyphen/>
      </w:r>
      <w:r w:rsidRPr="00E106BD">
        <w:rPr>
          <w:color w:val="000000"/>
          <w:szCs w:val="24"/>
        </w:rPr>
        <w:t>commencement of treatment after more than 5 years break in therapy)—up to 2 repeat supplies;</w:t>
      </w:r>
    </w:p>
    <w:p w:rsidR="00B4164A" w:rsidRPr="00E106BD" w:rsidRDefault="00B4164A" w:rsidP="001C5AB4">
      <w:pPr>
        <w:pStyle w:val="paragraphsub"/>
        <w:rPr>
          <w:szCs w:val="24"/>
        </w:rPr>
      </w:pPr>
      <w:r w:rsidRPr="00E106BD">
        <w:rPr>
          <w:color w:val="000000"/>
          <w:szCs w:val="24"/>
        </w:rPr>
        <w:tab/>
        <w:t>(ii)</w:t>
      </w:r>
      <w:r w:rsidRPr="00E106BD">
        <w:rPr>
          <w:color w:val="000000"/>
          <w:szCs w:val="24"/>
        </w:rPr>
        <w:tab/>
      </w:r>
      <w:r w:rsidRPr="00E106BD">
        <w:rPr>
          <w:szCs w:val="24"/>
        </w:rPr>
        <w:t>for a change or re</w:t>
      </w:r>
      <w:r w:rsidR="00E106BD">
        <w:rPr>
          <w:szCs w:val="24"/>
        </w:rPr>
        <w:noBreakHyphen/>
      </w:r>
      <w:r w:rsidRPr="00E106BD">
        <w:rPr>
          <w:szCs w:val="24"/>
        </w:rPr>
        <w:t>commencement of treatment after a break in therapy—up to 2 repeat supplies;</w:t>
      </w:r>
    </w:p>
    <w:p w:rsidR="00B4164A" w:rsidRPr="00E106BD" w:rsidRDefault="00B4164A" w:rsidP="001C5AB4">
      <w:pPr>
        <w:pStyle w:val="paragraphsub"/>
        <w:rPr>
          <w:szCs w:val="24"/>
        </w:rPr>
      </w:pPr>
      <w:r w:rsidRPr="00E106BD">
        <w:rPr>
          <w:szCs w:val="24"/>
        </w:rPr>
        <w:tab/>
        <w:t>(iii)</w:t>
      </w:r>
      <w:r w:rsidRPr="00E106BD">
        <w:rPr>
          <w:szCs w:val="24"/>
        </w:rPr>
        <w:tab/>
        <w:t>for</w:t>
      </w:r>
      <w:r w:rsidRPr="00E106BD">
        <w:rPr>
          <w:color w:val="000000"/>
          <w:szCs w:val="24"/>
        </w:rPr>
        <w:t xml:space="preserve"> </w:t>
      </w:r>
      <w:r w:rsidRPr="00E106BD">
        <w:rPr>
          <w:szCs w:val="24"/>
        </w:rPr>
        <w:t>continuing treatment—up to 2 repeat supplies.</w:t>
      </w:r>
    </w:p>
    <w:p w:rsidR="003C4F09" w:rsidRPr="00E106BD" w:rsidRDefault="003C4F09" w:rsidP="00267E76">
      <w:pPr>
        <w:pStyle w:val="paragraph"/>
        <w:rPr>
          <w:szCs w:val="22"/>
        </w:rPr>
      </w:pPr>
      <w:r w:rsidRPr="00E106BD">
        <w:rPr>
          <w:szCs w:val="22"/>
        </w:rPr>
        <w:tab/>
        <w:t>(gb)</w:t>
      </w:r>
      <w:r w:rsidRPr="00E106BD">
        <w:rPr>
          <w:szCs w:val="22"/>
        </w:rPr>
        <w:tab/>
        <w:t>for infliximab, for the treatment of an adult with severe Crohn disease:</w:t>
      </w:r>
    </w:p>
    <w:p w:rsidR="003C4F09" w:rsidRPr="00E106BD" w:rsidRDefault="003C4F09" w:rsidP="00267E76">
      <w:pPr>
        <w:pStyle w:val="paragraphsub"/>
        <w:rPr>
          <w:szCs w:val="22"/>
        </w:rPr>
      </w:pPr>
      <w:r w:rsidRPr="00E106BD">
        <w:rPr>
          <w:szCs w:val="22"/>
        </w:rPr>
        <w:tab/>
        <w:t>(i)</w:t>
      </w:r>
      <w:r w:rsidRPr="00E106BD">
        <w:rPr>
          <w:szCs w:val="22"/>
        </w:rPr>
        <w:tab/>
        <w:t xml:space="preserve">for </w:t>
      </w:r>
      <w:r w:rsidRPr="00E106BD">
        <w:rPr>
          <w:color w:val="000000"/>
          <w:szCs w:val="22"/>
        </w:rPr>
        <w:t>initial</w:t>
      </w:r>
      <w:r w:rsidRPr="00E106BD">
        <w:rPr>
          <w:szCs w:val="22"/>
        </w:rPr>
        <w:t xml:space="preserve"> treatment (new patient – initial 1)—up to 2 repeat supplies;</w:t>
      </w:r>
    </w:p>
    <w:p w:rsidR="003C4F09" w:rsidRPr="00E106BD" w:rsidRDefault="003C4F09" w:rsidP="00267E76">
      <w:pPr>
        <w:pStyle w:val="paragraphsub"/>
        <w:rPr>
          <w:szCs w:val="22"/>
        </w:rPr>
      </w:pPr>
      <w:r w:rsidRPr="00E106BD">
        <w:rPr>
          <w:szCs w:val="22"/>
        </w:rPr>
        <w:tab/>
        <w:t>(ii)</w:t>
      </w:r>
      <w:r w:rsidRPr="00E106BD">
        <w:rPr>
          <w:szCs w:val="22"/>
        </w:rPr>
        <w:tab/>
        <w:t>for a change or re</w:t>
      </w:r>
      <w:r w:rsidR="00E106BD">
        <w:rPr>
          <w:szCs w:val="22"/>
        </w:rPr>
        <w:noBreakHyphen/>
      </w:r>
      <w:r w:rsidRPr="00E106BD">
        <w:rPr>
          <w:szCs w:val="22"/>
        </w:rPr>
        <w:t>commencement of treatment (initial 2)—up to 2 repeat supplies;</w:t>
      </w:r>
    </w:p>
    <w:p w:rsidR="003C4F09" w:rsidRPr="00E106BD" w:rsidRDefault="003C4F09" w:rsidP="00267E76">
      <w:pPr>
        <w:pStyle w:val="paragraphsub"/>
        <w:rPr>
          <w:szCs w:val="22"/>
        </w:rPr>
      </w:pPr>
      <w:r w:rsidRPr="00E106BD">
        <w:rPr>
          <w:szCs w:val="22"/>
        </w:rPr>
        <w:tab/>
        <w:t>(iii)</w:t>
      </w:r>
      <w:r w:rsidRPr="00E106BD">
        <w:rPr>
          <w:szCs w:val="22"/>
        </w:rPr>
        <w:tab/>
        <w:t>for continuing treatment—up to 2 repeat supplies.</w:t>
      </w:r>
    </w:p>
    <w:p w:rsidR="00F85D99" w:rsidRPr="00E106BD" w:rsidRDefault="002F779E" w:rsidP="004E4760">
      <w:pPr>
        <w:pStyle w:val="paragraph"/>
      </w:pPr>
      <w:r w:rsidRPr="00E106BD">
        <w:rPr>
          <w:szCs w:val="24"/>
        </w:rPr>
        <w:tab/>
      </w:r>
      <w:r w:rsidR="00F85D99" w:rsidRPr="00E106BD">
        <w:rPr>
          <w:szCs w:val="24"/>
        </w:rPr>
        <w:t>(h)</w:t>
      </w:r>
      <w:r w:rsidR="00F85D99" w:rsidRPr="00E106BD">
        <w:rPr>
          <w:szCs w:val="24"/>
        </w:rPr>
        <w:tab/>
        <w:t>for abatacept, for the treatment of an adult with severe active rheumatoid arthritis:</w:t>
      </w:r>
    </w:p>
    <w:p w:rsidR="00F85D99" w:rsidRPr="00E106BD" w:rsidRDefault="00F85D99" w:rsidP="004E4760">
      <w:pPr>
        <w:pStyle w:val="paragraphsub"/>
        <w:rPr>
          <w:color w:val="000000"/>
          <w:szCs w:val="24"/>
        </w:rPr>
      </w:pPr>
      <w:r w:rsidRPr="00E106BD">
        <w:rPr>
          <w:color w:val="000000"/>
          <w:szCs w:val="24"/>
        </w:rPr>
        <w:tab/>
        <w:t>(i)</w:t>
      </w:r>
      <w:r w:rsidRPr="00E106BD">
        <w:rPr>
          <w:color w:val="000000"/>
          <w:szCs w:val="24"/>
        </w:rPr>
        <w:tab/>
        <w:t>if the circumstances permit a course of up to a maximum of 16 weeks of treatment to be authorised—up to 4 repeat supplies; or</w:t>
      </w:r>
    </w:p>
    <w:p w:rsidR="00F85D99" w:rsidRPr="00E106BD" w:rsidRDefault="00F85D99" w:rsidP="004E4760">
      <w:pPr>
        <w:pStyle w:val="paragraphsub"/>
      </w:pPr>
      <w:r w:rsidRPr="00E106BD">
        <w:rPr>
          <w:color w:val="000000"/>
          <w:szCs w:val="24"/>
        </w:rPr>
        <w:tab/>
        <w:t>(ii)</w:t>
      </w:r>
      <w:r w:rsidRPr="00E106BD">
        <w:rPr>
          <w:color w:val="000000"/>
          <w:szCs w:val="24"/>
        </w:rPr>
        <w:tab/>
        <w:t>if the circumstances</w:t>
      </w:r>
      <w:r w:rsidRPr="00E106BD">
        <w:t xml:space="preserve"> permit a course of up to a maximum of 24 weeks of treatment to be authorised—up to 5 repeat supplies;</w:t>
      </w:r>
    </w:p>
    <w:p w:rsidR="00F85D99" w:rsidRPr="00E106BD" w:rsidRDefault="002F779E" w:rsidP="004E4760">
      <w:pPr>
        <w:pStyle w:val="paragraph"/>
        <w:rPr>
          <w:szCs w:val="24"/>
        </w:rPr>
      </w:pPr>
      <w:r w:rsidRPr="00E106BD">
        <w:rPr>
          <w:color w:val="000000"/>
          <w:szCs w:val="24"/>
        </w:rPr>
        <w:tab/>
      </w:r>
      <w:r w:rsidR="00F85D99" w:rsidRPr="00E106BD">
        <w:rPr>
          <w:color w:val="000000"/>
          <w:szCs w:val="24"/>
        </w:rPr>
        <w:t>(i)</w:t>
      </w:r>
      <w:r w:rsidR="00F85D99" w:rsidRPr="00E106BD">
        <w:rPr>
          <w:color w:val="000000"/>
          <w:szCs w:val="24"/>
        </w:rPr>
        <w:tab/>
        <w:t xml:space="preserve">for </w:t>
      </w:r>
      <w:r w:rsidR="00F85D99" w:rsidRPr="00E106BD">
        <w:rPr>
          <w:szCs w:val="24"/>
        </w:rPr>
        <w:t>rituximab—1 repeat supply;</w:t>
      </w:r>
    </w:p>
    <w:p w:rsidR="00F85D99" w:rsidRPr="00E106BD" w:rsidRDefault="002F779E" w:rsidP="004E4760">
      <w:pPr>
        <w:pStyle w:val="paragraph"/>
      </w:pPr>
      <w:r w:rsidRPr="00E106BD">
        <w:rPr>
          <w:szCs w:val="24"/>
        </w:rPr>
        <w:tab/>
      </w:r>
      <w:r w:rsidR="00F85D99" w:rsidRPr="00E106BD">
        <w:rPr>
          <w:szCs w:val="24"/>
        </w:rPr>
        <w:t>(j)</w:t>
      </w:r>
      <w:r w:rsidR="00F85D99" w:rsidRPr="00E106BD">
        <w:rPr>
          <w:szCs w:val="24"/>
        </w:rPr>
        <w:tab/>
        <w:t>for ambrisentan:</w:t>
      </w:r>
    </w:p>
    <w:p w:rsidR="00F85D99" w:rsidRPr="00E106BD" w:rsidRDefault="002F779E" w:rsidP="004E4760">
      <w:pPr>
        <w:pStyle w:val="paragraphsub"/>
      </w:pPr>
      <w:r w:rsidRPr="00E106BD">
        <w:rPr>
          <w:color w:val="000000"/>
          <w:szCs w:val="24"/>
        </w:rPr>
        <w:tab/>
      </w:r>
      <w:r w:rsidR="00F85D99" w:rsidRPr="00E106BD">
        <w:rPr>
          <w:color w:val="000000"/>
          <w:szCs w:val="24"/>
        </w:rPr>
        <w:t>(i)</w:t>
      </w:r>
      <w:r w:rsidR="00F85D99" w:rsidRPr="00E106BD">
        <w:rPr>
          <w:color w:val="000000"/>
          <w:szCs w:val="24"/>
        </w:rPr>
        <w:tab/>
        <w:t>for the initial PBS</w:t>
      </w:r>
      <w:r w:rsidR="00E106BD">
        <w:rPr>
          <w:color w:val="000000"/>
          <w:szCs w:val="24"/>
        </w:rPr>
        <w:noBreakHyphen/>
      </w:r>
      <w:r w:rsidR="00F85D99" w:rsidRPr="00E106BD">
        <w:rPr>
          <w:color w:val="000000"/>
          <w:szCs w:val="24"/>
        </w:rPr>
        <w:t>subsidised treatment of a patient who was receiving non</w:t>
      </w:r>
      <w:r w:rsidR="00E106BD">
        <w:rPr>
          <w:color w:val="000000"/>
          <w:szCs w:val="24"/>
        </w:rPr>
        <w:noBreakHyphen/>
      </w:r>
      <w:r w:rsidR="00F85D99" w:rsidRPr="00E106BD">
        <w:rPr>
          <w:color w:val="000000"/>
          <w:szCs w:val="24"/>
        </w:rPr>
        <w:t>PBS</w:t>
      </w:r>
      <w:r w:rsidR="00E106BD">
        <w:rPr>
          <w:color w:val="000000"/>
          <w:szCs w:val="24"/>
        </w:rPr>
        <w:noBreakHyphen/>
      </w:r>
      <w:r w:rsidR="00F85D99" w:rsidRPr="00E106BD">
        <w:rPr>
          <w:color w:val="000000"/>
          <w:szCs w:val="24"/>
        </w:rPr>
        <w:t>subsidised treatment with ambrisentan for less than 6 months before 1</w:t>
      </w:r>
      <w:r w:rsidR="00E106BD">
        <w:rPr>
          <w:color w:val="000000"/>
          <w:szCs w:val="24"/>
        </w:rPr>
        <w:t> </w:t>
      </w:r>
      <w:r w:rsidR="00F85D99" w:rsidRPr="00E106BD">
        <w:rPr>
          <w:color w:val="000000"/>
          <w:szCs w:val="24"/>
        </w:rPr>
        <w:t>December 2009—sufficient repeat supplies to allow the patient to complete a period of combined PBS</w:t>
      </w:r>
      <w:r w:rsidR="00E106BD">
        <w:rPr>
          <w:color w:val="000000"/>
          <w:szCs w:val="24"/>
        </w:rPr>
        <w:noBreakHyphen/>
      </w:r>
      <w:r w:rsidR="00F85D99" w:rsidRPr="00E106BD">
        <w:rPr>
          <w:color w:val="000000"/>
          <w:szCs w:val="24"/>
        </w:rPr>
        <w:t>subsidised and non</w:t>
      </w:r>
      <w:r w:rsidR="00E106BD">
        <w:rPr>
          <w:color w:val="000000"/>
          <w:szCs w:val="24"/>
        </w:rPr>
        <w:noBreakHyphen/>
      </w:r>
      <w:r w:rsidR="00F85D99" w:rsidRPr="00E106BD">
        <w:rPr>
          <w:color w:val="000000"/>
          <w:szCs w:val="24"/>
        </w:rPr>
        <w:t>PBS</w:t>
      </w:r>
      <w:r w:rsidR="00E106BD">
        <w:rPr>
          <w:color w:val="000000"/>
          <w:szCs w:val="24"/>
        </w:rPr>
        <w:noBreakHyphen/>
      </w:r>
      <w:r w:rsidR="00F85D99" w:rsidRPr="00E106BD">
        <w:rPr>
          <w:color w:val="000000"/>
          <w:szCs w:val="24"/>
        </w:rPr>
        <w:t>subsidised therapy of up to 6 months duration in total; or</w:t>
      </w:r>
    </w:p>
    <w:p w:rsidR="00F85D99" w:rsidRPr="00E106BD" w:rsidRDefault="002F779E" w:rsidP="004E4760">
      <w:pPr>
        <w:pStyle w:val="paragraphsub"/>
      </w:pPr>
      <w:r w:rsidRPr="00E106BD">
        <w:tab/>
      </w:r>
      <w:r w:rsidR="00F85D99" w:rsidRPr="00E106BD">
        <w:t>(ii)</w:t>
      </w:r>
      <w:r w:rsidR="00F85D99" w:rsidRPr="00E106BD">
        <w:tab/>
        <w:t xml:space="preserve">if </w:t>
      </w:r>
      <w:r w:rsidR="00E106BD">
        <w:rPr>
          <w:color w:val="000000"/>
          <w:szCs w:val="24"/>
        </w:rPr>
        <w:t>subparagraph (</w:t>
      </w:r>
      <w:r w:rsidR="00F85D99" w:rsidRPr="00E106BD">
        <w:t>i) does not apply—up to 5 repeat supplies;</w:t>
      </w:r>
    </w:p>
    <w:p w:rsidR="00F85D99" w:rsidRPr="00E106BD" w:rsidRDefault="002F779E" w:rsidP="004E4760">
      <w:pPr>
        <w:pStyle w:val="paragraph"/>
        <w:rPr>
          <w:szCs w:val="24"/>
        </w:rPr>
      </w:pPr>
      <w:r w:rsidRPr="00E106BD">
        <w:rPr>
          <w:color w:val="000000"/>
          <w:szCs w:val="24"/>
        </w:rPr>
        <w:tab/>
      </w:r>
      <w:r w:rsidR="00F85D99" w:rsidRPr="00E106BD">
        <w:rPr>
          <w:color w:val="000000"/>
          <w:szCs w:val="24"/>
        </w:rPr>
        <w:t>(k)</w:t>
      </w:r>
      <w:r w:rsidR="00F85D99" w:rsidRPr="00E106BD">
        <w:rPr>
          <w:color w:val="000000"/>
          <w:szCs w:val="24"/>
        </w:rPr>
        <w:tab/>
      </w:r>
      <w:r w:rsidR="00F85D99" w:rsidRPr="00E106BD">
        <w:rPr>
          <w:szCs w:val="24"/>
        </w:rPr>
        <w:t>for lenalidomide, for the treatment of a patient with multiple myeloma—up to 2 repeat supplies;</w:t>
      </w:r>
    </w:p>
    <w:p w:rsidR="00F85D99" w:rsidRPr="00E106BD" w:rsidRDefault="002F779E" w:rsidP="004E4760">
      <w:pPr>
        <w:pStyle w:val="paragraph"/>
        <w:rPr>
          <w:szCs w:val="24"/>
        </w:rPr>
      </w:pPr>
      <w:r w:rsidRPr="00E106BD">
        <w:rPr>
          <w:szCs w:val="24"/>
        </w:rPr>
        <w:tab/>
      </w:r>
      <w:r w:rsidR="00F85D99" w:rsidRPr="00E106BD">
        <w:rPr>
          <w:szCs w:val="24"/>
        </w:rPr>
        <w:t>(l)</w:t>
      </w:r>
      <w:r w:rsidR="00F85D99" w:rsidRPr="00E106BD">
        <w:rPr>
          <w:szCs w:val="24"/>
        </w:rPr>
        <w:tab/>
        <w:t>for lenalidomide, for the treatment of a patient with myelodysplastic syndrome</w:t>
      </w:r>
      <w:r w:rsidR="00F85D99" w:rsidRPr="00E106BD">
        <w:t>—</w:t>
      </w:r>
      <w:r w:rsidR="00F85D99" w:rsidRPr="00E106BD">
        <w:rPr>
          <w:szCs w:val="24"/>
        </w:rPr>
        <w:t>up to 3 repeat supplies;</w:t>
      </w:r>
    </w:p>
    <w:p w:rsidR="00F85D99" w:rsidRPr="00E106BD" w:rsidRDefault="002F779E" w:rsidP="004E4760">
      <w:pPr>
        <w:pStyle w:val="paragraph"/>
        <w:rPr>
          <w:szCs w:val="24"/>
        </w:rPr>
      </w:pPr>
      <w:r w:rsidRPr="00E106BD">
        <w:rPr>
          <w:szCs w:val="24"/>
        </w:rPr>
        <w:tab/>
      </w:r>
      <w:r w:rsidR="00F85D99" w:rsidRPr="00E106BD">
        <w:rPr>
          <w:szCs w:val="24"/>
        </w:rPr>
        <w:t>(m)</w:t>
      </w:r>
      <w:r w:rsidR="00F85D99" w:rsidRPr="00E106BD">
        <w:rPr>
          <w:szCs w:val="24"/>
        </w:rPr>
        <w:tab/>
        <w:t>for epoprostenol, iloprost, sildenafil, or tadalafil—up to 5 repeat supplies;</w:t>
      </w:r>
    </w:p>
    <w:p w:rsidR="00F85D99" w:rsidRPr="00E106BD" w:rsidRDefault="002F779E" w:rsidP="004E4760">
      <w:pPr>
        <w:pStyle w:val="paragraph"/>
      </w:pPr>
      <w:r w:rsidRPr="00E106BD">
        <w:rPr>
          <w:szCs w:val="24"/>
        </w:rPr>
        <w:tab/>
      </w:r>
      <w:r w:rsidR="00F85D99" w:rsidRPr="00E106BD">
        <w:rPr>
          <w:szCs w:val="24"/>
        </w:rPr>
        <w:t>(n)</w:t>
      </w:r>
      <w:r w:rsidR="00F85D99" w:rsidRPr="00E106BD">
        <w:rPr>
          <w:szCs w:val="24"/>
        </w:rPr>
        <w:tab/>
        <w:t>for tocilizumab</w:t>
      </w:r>
      <w:r w:rsidR="00F85D99" w:rsidRPr="00E106BD">
        <w:t>, for the treatment of adults with severe active rheumatoid arthritis:</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w:t>
      </w:r>
      <w:r w:rsidR="00F85D99" w:rsidRPr="00E106BD">
        <w:rPr>
          <w:color w:val="000000"/>
          <w:szCs w:val="24"/>
        </w:rPr>
        <w:tab/>
        <w:t>if the circumstances permit a course of up to a maximum of 16 weeks of treatment to be authorised—up to 3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If the circumstances</w:t>
      </w:r>
      <w:r w:rsidR="00F85D99" w:rsidRPr="00E106BD">
        <w:t xml:space="preserve"> permit a course of up to a maximum of 24 weeks of treatment to be authorised—up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(o)</w:t>
      </w:r>
      <w:r w:rsidR="00F85D99" w:rsidRPr="00E106BD">
        <w:rPr>
          <w:color w:val="000000"/>
          <w:szCs w:val="24"/>
        </w:rPr>
        <w:tab/>
        <w:t xml:space="preserve">for </w:t>
      </w:r>
      <w:r w:rsidR="00F85D99" w:rsidRPr="00E106BD">
        <w:rPr>
          <w:szCs w:val="24"/>
        </w:rPr>
        <w:t>adalimumab</w:t>
      </w:r>
      <w:r w:rsidR="00F85D99" w:rsidRPr="00E106BD">
        <w:rPr>
          <w:color w:val="000000"/>
          <w:szCs w:val="24"/>
        </w:rPr>
        <w:t xml:space="preserve"> for the treatment of a patient with juvenile idiopathic arthritis:</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w:t>
      </w:r>
      <w:r w:rsidR="00F85D99" w:rsidRPr="00E106BD">
        <w:rPr>
          <w:color w:val="000000"/>
          <w:szCs w:val="24"/>
        </w:rPr>
        <w:tab/>
        <w:t>if the circumstances permit a course of up to a maximum of 16 weeks of treatment to be authorised—up to 3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if the circumstances</w:t>
      </w:r>
      <w:r w:rsidR="00F85D99" w:rsidRPr="00E106BD">
        <w:t xml:space="preserve"> permit a course of up to a maximum of 24 weeks treatment to be authorised—up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(p)</w:t>
      </w:r>
      <w:r w:rsidR="00F85D99" w:rsidRPr="00E106BD">
        <w:rPr>
          <w:color w:val="000000"/>
          <w:szCs w:val="24"/>
        </w:rPr>
        <w:tab/>
        <w:t xml:space="preserve">for </w:t>
      </w:r>
      <w:r w:rsidR="00F85D99" w:rsidRPr="00E106BD">
        <w:rPr>
          <w:szCs w:val="24"/>
        </w:rPr>
        <w:t>azacitidine</w:t>
      </w:r>
      <w:r w:rsidR="00F85D99" w:rsidRPr="00E106BD">
        <w:rPr>
          <w:color w:val="000000"/>
          <w:szCs w:val="24"/>
        </w:rPr>
        <w:t>:</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w:t>
      </w:r>
      <w:r w:rsidR="00F85D99" w:rsidRPr="00E106BD">
        <w:rPr>
          <w:color w:val="000000"/>
          <w:szCs w:val="24"/>
        </w:rPr>
        <w:tab/>
        <w:t>for initial treatment—up to 2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for continuing trea</w:t>
      </w:r>
      <w:r w:rsidR="00F85D99" w:rsidRPr="00E106BD">
        <w:t>tment—up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(q)</w:t>
      </w:r>
      <w:r w:rsidR="00F85D99" w:rsidRPr="00E106BD">
        <w:rPr>
          <w:color w:val="000000"/>
          <w:szCs w:val="24"/>
        </w:rPr>
        <w:tab/>
        <w:t xml:space="preserve">for </w:t>
      </w:r>
      <w:r w:rsidR="00F85D99" w:rsidRPr="00E106BD">
        <w:rPr>
          <w:szCs w:val="24"/>
        </w:rPr>
        <w:t>romiplostim</w:t>
      </w:r>
      <w:r w:rsidR="00F85D99" w:rsidRPr="00E106BD">
        <w:rPr>
          <w:color w:val="000000"/>
          <w:szCs w:val="24"/>
        </w:rPr>
        <w:t xml:space="preserve"> for initial treatment of severe thrombocytopenia </w:t>
      </w:r>
      <w:r w:rsidR="00F85D99" w:rsidRPr="00E106BD">
        <w:rPr>
          <w:szCs w:val="24"/>
        </w:rPr>
        <w:t>as the sole PBS</w:t>
      </w:r>
      <w:r w:rsidR="00E106BD">
        <w:rPr>
          <w:szCs w:val="24"/>
        </w:rPr>
        <w:noBreakHyphen/>
      </w:r>
      <w:r w:rsidR="00F85D99" w:rsidRPr="00E106BD">
        <w:rPr>
          <w:szCs w:val="24"/>
        </w:rPr>
        <w:t>subsidised thrombopoetin receptor agonist (TRA)</w:t>
      </w:r>
      <w:r w:rsidR="00F85D99" w:rsidRPr="00E106BD">
        <w:rPr>
          <w:color w:val="FF0000"/>
          <w:szCs w:val="24"/>
        </w:rPr>
        <w:t xml:space="preserve"> </w:t>
      </w:r>
      <w:r w:rsidR="00F85D99" w:rsidRPr="00E106BD">
        <w:rPr>
          <w:color w:val="000000"/>
          <w:szCs w:val="24"/>
        </w:rPr>
        <w:t>in an adult with severe chronic immune (idiopathic) thrombocytopenic purpura (ITP):</w:t>
      </w:r>
    </w:p>
    <w:p w:rsidR="00F85D99" w:rsidRPr="00E106BD" w:rsidRDefault="002F779E" w:rsidP="004E4760">
      <w:pPr>
        <w:pStyle w:val="paragraphsub"/>
        <w:rPr>
          <w:color w:val="000000"/>
          <w:szCs w:val="24"/>
        </w:rPr>
      </w:pPr>
      <w:r w:rsidRPr="00E106BD">
        <w:rPr>
          <w:szCs w:val="24"/>
        </w:rPr>
        <w:tab/>
      </w:r>
      <w:r w:rsidR="00F85D99" w:rsidRPr="00E106BD">
        <w:rPr>
          <w:szCs w:val="24"/>
        </w:rPr>
        <w:t>(i)</w:t>
      </w:r>
      <w:r w:rsidR="00F85D99" w:rsidRPr="00E106BD">
        <w:rPr>
          <w:szCs w:val="24"/>
        </w:rPr>
        <w:tab/>
        <w:t xml:space="preserve">at the time of </w:t>
      </w:r>
      <w:r w:rsidR="00F85D99" w:rsidRPr="00E106BD">
        <w:rPr>
          <w:color w:val="000000"/>
          <w:szCs w:val="24"/>
        </w:rPr>
        <w:t>the initial written authority application—1 repeat supply;</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(ii)</w:t>
      </w:r>
      <w:r w:rsidR="00F85D99" w:rsidRPr="00E106BD">
        <w:rPr>
          <w:color w:val="000000"/>
          <w:szCs w:val="24"/>
        </w:rPr>
        <w:tab/>
        <w:t>during the initial period of dose titration—1 repeat supply;</w:t>
      </w:r>
    </w:p>
    <w:p w:rsidR="00F85D99" w:rsidRPr="00E106BD" w:rsidRDefault="002F779E" w:rsidP="004E4760">
      <w:pPr>
        <w:pStyle w:val="paragraphsub"/>
      </w:pPr>
      <w:r w:rsidRPr="00E106BD">
        <w:rPr>
          <w:color w:val="000000"/>
          <w:szCs w:val="24"/>
        </w:rPr>
        <w:tab/>
      </w:r>
      <w:r w:rsidR="00F85D99" w:rsidRPr="00E106BD">
        <w:rPr>
          <w:color w:val="000000"/>
          <w:szCs w:val="24"/>
        </w:rPr>
        <w:t>(iii)</w:t>
      </w:r>
      <w:r w:rsidR="00F85D99" w:rsidRPr="00E106BD">
        <w:rPr>
          <w:color w:val="000000"/>
          <w:szCs w:val="24"/>
        </w:rPr>
        <w:tab/>
        <w:t>for a patient whose</w:t>
      </w:r>
      <w:r w:rsidR="00F85D99" w:rsidRPr="00E106BD">
        <w:t xml:space="preserve"> dose has been stable for a period of 4 weeks—up to 4 repeat supplies.</w:t>
      </w:r>
    </w:p>
    <w:p w:rsidR="00F85D99" w:rsidRPr="00E106BD" w:rsidRDefault="002F779E" w:rsidP="004E4760">
      <w:pPr>
        <w:pStyle w:val="paragraph"/>
      </w:pPr>
      <w:r w:rsidRPr="00E106BD">
        <w:rPr>
          <w:color w:val="000000"/>
          <w:szCs w:val="24"/>
        </w:rPr>
        <w:tab/>
      </w:r>
      <w:r w:rsidR="00F85D99" w:rsidRPr="00E106BD">
        <w:rPr>
          <w:color w:val="000000"/>
          <w:szCs w:val="24"/>
        </w:rPr>
        <w:t>(r)</w:t>
      </w:r>
      <w:r w:rsidR="00F85D99" w:rsidRPr="00E106BD">
        <w:rPr>
          <w:color w:val="000000"/>
          <w:szCs w:val="24"/>
        </w:rPr>
        <w:tab/>
        <w:t>for romiplostim for initial PBS</w:t>
      </w:r>
      <w:r w:rsidR="00E106BD">
        <w:rPr>
          <w:color w:val="000000"/>
          <w:szCs w:val="24"/>
        </w:rPr>
        <w:noBreakHyphen/>
      </w:r>
      <w:r w:rsidR="00F85D99" w:rsidRPr="00E106BD">
        <w:rPr>
          <w:color w:val="000000"/>
          <w:szCs w:val="24"/>
        </w:rPr>
        <w:t xml:space="preserve">subsidised treatment of severe thrombocytopenia </w:t>
      </w:r>
      <w:r w:rsidR="00F85D99" w:rsidRPr="00E106BD">
        <w:rPr>
          <w:szCs w:val="24"/>
        </w:rPr>
        <w:t>as the sole PBS</w:t>
      </w:r>
      <w:r w:rsidR="00E106BD">
        <w:rPr>
          <w:szCs w:val="24"/>
        </w:rPr>
        <w:noBreakHyphen/>
      </w:r>
      <w:r w:rsidR="00F85D99" w:rsidRPr="00E106BD">
        <w:rPr>
          <w:szCs w:val="24"/>
        </w:rPr>
        <w:t>subsidised thrombopoetin receptor agonist (TRA) in an adult with severe chronic immune (idiopathic) thrombocytopenic purpura (ITP)</w:t>
      </w:r>
      <w:r w:rsidR="00F85D99" w:rsidRPr="00E106BD">
        <w:rPr>
          <w:color w:val="000000"/>
          <w:szCs w:val="24"/>
        </w:rPr>
        <w:t xml:space="preserve"> who was receiving treatment with Romiplostim prior to 1</w:t>
      </w:r>
      <w:r w:rsidR="00E106BD">
        <w:rPr>
          <w:color w:val="000000"/>
          <w:szCs w:val="24"/>
        </w:rPr>
        <w:t> </w:t>
      </w:r>
      <w:r w:rsidR="00F85D99" w:rsidRPr="00E106BD">
        <w:rPr>
          <w:color w:val="000000"/>
          <w:szCs w:val="24"/>
        </w:rPr>
        <w:t>April 2011 and in whom the criteria for initial treatment in the circumstances can be demonstrated to have been met at the time his or her treatment with romplostin was commenced:</w:t>
      </w:r>
    </w:p>
    <w:p w:rsidR="00F85D99" w:rsidRPr="00E106BD" w:rsidRDefault="002F779E" w:rsidP="004E4760">
      <w:pPr>
        <w:pStyle w:val="paragraphsub"/>
        <w:rPr>
          <w:color w:val="000000"/>
          <w:szCs w:val="24"/>
        </w:rPr>
      </w:pPr>
      <w:r w:rsidRPr="00E106BD">
        <w:rPr>
          <w:szCs w:val="24"/>
        </w:rPr>
        <w:tab/>
      </w:r>
      <w:r w:rsidR="00F85D99" w:rsidRPr="00E106BD">
        <w:rPr>
          <w:szCs w:val="24"/>
        </w:rPr>
        <w:t>(i)</w:t>
      </w:r>
      <w:r w:rsidR="00F85D99" w:rsidRPr="00E106BD">
        <w:rPr>
          <w:szCs w:val="24"/>
        </w:rPr>
        <w:tab/>
        <w:t xml:space="preserve">at the </w:t>
      </w:r>
      <w:r w:rsidR="00F85D99" w:rsidRPr="00E106BD">
        <w:rPr>
          <w:color w:val="000000"/>
          <w:szCs w:val="24"/>
        </w:rPr>
        <w:t>time of the initial written authority application—1 repeat supply;</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(ii)</w:t>
      </w:r>
      <w:r w:rsidR="00F85D99" w:rsidRPr="00E106BD">
        <w:rPr>
          <w:color w:val="000000"/>
          <w:szCs w:val="24"/>
        </w:rPr>
        <w:tab/>
        <w:t xml:space="preserve">during the initial period of dose titration—1 repeat supply; </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(iii)</w:t>
      </w:r>
      <w:r w:rsidR="00F85D99" w:rsidRPr="00E106BD">
        <w:rPr>
          <w:color w:val="000000"/>
          <w:szCs w:val="24"/>
        </w:rPr>
        <w:tab/>
        <w:t>for a patient in the titration phase of treatment whose dose has been stable for a period of 4 weeks—up to 4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(iv)</w:t>
      </w:r>
      <w:r w:rsidR="00F85D99" w:rsidRPr="00E106BD">
        <w:rPr>
          <w:color w:val="000000"/>
          <w:szCs w:val="24"/>
        </w:rPr>
        <w:tab/>
        <w:t>for a patient whose</w:t>
      </w:r>
      <w:r w:rsidR="00F85D99" w:rsidRPr="00E106BD">
        <w:t xml:space="preserve"> dose had been stable for a period of at least 4 weeks at the time of the initial application for PBS</w:t>
      </w:r>
      <w:r w:rsidR="00E106BD">
        <w:noBreakHyphen/>
      </w:r>
      <w:r w:rsidR="00F85D99" w:rsidRPr="00E106BD">
        <w:t>subsidy—up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(s)</w:t>
      </w:r>
      <w:r w:rsidR="00F85D99" w:rsidRPr="00E106BD">
        <w:rPr>
          <w:color w:val="000000"/>
          <w:szCs w:val="24"/>
        </w:rPr>
        <w:tab/>
        <w:t>for romiplostim for the first period of continuing treatment or re</w:t>
      </w:r>
      <w:r w:rsidR="00E106BD">
        <w:rPr>
          <w:color w:val="000000"/>
          <w:szCs w:val="24"/>
        </w:rPr>
        <w:noBreakHyphen/>
      </w:r>
      <w:r w:rsidR="00F85D99" w:rsidRPr="00E106BD">
        <w:rPr>
          <w:color w:val="000000"/>
          <w:szCs w:val="24"/>
        </w:rPr>
        <w:t xml:space="preserve">initiation of </w:t>
      </w:r>
      <w:r w:rsidR="00F85D99" w:rsidRPr="00E106BD">
        <w:rPr>
          <w:szCs w:val="24"/>
        </w:rPr>
        <w:t>interrupted</w:t>
      </w:r>
      <w:r w:rsidR="00F85D99" w:rsidRPr="00E106BD">
        <w:rPr>
          <w:color w:val="000000"/>
          <w:szCs w:val="24"/>
        </w:rPr>
        <w:t xml:space="preserve"> PBS</w:t>
      </w:r>
      <w:r w:rsidR="00E106BD">
        <w:rPr>
          <w:color w:val="000000"/>
          <w:szCs w:val="24"/>
        </w:rPr>
        <w:noBreakHyphen/>
      </w:r>
      <w:r w:rsidR="00F85D99" w:rsidRPr="00E106BD">
        <w:rPr>
          <w:color w:val="000000"/>
          <w:szCs w:val="24"/>
        </w:rPr>
        <w:t xml:space="preserve">subsidised treatment of severe thrombocytopenia </w:t>
      </w:r>
      <w:r w:rsidR="00F85D99" w:rsidRPr="00E106BD">
        <w:rPr>
          <w:szCs w:val="24"/>
        </w:rPr>
        <w:t>as the sole PBS</w:t>
      </w:r>
      <w:r w:rsidR="00E106BD">
        <w:rPr>
          <w:szCs w:val="24"/>
        </w:rPr>
        <w:noBreakHyphen/>
      </w:r>
      <w:r w:rsidR="00F85D99" w:rsidRPr="00E106BD">
        <w:rPr>
          <w:szCs w:val="24"/>
        </w:rPr>
        <w:t>subsidised thrombopoetin receptor agonist (TRA) in an adult with severe chronic immune (idiopathic) thrombocytopenic purpure (ITP)</w:t>
      </w:r>
      <w:r w:rsidR="00F85D99" w:rsidRPr="00E106BD">
        <w:rPr>
          <w:color w:val="000000"/>
          <w:szCs w:val="24"/>
        </w:rPr>
        <w:t xml:space="preserve"> who has displayed a sustained platelet response to treatment with Romiplostim during the initial period of PBS</w:t>
      </w:r>
      <w:r w:rsidR="00E106BD">
        <w:rPr>
          <w:color w:val="000000"/>
          <w:szCs w:val="24"/>
        </w:rPr>
        <w:noBreakHyphen/>
      </w:r>
      <w:r w:rsidR="00F85D99" w:rsidRPr="00E106BD">
        <w:rPr>
          <w:color w:val="000000"/>
          <w:szCs w:val="24"/>
        </w:rPr>
        <w:t>subsidised treatment:</w:t>
      </w:r>
    </w:p>
    <w:p w:rsidR="00F85D99" w:rsidRPr="00E106BD" w:rsidRDefault="002F779E" w:rsidP="004E4760">
      <w:pPr>
        <w:pStyle w:val="paragraphsub"/>
        <w:rPr>
          <w:color w:val="000000"/>
          <w:szCs w:val="24"/>
        </w:rPr>
      </w:pPr>
      <w:r w:rsidRPr="00E106BD">
        <w:rPr>
          <w:szCs w:val="24"/>
        </w:rPr>
        <w:tab/>
      </w:r>
      <w:r w:rsidR="00F85D99" w:rsidRPr="00E106BD">
        <w:rPr>
          <w:szCs w:val="24"/>
        </w:rPr>
        <w:t>(i)</w:t>
      </w:r>
      <w:r w:rsidR="00F85D99" w:rsidRPr="00E106BD">
        <w:rPr>
          <w:szCs w:val="24"/>
        </w:rPr>
        <w:tab/>
        <w:t xml:space="preserve">at the time of the </w:t>
      </w:r>
      <w:r w:rsidR="00F85D99" w:rsidRPr="00E106BD">
        <w:rPr>
          <w:color w:val="000000"/>
          <w:szCs w:val="24"/>
        </w:rPr>
        <w:t>initial written authority application—up to 5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where less than 5 repeat supplies are requested in the initial written authority application—sufficient</w:t>
      </w:r>
      <w:r w:rsidR="00F85D99" w:rsidRPr="00E106BD">
        <w:t xml:space="preserve"> repeat supplies to complete a maximum of 24 weeks treatment.</w:t>
      </w:r>
    </w:p>
    <w:p w:rsidR="00F85D99" w:rsidRPr="00E106BD" w:rsidRDefault="002F779E" w:rsidP="004E4760">
      <w:pPr>
        <w:pStyle w:val="paragraph"/>
        <w:rPr>
          <w:szCs w:val="24"/>
        </w:rPr>
      </w:pPr>
      <w:r w:rsidRPr="00E106BD">
        <w:rPr>
          <w:color w:val="000000"/>
          <w:szCs w:val="24"/>
        </w:rPr>
        <w:tab/>
      </w:r>
      <w:r w:rsidR="00F85D99" w:rsidRPr="00E106BD">
        <w:rPr>
          <w:color w:val="000000"/>
          <w:szCs w:val="24"/>
        </w:rPr>
        <w:t>(t)</w:t>
      </w:r>
      <w:r w:rsidR="00F85D99" w:rsidRPr="00E106BD">
        <w:rPr>
          <w:color w:val="000000"/>
          <w:szCs w:val="24"/>
        </w:rPr>
        <w:tab/>
        <w:t xml:space="preserve">for romiplostim for the second and subsequent periods of continuing treatment of severe thrombocytopenia </w:t>
      </w:r>
      <w:r w:rsidR="00F85D99" w:rsidRPr="00E106BD">
        <w:rPr>
          <w:szCs w:val="24"/>
        </w:rPr>
        <w:t>as the sole PBS</w:t>
      </w:r>
      <w:r w:rsidR="00E106BD">
        <w:rPr>
          <w:szCs w:val="24"/>
        </w:rPr>
        <w:noBreakHyphen/>
      </w:r>
      <w:r w:rsidR="00F85D99" w:rsidRPr="00E106BD">
        <w:rPr>
          <w:szCs w:val="24"/>
        </w:rPr>
        <w:t>subsidised thrombopoetin receptor agonist (TRA) in an adult with severe chronic immune (idiopathic) thrombocytopenic purpure (ITP) who continues to display a sustained platelet response to treatment with Romiplostim—up to 5 repeat supplies.</w:t>
      </w:r>
    </w:p>
    <w:p w:rsidR="00F85D99" w:rsidRPr="00E106BD" w:rsidRDefault="002F779E" w:rsidP="004E4760">
      <w:pPr>
        <w:pStyle w:val="paragraph"/>
        <w:rPr>
          <w:szCs w:val="24"/>
        </w:rPr>
      </w:pPr>
      <w:r w:rsidRPr="00E106BD">
        <w:rPr>
          <w:szCs w:val="24"/>
        </w:rPr>
        <w:tab/>
      </w:r>
      <w:r w:rsidR="00F85D99" w:rsidRPr="00E106BD">
        <w:rPr>
          <w:szCs w:val="24"/>
        </w:rPr>
        <w:t>(u)</w:t>
      </w:r>
      <w:r w:rsidR="00F85D99" w:rsidRPr="00E106BD">
        <w:rPr>
          <w:szCs w:val="24"/>
        </w:rPr>
        <w:tab/>
        <w:t>for omalizumab—where fewer than the required number of repeats to complete 24 weeks of treatment are requested at the time of the authority application—sufficient repeat supplies to complete 24 weeks of treatment.</w:t>
      </w:r>
    </w:p>
    <w:p w:rsidR="00F85D99" w:rsidRPr="00E106BD" w:rsidRDefault="002F779E" w:rsidP="004E4760">
      <w:pPr>
        <w:pStyle w:val="paragraph"/>
        <w:rPr>
          <w:szCs w:val="24"/>
        </w:rPr>
      </w:pPr>
      <w:r w:rsidRPr="00E106BD">
        <w:rPr>
          <w:szCs w:val="24"/>
        </w:rPr>
        <w:tab/>
      </w:r>
      <w:r w:rsidR="00F85D99" w:rsidRPr="00E106BD">
        <w:rPr>
          <w:szCs w:val="24"/>
        </w:rPr>
        <w:t>(v)</w:t>
      </w:r>
      <w:r w:rsidR="00F85D99" w:rsidRPr="00E106BD">
        <w:rPr>
          <w:szCs w:val="24"/>
        </w:rPr>
        <w:tab/>
        <w:t>for omalizumab—where at least 24 weeks treatment was requested at the time of the application—0 repeat supplies.</w:t>
      </w:r>
    </w:p>
    <w:p w:rsidR="00CD130E" w:rsidRPr="00E106BD" w:rsidRDefault="00CD130E" w:rsidP="00CD130E">
      <w:pPr>
        <w:pStyle w:val="paragraph"/>
      </w:pPr>
      <w:r w:rsidRPr="00E106BD">
        <w:rPr>
          <w:szCs w:val="24"/>
        </w:rPr>
        <w:tab/>
        <w:t>(va)</w:t>
      </w:r>
      <w:r w:rsidRPr="00E106BD">
        <w:rPr>
          <w:szCs w:val="24"/>
        </w:rPr>
        <w:tab/>
        <w:t>for omalizumab, for the treatment of severe chronic spontaneous urticaria:</w:t>
      </w:r>
    </w:p>
    <w:p w:rsidR="00CD130E" w:rsidRPr="00E106BD" w:rsidRDefault="00CD130E" w:rsidP="00CD130E">
      <w:pPr>
        <w:pStyle w:val="paragraphsub"/>
        <w:rPr>
          <w:color w:val="000000"/>
          <w:szCs w:val="24"/>
        </w:rPr>
      </w:pPr>
      <w:r w:rsidRPr="00E106BD">
        <w:rPr>
          <w:color w:val="000000"/>
          <w:szCs w:val="24"/>
        </w:rPr>
        <w:tab/>
        <w:t>(i)</w:t>
      </w:r>
      <w:r w:rsidRPr="00E106BD">
        <w:rPr>
          <w:color w:val="000000"/>
          <w:szCs w:val="24"/>
        </w:rPr>
        <w:tab/>
      </w:r>
      <w:r w:rsidRPr="00E106BD">
        <w:rPr>
          <w:szCs w:val="24"/>
        </w:rPr>
        <w:t xml:space="preserve">for initial treatment—where the patient has received a </w:t>
      </w:r>
      <w:r w:rsidRPr="00E106BD">
        <w:t>quantity of units that are sufficient to provide for 12 weeks treatment</w:t>
      </w:r>
      <w:r w:rsidRPr="00E106BD">
        <w:rPr>
          <w:szCs w:val="24"/>
        </w:rPr>
        <w:t>—0 repeat supplies;</w:t>
      </w:r>
    </w:p>
    <w:p w:rsidR="00CD130E" w:rsidRPr="00E106BD" w:rsidRDefault="00CD130E" w:rsidP="00CD130E">
      <w:pPr>
        <w:pStyle w:val="paragraphsub"/>
      </w:pPr>
      <w:r w:rsidRPr="00E106BD">
        <w:rPr>
          <w:color w:val="000000"/>
          <w:szCs w:val="24"/>
        </w:rPr>
        <w:tab/>
        <w:t>(ii)</w:t>
      </w:r>
      <w:r w:rsidRPr="00E106BD">
        <w:rPr>
          <w:color w:val="000000"/>
          <w:szCs w:val="24"/>
        </w:rPr>
        <w:tab/>
      </w:r>
      <w:r w:rsidRPr="00E106BD">
        <w:rPr>
          <w:szCs w:val="24"/>
        </w:rPr>
        <w:t xml:space="preserve">for </w:t>
      </w:r>
      <w:r w:rsidRPr="00E106BD">
        <w:t>initial PBS</w:t>
      </w:r>
      <w:r w:rsidR="00E106BD">
        <w:noBreakHyphen/>
      </w:r>
      <w:r w:rsidRPr="00E106BD">
        <w:t>subsidised treatment in a patient who has previously received non</w:t>
      </w:r>
      <w:r w:rsidR="00E106BD">
        <w:noBreakHyphen/>
      </w:r>
      <w:r w:rsidRPr="00E106BD">
        <w:t>PBS</w:t>
      </w:r>
      <w:r w:rsidR="00E106BD">
        <w:noBreakHyphen/>
      </w:r>
      <w:r w:rsidRPr="00E106BD">
        <w:t>subsidised therapy with omalizumab (grandfathered patients)</w:t>
      </w:r>
      <w:r w:rsidRPr="00E106BD">
        <w:rPr>
          <w:szCs w:val="24"/>
        </w:rPr>
        <w:t xml:space="preserve">—where the patient has received a </w:t>
      </w:r>
      <w:r w:rsidRPr="00E106BD">
        <w:t>quantity of units that are sufficient to provide for 24 weeks treatment</w:t>
      </w:r>
      <w:r w:rsidRPr="00E106BD">
        <w:rPr>
          <w:szCs w:val="24"/>
        </w:rPr>
        <w:t>—0 repeat supplies;</w:t>
      </w:r>
    </w:p>
    <w:p w:rsidR="00CD130E" w:rsidRPr="00E106BD" w:rsidRDefault="00CD130E" w:rsidP="00F91AB2">
      <w:pPr>
        <w:pStyle w:val="paragraphsub"/>
      </w:pPr>
      <w:r w:rsidRPr="00E106BD">
        <w:rPr>
          <w:color w:val="000000"/>
          <w:szCs w:val="24"/>
        </w:rPr>
        <w:tab/>
        <w:t>(iii)</w:t>
      </w:r>
      <w:r w:rsidRPr="00E106BD">
        <w:rPr>
          <w:color w:val="000000"/>
          <w:szCs w:val="24"/>
        </w:rPr>
        <w:tab/>
      </w:r>
      <w:r w:rsidRPr="00E106BD">
        <w:rPr>
          <w:szCs w:val="24"/>
        </w:rPr>
        <w:t xml:space="preserve">for continuing treatment—where the patient has received a </w:t>
      </w:r>
      <w:r w:rsidRPr="00E106BD">
        <w:t>quantity of units that are sufficient to provide for 24 weeks treatment</w:t>
      </w:r>
      <w:r w:rsidRPr="00E106BD">
        <w:rPr>
          <w:szCs w:val="24"/>
        </w:rPr>
        <w:t>—0</w:t>
      </w:r>
      <w:r w:rsidRPr="00E106BD">
        <w:rPr>
          <w:szCs w:val="22"/>
        </w:rPr>
        <w:t> </w:t>
      </w:r>
      <w:r w:rsidRPr="00E106BD">
        <w:rPr>
          <w:szCs w:val="24"/>
        </w:rPr>
        <w:t>repeat supplies;</w:t>
      </w:r>
    </w:p>
    <w:p w:rsidR="00F85D99" w:rsidRPr="00E106BD" w:rsidRDefault="002F779E" w:rsidP="004E4760">
      <w:pPr>
        <w:pStyle w:val="paragraph"/>
      </w:pPr>
      <w:r w:rsidRPr="00E106BD">
        <w:rPr>
          <w:szCs w:val="24"/>
        </w:rPr>
        <w:tab/>
      </w:r>
      <w:r w:rsidR="00F85D99" w:rsidRPr="00E106BD">
        <w:rPr>
          <w:szCs w:val="24"/>
        </w:rPr>
        <w:t>(w)</w:t>
      </w:r>
      <w:r w:rsidR="00F85D99" w:rsidRPr="00E106BD">
        <w:rPr>
          <w:szCs w:val="24"/>
        </w:rPr>
        <w:tab/>
        <w:t>for eltrombopag for initial treatment</w:t>
      </w:r>
      <w:r w:rsidR="00F85D99" w:rsidRPr="00E106BD">
        <w:t xml:space="preserve"> of severe thrombocytopenia as the sole PBS</w:t>
      </w:r>
      <w:r w:rsidR="00E106BD">
        <w:noBreakHyphen/>
      </w:r>
      <w:r w:rsidR="00F85D99" w:rsidRPr="00E106BD">
        <w:t>subsidised thrombopoetin receptor agonist (TRA) in an adult with severe chronic immune (idiopathic) thrombocytopenic purpura (ITP):</w:t>
      </w:r>
    </w:p>
    <w:p w:rsidR="00F85D99" w:rsidRPr="00E106BD" w:rsidRDefault="002F779E" w:rsidP="004E4760">
      <w:pPr>
        <w:pStyle w:val="paragraphsub"/>
      </w:pPr>
      <w:r w:rsidRPr="00E106BD">
        <w:rPr>
          <w:szCs w:val="24"/>
        </w:rPr>
        <w:tab/>
      </w:r>
      <w:r w:rsidR="00F85D99" w:rsidRPr="00E106BD">
        <w:rPr>
          <w:szCs w:val="24"/>
        </w:rPr>
        <w:t>(i)</w:t>
      </w:r>
      <w:r w:rsidR="00F85D99" w:rsidRPr="00E106BD">
        <w:rPr>
          <w:szCs w:val="24"/>
        </w:rPr>
        <w:tab/>
        <w:t xml:space="preserve">if the </w:t>
      </w:r>
      <w:r w:rsidR="00F85D99" w:rsidRPr="00E106BD">
        <w:rPr>
          <w:color w:val="000000"/>
          <w:szCs w:val="24"/>
        </w:rPr>
        <w:t>circumstances</w:t>
      </w:r>
      <w:r w:rsidR="00F85D99" w:rsidRPr="00E106BD">
        <w:rPr>
          <w:szCs w:val="24"/>
        </w:rPr>
        <w:t xml:space="preserve"> permit a course of up to a maximum of 24 weeks of treatment to be authorised—up to 5 repeat supplies.</w:t>
      </w:r>
    </w:p>
    <w:p w:rsidR="00F85D99" w:rsidRPr="00E106BD" w:rsidRDefault="002F779E" w:rsidP="004E4760">
      <w:pPr>
        <w:pStyle w:val="paragraph"/>
      </w:pPr>
      <w:r w:rsidRPr="00E106BD">
        <w:rPr>
          <w:szCs w:val="24"/>
        </w:rPr>
        <w:tab/>
      </w:r>
      <w:r w:rsidR="00F85D99" w:rsidRPr="00E106BD">
        <w:rPr>
          <w:szCs w:val="24"/>
        </w:rPr>
        <w:t>(x)</w:t>
      </w:r>
      <w:r w:rsidR="00F85D99" w:rsidRPr="00E106BD">
        <w:rPr>
          <w:szCs w:val="24"/>
        </w:rPr>
        <w:tab/>
        <w:t>for eltrombopag for initial PBS</w:t>
      </w:r>
      <w:r w:rsidR="00E106BD">
        <w:rPr>
          <w:szCs w:val="24"/>
        </w:rPr>
        <w:noBreakHyphen/>
      </w:r>
      <w:r w:rsidR="00F85D99" w:rsidRPr="00E106BD">
        <w:rPr>
          <w:szCs w:val="24"/>
        </w:rPr>
        <w:t>subsidised treatment of severe thrombocytopenia as the sole PBS</w:t>
      </w:r>
      <w:r w:rsidR="00E106BD">
        <w:rPr>
          <w:szCs w:val="24"/>
        </w:rPr>
        <w:noBreakHyphen/>
      </w:r>
      <w:r w:rsidR="00F85D99" w:rsidRPr="00E106BD">
        <w:rPr>
          <w:szCs w:val="24"/>
        </w:rPr>
        <w:t>subsidised thrombopoetin receptor agonist (TRA) in an adult with severe chronic immune (</w:t>
      </w:r>
      <w:r w:rsidR="00F85D99" w:rsidRPr="00E106BD">
        <w:t>idiopathic</w:t>
      </w:r>
      <w:r w:rsidR="00F85D99" w:rsidRPr="00E106BD">
        <w:rPr>
          <w:szCs w:val="24"/>
        </w:rPr>
        <w:t>) thrombocytopenic purpura (ITP) who was receiving treatment with eltrombopag prior to 1</w:t>
      </w:r>
      <w:r w:rsidR="00E106BD">
        <w:rPr>
          <w:szCs w:val="24"/>
        </w:rPr>
        <w:t> </w:t>
      </w:r>
      <w:r w:rsidR="00F85D99" w:rsidRPr="00E106BD">
        <w:rPr>
          <w:szCs w:val="24"/>
        </w:rPr>
        <w:t>November 2011 and in whom the criteria for initial treatment in the circumstances can be demonstrated to have been met at the time his or her treatment with eltrombopag was commenced:</w:t>
      </w:r>
    </w:p>
    <w:p w:rsidR="00F85D99" w:rsidRPr="00E106BD" w:rsidRDefault="002F779E" w:rsidP="004E4760">
      <w:pPr>
        <w:pStyle w:val="paragraphsub"/>
      </w:pPr>
      <w:r w:rsidRPr="00E106BD">
        <w:rPr>
          <w:szCs w:val="24"/>
        </w:rPr>
        <w:tab/>
      </w:r>
      <w:r w:rsidR="00F85D99" w:rsidRPr="00E106BD">
        <w:rPr>
          <w:szCs w:val="24"/>
        </w:rPr>
        <w:t>(i)</w:t>
      </w:r>
      <w:r w:rsidR="00F85D99" w:rsidRPr="00E106BD">
        <w:rPr>
          <w:szCs w:val="24"/>
        </w:rPr>
        <w:tab/>
        <w:t>if the circumstances permit a course of up to a maximum of 24 weeks of treatment to be authorised—up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(y)</w:t>
      </w:r>
      <w:r w:rsidR="00F85D99" w:rsidRPr="00E106BD">
        <w:rPr>
          <w:color w:val="000000"/>
          <w:szCs w:val="24"/>
        </w:rPr>
        <w:tab/>
        <w:t>for eltrombopag for the first period of continuing treatment or re</w:t>
      </w:r>
      <w:r w:rsidR="00E106BD">
        <w:rPr>
          <w:color w:val="000000"/>
          <w:szCs w:val="24"/>
        </w:rPr>
        <w:noBreakHyphen/>
      </w:r>
      <w:r w:rsidR="00F85D99" w:rsidRPr="00E106BD">
        <w:rPr>
          <w:color w:val="000000"/>
          <w:szCs w:val="24"/>
        </w:rPr>
        <w:t>initiation of interrupted PBS</w:t>
      </w:r>
      <w:r w:rsidR="00E106BD">
        <w:rPr>
          <w:color w:val="000000"/>
          <w:szCs w:val="24"/>
        </w:rPr>
        <w:noBreakHyphen/>
      </w:r>
      <w:r w:rsidR="00F85D99" w:rsidRPr="00E106BD">
        <w:rPr>
          <w:color w:val="000000"/>
          <w:szCs w:val="24"/>
        </w:rPr>
        <w:t>subsidised treatment of severe thrombocytopenia as the sole PBS</w:t>
      </w:r>
      <w:r w:rsidR="00E106BD">
        <w:rPr>
          <w:color w:val="000000"/>
          <w:szCs w:val="24"/>
        </w:rPr>
        <w:noBreakHyphen/>
      </w:r>
      <w:r w:rsidR="00F85D99" w:rsidRPr="00E106BD">
        <w:rPr>
          <w:color w:val="000000"/>
          <w:szCs w:val="24"/>
        </w:rPr>
        <w:t xml:space="preserve">subsidised thrombopoetin receptor </w:t>
      </w:r>
      <w:r w:rsidR="00F85D99" w:rsidRPr="00E106BD">
        <w:rPr>
          <w:szCs w:val="24"/>
        </w:rPr>
        <w:t>agonist</w:t>
      </w:r>
      <w:r w:rsidR="00F85D99" w:rsidRPr="00E106BD">
        <w:rPr>
          <w:color w:val="000000"/>
          <w:szCs w:val="24"/>
        </w:rPr>
        <w:t xml:space="preserve"> (TRA) in an adult with severe chronic immune (idiopathic) thrombocytopenic purpure (ITP) who has displayed a sustained platelet response to treatment with eltrombopag during the initial period of PBS</w:t>
      </w:r>
      <w:r w:rsidR="00E106BD">
        <w:rPr>
          <w:color w:val="000000"/>
          <w:szCs w:val="24"/>
        </w:rPr>
        <w:noBreakHyphen/>
      </w:r>
      <w:r w:rsidR="00F85D99" w:rsidRPr="00E106BD">
        <w:rPr>
          <w:color w:val="000000"/>
          <w:szCs w:val="24"/>
        </w:rPr>
        <w:t>subsidised treatment:</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if the circumstances permit a course of up to a maximum of 24 weeks of treatment to be authorised—up to 5 repeat supplies;</w:t>
      </w:r>
    </w:p>
    <w:p w:rsidR="00F85D99" w:rsidRPr="00E106BD" w:rsidRDefault="002F779E" w:rsidP="004E4760">
      <w:pPr>
        <w:pStyle w:val="paragraphsub"/>
      </w:pPr>
      <w:r w:rsidRPr="00E106BD">
        <w:rPr>
          <w:szCs w:val="24"/>
        </w:rPr>
        <w:tab/>
      </w:r>
      <w:r w:rsidR="00F85D99" w:rsidRPr="00E106BD">
        <w:rPr>
          <w:szCs w:val="24"/>
        </w:rPr>
        <w:t>(ii)</w:t>
      </w:r>
      <w:r w:rsidR="00F85D99" w:rsidRPr="00E106BD">
        <w:rPr>
          <w:szCs w:val="24"/>
        </w:rPr>
        <w:tab/>
        <w:t>where less than</w:t>
      </w:r>
      <w:r w:rsidR="00F85D99" w:rsidRPr="00E106BD">
        <w:t xml:space="preserve"> 5 repeat supplies are requested in the initial written authority application—sufficient repeat supplies to complete a maximum of 24 weeks treatment.</w:t>
      </w:r>
    </w:p>
    <w:p w:rsidR="00F85D99" w:rsidRPr="00E106BD" w:rsidRDefault="002F779E" w:rsidP="004E4760">
      <w:pPr>
        <w:pStyle w:val="paragraph"/>
        <w:rPr>
          <w:color w:val="000000"/>
          <w:szCs w:val="24"/>
        </w:rPr>
      </w:pPr>
      <w:r w:rsidRPr="00E106BD">
        <w:rPr>
          <w:szCs w:val="24"/>
        </w:rPr>
        <w:tab/>
      </w:r>
      <w:r w:rsidR="00F85D99" w:rsidRPr="00E106BD">
        <w:rPr>
          <w:szCs w:val="24"/>
        </w:rPr>
        <w:t>(z)</w:t>
      </w:r>
      <w:r w:rsidR="00F85D99" w:rsidRPr="00E106BD">
        <w:rPr>
          <w:szCs w:val="24"/>
        </w:rPr>
        <w:tab/>
        <w:t>for eltrombopag for the second and subsequent periods of continuing treatment of severe thrombocytopenia as the sole PBS</w:t>
      </w:r>
      <w:r w:rsidR="00E106BD">
        <w:rPr>
          <w:szCs w:val="24"/>
        </w:rPr>
        <w:noBreakHyphen/>
      </w:r>
      <w:r w:rsidR="00F85D99" w:rsidRPr="00E106BD">
        <w:rPr>
          <w:szCs w:val="24"/>
        </w:rPr>
        <w:t xml:space="preserve">subsidised thrombopoetin receptor agonist (TRA) in an adult with severe </w:t>
      </w:r>
      <w:r w:rsidR="00F85D99" w:rsidRPr="00E106BD">
        <w:rPr>
          <w:color w:val="000000"/>
          <w:szCs w:val="24"/>
        </w:rPr>
        <w:t>chronic immune (idiopathic) thrombocytopenic purpure (ITP) who continues to display a sustained platelet response to treatment with eltrombopag—up to 5 repeat supplies.</w:t>
      </w:r>
    </w:p>
    <w:p w:rsidR="00F85D99" w:rsidRPr="00E106BD" w:rsidRDefault="002F779E" w:rsidP="004E4760">
      <w:pPr>
        <w:pStyle w:val="paragraph"/>
        <w:rPr>
          <w:color w:val="000000"/>
          <w:szCs w:val="24"/>
        </w:rPr>
      </w:pPr>
      <w:r w:rsidRPr="00E106BD">
        <w:rPr>
          <w:color w:val="000000"/>
          <w:szCs w:val="24"/>
        </w:rPr>
        <w:tab/>
      </w:r>
      <w:r w:rsidR="00F85D99" w:rsidRPr="00E106BD">
        <w:rPr>
          <w:color w:val="000000"/>
          <w:szCs w:val="24"/>
        </w:rPr>
        <w:t>(za)</w:t>
      </w:r>
      <w:r w:rsidR="00F85D99" w:rsidRPr="00E106BD">
        <w:rPr>
          <w:color w:val="000000"/>
          <w:szCs w:val="24"/>
        </w:rPr>
        <w:tab/>
        <w:t>for tocilizumab, for the treatment of patients with severe active systemic juvenile idiopathic arthritis:</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if the circumstances permit a course of up to a maximum of 16 weeks of treatment to be authorised—up to 3 repeat supplies;</w:t>
      </w:r>
    </w:p>
    <w:p w:rsidR="00F85D99" w:rsidRPr="00E106BD" w:rsidRDefault="002F779E" w:rsidP="004E4760">
      <w:pPr>
        <w:pStyle w:val="paragraphsub"/>
      </w:pPr>
      <w:r w:rsidRPr="00E106BD">
        <w:rPr>
          <w:szCs w:val="24"/>
        </w:rPr>
        <w:tab/>
      </w:r>
      <w:r w:rsidR="00F85D99" w:rsidRPr="00E106BD">
        <w:rPr>
          <w:szCs w:val="24"/>
        </w:rPr>
        <w:t>(ii)</w:t>
      </w:r>
      <w:r w:rsidR="00F85D99" w:rsidRPr="00E106BD">
        <w:rPr>
          <w:szCs w:val="24"/>
        </w:rPr>
        <w:tab/>
        <w:t>If the circumstances</w:t>
      </w:r>
      <w:r w:rsidR="00F85D99" w:rsidRPr="00E106BD">
        <w:t xml:space="preserve"> permit a course of up to a maximum of 24 weeks of treatment to be authorised—up to 5 repeat supplies.</w:t>
      </w:r>
    </w:p>
    <w:p w:rsidR="00A05559" w:rsidRPr="00E106BD" w:rsidRDefault="00A05559" w:rsidP="00A05559">
      <w:pPr>
        <w:pStyle w:val="paragraph"/>
        <w:rPr>
          <w:color w:val="000000"/>
          <w:szCs w:val="24"/>
        </w:rPr>
      </w:pPr>
      <w:r w:rsidRPr="00E106BD">
        <w:rPr>
          <w:color w:val="000000"/>
          <w:szCs w:val="24"/>
        </w:rPr>
        <w:tab/>
        <w:t>(zb)</w:t>
      </w:r>
      <w:r w:rsidRPr="00E106BD">
        <w:rPr>
          <w:color w:val="000000"/>
          <w:szCs w:val="24"/>
        </w:rPr>
        <w:tab/>
      </w:r>
      <w:r w:rsidRPr="00E106BD">
        <w:rPr>
          <w:szCs w:val="22"/>
        </w:rPr>
        <w:t>for riociguat, for the treatment of Chronic thromboembolic pulmonary hypertension (CTEPH):</w:t>
      </w:r>
    </w:p>
    <w:p w:rsidR="00A05559" w:rsidRPr="00E106BD" w:rsidRDefault="00A05559" w:rsidP="00A05559">
      <w:pPr>
        <w:pStyle w:val="paragraphsub"/>
      </w:pPr>
      <w:r w:rsidRPr="00E106BD">
        <w:rPr>
          <w:szCs w:val="24"/>
        </w:rPr>
        <w:tab/>
        <w:t>(ii)</w:t>
      </w:r>
      <w:r w:rsidRPr="00E106BD">
        <w:rPr>
          <w:szCs w:val="24"/>
        </w:rPr>
        <w:tab/>
      </w:r>
      <w:r w:rsidRPr="00E106BD">
        <w:rPr>
          <w:szCs w:val="22"/>
        </w:rPr>
        <w:t>for initial treatment</w:t>
      </w:r>
      <w:r w:rsidRPr="00E106BD">
        <w:t>—</w:t>
      </w:r>
      <w:r w:rsidRPr="00E106BD">
        <w:rPr>
          <w:szCs w:val="22"/>
        </w:rPr>
        <w:t>up to 3 repeat supplies.</w:t>
      </w:r>
    </w:p>
    <w:p w:rsidR="00A05559" w:rsidRPr="00E106BD" w:rsidRDefault="00A05559" w:rsidP="004E4760">
      <w:pPr>
        <w:pStyle w:val="paragraphsub"/>
        <w:rPr>
          <w:szCs w:val="22"/>
        </w:rPr>
      </w:pPr>
      <w:r w:rsidRPr="00E106BD">
        <w:rPr>
          <w:szCs w:val="24"/>
        </w:rPr>
        <w:tab/>
        <w:t>(iii)</w:t>
      </w:r>
      <w:r w:rsidRPr="00E106BD">
        <w:rPr>
          <w:szCs w:val="24"/>
        </w:rPr>
        <w:tab/>
      </w:r>
      <w:r w:rsidRPr="00E106BD">
        <w:rPr>
          <w:szCs w:val="22"/>
        </w:rPr>
        <w:t>for continuing treatment</w:t>
      </w:r>
      <w:r w:rsidRPr="00E106BD">
        <w:t>—</w:t>
      </w:r>
      <w:r w:rsidRPr="00E106BD">
        <w:rPr>
          <w:szCs w:val="22"/>
        </w:rPr>
        <w:t>up to 5 repeat supplies.</w:t>
      </w:r>
    </w:p>
    <w:p w:rsidR="00787919" w:rsidRPr="00E106BD" w:rsidRDefault="00787919" w:rsidP="00364E8E">
      <w:pPr>
        <w:pStyle w:val="paragraph"/>
        <w:rPr>
          <w:color w:val="000000"/>
          <w:szCs w:val="24"/>
        </w:rPr>
      </w:pPr>
      <w:r w:rsidRPr="00E106BD">
        <w:rPr>
          <w:color w:val="000000"/>
          <w:szCs w:val="24"/>
        </w:rPr>
        <w:tab/>
        <w:t>(zc)</w:t>
      </w:r>
      <w:r w:rsidRPr="00E106BD">
        <w:rPr>
          <w:color w:val="000000"/>
          <w:szCs w:val="24"/>
        </w:rPr>
        <w:tab/>
        <w:t>for riociguat, for the treatment of Pulmonary arterial hypertension (PAH):</w:t>
      </w:r>
    </w:p>
    <w:p w:rsidR="00787919" w:rsidRPr="00E106BD" w:rsidRDefault="00787919" w:rsidP="00364E8E">
      <w:pPr>
        <w:pStyle w:val="paragraphsub"/>
        <w:rPr>
          <w:szCs w:val="24"/>
        </w:rPr>
      </w:pPr>
      <w:r w:rsidRPr="00E106BD">
        <w:rPr>
          <w:szCs w:val="24"/>
        </w:rPr>
        <w:tab/>
        <w:t>(i)</w:t>
      </w:r>
      <w:r w:rsidRPr="00E106BD">
        <w:rPr>
          <w:szCs w:val="24"/>
        </w:rPr>
        <w:tab/>
        <w:t>for Initial 1 (new patients), Initial 2 (new patients) and Initial 3 (change or re</w:t>
      </w:r>
      <w:r w:rsidR="00E106BD">
        <w:rPr>
          <w:szCs w:val="24"/>
        </w:rPr>
        <w:noBreakHyphen/>
      </w:r>
      <w:r w:rsidRPr="00E106BD">
        <w:rPr>
          <w:szCs w:val="24"/>
        </w:rPr>
        <w:t>commencement of therapy for all patients) – up to 4 repeat supplies.</w:t>
      </w:r>
    </w:p>
    <w:p w:rsidR="00787919" w:rsidRPr="00E106BD" w:rsidRDefault="00787919" w:rsidP="00364E8E">
      <w:pPr>
        <w:pStyle w:val="paragraphsub"/>
        <w:rPr>
          <w:szCs w:val="24"/>
        </w:rPr>
      </w:pPr>
      <w:r w:rsidRPr="00E106BD">
        <w:rPr>
          <w:szCs w:val="24"/>
        </w:rPr>
        <w:tab/>
        <w:t>(ii)</w:t>
      </w:r>
      <w:r w:rsidRPr="00E106BD">
        <w:rPr>
          <w:szCs w:val="24"/>
        </w:rPr>
        <w:tab/>
        <w:t>for First Continuing treatment and Subsequent Continuing treatment – up to 5 repeat supplies.</w:t>
      </w:r>
    </w:p>
    <w:p w:rsidR="00CD130E" w:rsidRPr="00E106BD" w:rsidRDefault="00CD130E" w:rsidP="00F91AB2">
      <w:pPr>
        <w:pStyle w:val="paragraph"/>
        <w:rPr>
          <w:szCs w:val="22"/>
        </w:rPr>
      </w:pPr>
      <w:r w:rsidRPr="00E106BD">
        <w:rPr>
          <w:color w:val="000000"/>
          <w:szCs w:val="24"/>
        </w:rPr>
        <w:tab/>
        <w:t>(zd)</w:t>
      </w:r>
      <w:r w:rsidRPr="00E106BD">
        <w:rPr>
          <w:color w:val="000000"/>
          <w:szCs w:val="24"/>
        </w:rPr>
        <w:tab/>
      </w:r>
      <w:r w:rsidRPr="00E106BD">
        <w:rPr>
          <w:szCs w:val="22"/>
        </w:rPr>
        <w:t>for pasireotide—up to 5 repeat supplies.</w:t>
      </w:r>
    </w:p>
    <w:p w:rsidR="00B4164A" w:rsidRPr="00E106BD" w:rsidRDefault="00B4164A" w:rsidP="00F11830">
      <w:pPr>
        <w:pStyle w:val="paragraph"/>
        <w:rPr>
          <w:color w:val="000000"/>
          <w:szCs w:val="24"/>
        </w:rPr>
      </w:pPr>
      <w:r w:rsidRPr="00E106BD">
        <w:rPr>
          <w:color w:val="000000"/>
          <w:szCs w:val="24"/>
        </w:rPr>
        <w:tab/>
        <w:t>(ze)</w:t>
      </w:r>
      <w:r w:rsidRPr="00E106BD">
        <w:rPr>
          <w:color w:val="000000"/>
          <w:szCs w:val="24"/>
        </w:rPr>
        <w:tab/>
        <w:t>for pegvisomant:</w:t>
      </w:r>
    </w:p>
    <w:p w:rsidR="00B4164A" w:rsidRPr="00E106BD" w:rsidRDefault="00B4164A" w:rsidP="00F11830">
      <w:pPr>
        <w:pStyle w:val="paragraphsub"/>
        <w:rPr>
          <w:szCs w:val="24"/>
        </w:rPr>
      </w:pPr>
      <w:r w:rsidRPr="00E106BD">
        <w:rPr>
          <w:szCs w:val="24"/>
        </w:rPr>
        <w:tab/>
        <w:t>(i)</w:t>
      </w:r>
      <w:r w:rsidRPr="00E106BD">
        <w:rPr>
          <w:szCs w:val="24"/>
        </w:rPr>
        <w:tab/>
        <w:t>for initial treatment, for the 80 mg loading dose—0 repeat supplies;</w:t>
      </w:r>
    </w:p>
    <w:p w:rsidR="00B4164A" w:rsidRPr="00E106BD" w:rsidRDefault="00B4164A" w:rsidP="00F11830">
      <w:pPr>
        <w:pStyle w:val="paragraphsub"/>
        <w:rPr>
          <w:szCs w:val="24"/>
        </w:rPr>
      </w:pPr>
      <w:r w:rsidRPr="00E106BD">
        <w:rPr>
          <w:szCs w:val="24"/>
        </w:rPr>
        <w:tab/>
        <w:t>(ii)</w:t>
      </w:r>
      <w:r w:rsidRPr="00E106BD">
        <w:rPr>
          <w:szCs w:val="24"/>
        </w:rPr>
        <w:tab/>
        <w:t>for intitial treatment (subsequent doses)—up to 5 repeat supplies;</w:t>
      </w:r>
    </w:p>
    <w:p w:rsidR="00B4164A" w:rsidRPr="00E106BD" w:rsidRDefault="00B4164A" w:rsidP="00F11830">
      <w:pPr>
        <w:pStyle w:val="paragraphsub"/>
        <w:rPr>
          <w:szCs w:val="24"/>
        </w:rPr>
      </w:pPr>
      <w:r w:rsidRPr="00E106BD">
        <w:rPr>
          <w:szCs w:val="24"/>
        </w:rPr>
        <w:tab/>
        <w:t>(iii)</w:t>
      </w:r>
      <w:r w:rsidRPr="00E106BD">
        <w:rPr>
          <w:szCs w:val="24"/>
        </w:rPr>
        <w:tab/>
        <w:t>for initial PBS</w:t>
      </w:r>
      <w:r w:rsidR="00E106BD">
        <w:rPr>
          <w:szCs w:val="24"/>
        </w:rPr>
        <w:noBreakHyphen/>
      </w:r>
      <w:r w:rsidRPr="00E106BD">
        <w:rPr>
          <w:szCs w:val="24"/>
        </w:rPr>
        <w:t>subsidised treatment in a patient who has previously received non</w:t>
      </w:r>
      <w:r w:rsidR="00E106BD">
        <w:rPr>
          <w:szCs w:val="24"/>
        </w:rPr>
        <w:noBreakHyphen/>
      </w:r>
      <w:r w:rsidRPr="00E106BD">
        <w:rPr>
          <w:szCs w:val="24"/>
        </w:rPr>
        <w:t>PBS</w:t>
      </w:r>
      <w:r w:rsidR="00E106BD">
        <w:rPr>
          <w:szCs w:val="24"/>
        </w:rPr>
        <w:noBreakHyphen/>
      </w:r>
      <w:r w:rsidRPr="00E106BD">
        <w:rPr>
          <w:szCs w:val="24"/>
        </w:rPr>
        <w:t>subsidised therapy with pegvisomant—up to 5 repeat supplies;</w:t>
      </w:r>
    </w:p>
    <w:p w:rsidR="00B4164A" w:rsidRPr="00E106BD" w:rsidRDefault="00B4164A" w:rsidP="00F11830">
      <w:pPr>
        <w:pStyle w:val="paragraphsub"/>
        <w:rPr>
          <w:szCs w:val="24"/>
        </w:rPr>
      </w:pPr>
      <w:r w:rsidRPr="00E106BD">
        <w:rPr>
          <w:szCs w:val="24"/>
        </w:rPr>
        <w:tab/>
        <w:t>(iv)</w:t>
      </w:r>
      <w:r w:rsidRPr="00E106BD">
        <w:rPr>
          <w:szCs w:val="24"/>
        </w:rPr>
        <w:tab/>
        <w:t>for continuing treatment—up to 5 repeat supplies.</w:t>
      </w:r>
    </w:p>
    <w:p w:rsidR="00CB7180" w:rsidRPr="00E106BD" w:rsidRDefault="00CB7180" w:rsidP="00CB7180">
      <w:pPr>
        <w:pStyle w:val="paragraph"/>
        <w:rPr>
          <w:color w:val="000000"/>
          <w:szCs w:val="24"/>
        </w:rPr>
      </w:pPr>
      <w:r w:rsidRPr="00E106BD">
        <w:rPr>
          <w:color w:val="000000"/>
          <w:szCs w:val="24"/>
        </w:rPr>
        <w:tab/>
        <w:t>(zf)</w:t>
      </w:r>
      <w:r w:rsidRPr="00E106BD">
        <w:rPr>
          <w:color w:val="000000"/>
          <w:szCs w:val="24"/>
        </w:rPr>
        <w:tab/>
      </w:r>
      <w:r w:rsidRPr="00E106BD">
        <w:t>for ustekinumab:</w:t>
      </w:r>
    </w:p>
    <w:p w:rsidR="00CB7180" w:rsidRPr="00E106BD" w:rsidRDefault="00CB7180" w:rsidP="00CB7180">
      <w:pPr>
        <w:pStyle w:val="paragraphsub"/>
        <w:rPr>
          <w:szCs w:val="24"/>
        </w:rPr>
      </w:pPr>
      <w:r w:rsidRPr="00E106BD">
        <w:rPr>
          <w:szCs w:val="24"/>
        </w:rPr>
        <w:tab/>
        <w:t>(i)</w:t>
      </w:r>
      <w:r w:rsidRPr="00E106BD">
        <w:rPr>
          <w:szCs w:val="24"/>
        </w:rPr>
        <w:tab/>
      </w:r>
      <w:r w:rsidRPr="00E106BD">
        <w:t>for initial treatment, for a weight</w:t>
      </w:r>
      <w:r w:rsidR="00E106BD">
        <w:noBreakHyphen/>
      </w:r>
      <w:r w:rsidRPr="00E106BD">
        <w:t>based loading dose—0 repeat supplies;</w:t>
      </w:r>
    </w:p>
    <w:p w:rsidR="003C4F09" w:rsidRPr="00E106BD" w:rsidRDefault="00CB7180" w:rsidP="003C4F09">
      <w:pPr>
        <w:pStyle w:val="paragraphsub"/>
        <w:rPr>
          <w:szCs w:val="24"/>
        </w:rPr>
      </w:pPr>
      <w:r w:rsidRPr="00E106BD">
        <w:rPr>
          <w:szCs w:val="24"/>
        </w:rPr>
        <w:tab/>
        <w:t>(ii)</w:t>
      </w:r>
      <w:r w:rsidRPr="00E106BD">
        <w:rPr>
          <w:szCs w:val="24"/>
        </w:rPr>
        <w:tab/>
      </w:r>
      <w:r w:rsidRPr="00E106BD">
        <w:t>for a change or re</w:t>
      </w:r>
      <w:r w:rsidR="00E106BD">
        <w:noBreakHyphen/>
      </w:r>
      <w:r w:rsidRPr="00E106BD">
        <w:t>commencement of treatment, for a weight</w:t>
      </w:r>
      <w:r w:rsidR="00E106BD">
        <w:noBreakHyphen/>
      </w:r>
      <w:r w:rsidRPr="00E106BD">
        <w:t>based loading dose——0 repeat supplies.</w:t>
      </w:r>
    </w:p>
    <w:p w:rsidR="003C4F09" w:rsidRPr="00E106BD" w:rsidRDefault="003C4F09" w:rsidP="00267E76">
      <w:pPr>
        <w:pStyle w:val="paragraph"/>
        <w:rPr>
          <w:szCs w:val="22"/>
        </w:rPr>
      </w:pPr>
      <w:r w:rsidRPr="00E106BD">
        <w:rPr>
          <w:szCs w:val="22"/>
        </w:rPr>
        <w:tab/>
        <w:t>(zg)</w:t>
      </w:r>
      <w:r w:rsidRPr="00E106BD">
        <w:rPr>
          <w:szCs w:val="22"/>
        </w:rPr>
        <w:tab/>
        <w:t>for vedolizumab, for the treatment of severe Crohn disease:</w:t>
      </w:r>
    </w:p>
    <w:p w:rsidR="003C4F09" w:rsidRPr="00E106BD" w:rsidRDefault="003C4F09" w:rsidP="00267E76">
      <w:pPr>
        <w:pStyle w:val="paragraphsub"/>
        <w:rPr>
          <w:szCs w:val="22"/>
        </w:rPr>
      </w:pPr>
      <w:r w:rsidRPr="00E106BD">
        <w:rPr>
          <w:szCs w:val="22"/>
        </w:rPr>
        <w:tab/>
        <w:t>(i)</w:t>
      </w:r>
      <w:r w:rsidRPr="00E106BD">
        <w:rPr>
          <w:szCs w:val="22"/>
        </w:rPr>
        <w:tab/>
        <w:t>for initial treatment (new patient – initial 1)—up to 2 repeat supplies;</w:t>
      </w:r>
    </w:p>
    <w:p w:rsidR="003C4F09" w:rsidRPr="00E106BD" w:rsidRDefault="003C4F09" w:rsidP="00267E76">
      <w:pPr>
        <w:pStyle w:val="paragraphsub"/>
        <w:rPr>
          <w:szCs w:val="22"/>
        </w:rPr>
      </w:pPr>
      <w:r w:rsidRPr="00E106BD">
        <w:rPr>
          <w:szCs w:val="22"/>
        </w:rPr>
        <w:tab/>
        <w:t>(ii)</w:t>
      </w:r>
      <w:r w:rsidRPr="00E106BD">
        <w:rPr>
          <w:szCs w:val="22"/>
        </w:rPr>
        <w:tab/>
        <w:t>for a change or re</w:t>
      </w:r>
      <w:r w:rsidR="00E106BD">
        <w:rPr>
          <w:szCs w:val="22"/>
        </w:rPr>
        <w:noBreakHyphen/>
      </w:r>
      <w:r w:rsidRPr="00E106BD">
        <w:rPr>
          <w:szCs w:val="22"/>
        </w:rPr>
        <w:t>commencement of treatment (initial 2)—up to 2 repeat supplies;</w:t>
      </w:r>
    </w:p>
    <w:p w:rsidR="003C4F09" w:rsidRPr="00E106BD" w:rsidRDefault="003C4F09" w:rsidP="00267E76">
      <w:pPr>
        <w:pStyle w:val="paragraphsub"/>
        <w:rPr>
          <w:szCs w:val="22"/>
        </w:rPr>
      </w:pPr>
      <w:r w:rsidRPr="00E106BD">
        <w:rPr>
          <w:szCs w:val="22"/>
        </w:rPr>
        <w:tab/>
        <w:t>(iii)</w:t>
      </w:r>
      <w:r w:rsidRPr="00E106BD">
        <w:rPr>
          <w:szCs w:val="22"/>
        </w:rPr>
        <w:tab/>
        <w:t>for initial PBS</w:t>
      </w:r>
      <w:r w:rsidR="00E106BD">
        <w:rPr>
          <w:szCs w:val="22"/>
        </w:rPr>
        <w:noBreakHyphen/>
      </w:r>
      <w:r w:rsidRPr="00E106BD">
        <w:rPr>
          <w:szCs w:val="22"/>
        </w:rPr>
        <w:t>subsidised treatment (grandfather)—up to 2 repeat supplies;</w:t>
      </w:r>
    </w:p>
    <w:p w:rsidR="003C4F09" w:rsidRPr="00E106BD" w:rsidRDefault="003C4F09" w:rsidP="003C4F09">
      <w:pPr>
        <w:pStyle w:val="paragraphsub"/>
        <w:rPr>
          <w:szCs w:val="22"/>
        </w:rPr>
      </w:pPr>
      <w:r w:rsidRPr="00E106BD">
        <w:rPr>
          <w:szCs w:val="22"/>
        </w:rPr>
        <w:tab/>
        <w:t>(iv)</w:t>
      </w:r>
      <w:r w:rsidRPr="00E106BD">
        <w:rPr>
          <w:szCs w:val="22"/>
        </w:rPr>
        <w:tab/>
        <w:t>for continuing treatment—up to 2 repeat supplies.</w:t>
      </w:r>
    </w:p>
    <w:p w:rsidR="003C4F09" w:rsidRPr="00E106BD" w:rsidRDefault="003C4F09" w:rsidP="00267E76">
      <w:pPr>
        <w:pStyle w:val="paragraph"/>
        <w:rPr>
          <w:szCs w:val="22"/>
        </w:rPr>
      </w:pPr>
      <w:r w:rsidRPr="00E106BD">
        <w:rPr>
          <w:szCs w:val="22"/>
        </w:rPr>
        <w:tab/>
        <w:t>(zh)</w:t>
      </w:r>
      <w:r w:rsidRPr="00E106BD">
        <w:rPr>
          <w:szCs w:val="22"/>
        </w:rPr>
        <w:tab/>
        <w:t>for vedolizumab, for the treatment of moderate to severe ulcerative colitis:</w:t>
      </w:r>
    </w:p>
    <w:p w:rsidR="003C4F09" w:rsidRPr="00E106BD" w:rsidRDefault="003C4F09" w:rsidP="003C4F09">
      <w:pPr>
        <w:pStyle w:val="paragraphsub"/>
        <w:rPr>
          <w:szCs w:val="22"/>
        </w:rPr>
      </w:pPr>
      <w:r w:rsidRPr="00E106BD">
        <w:rPr>
          <w:szCs w:val="22"/>
        </w:rPr>
        <w:tab/>
        <w:t>(i)</w:t>
      </w:r>
      <w:r w:rsidRPr="00E106BD">
        <w:rPr>
          <w:szCs w:val="22"/>
        </w:rPr>
        <w:tab/>
        <w:t>for initial treatment (new patient – initial 1)—up to 2 repeat supplies;</w:t>
      </w:r>
    </w:p>
    <w:p w:rsidR="003C4F09" w:rsidRPr="00E106BD" w:rsidRDefault="003C4F09" w:rsidP="003C4F09">
      <w:pPr>
        <w:pStyle w:val="paragraphsub"/>
        <w:rPr>
          <w:szCs w:val="22"/>
        </w:rPr>
      </w:pPr>
      <w:r w:rsidRPr="00E106BD">
        <w:rPr>
          <w:szCs w:val="22"/>
        </w:rPr>
        <w:tab/>
        <w:t>(ii)</w:t>
      </w:r>
      <w:r w:rsidRPr="00E106BD">
        <w:rPr>
          <w:szCs w:val="22"/>
        </w:rPr>
        <w:tab/>
        <w:t>for a change or re</w:t>
      </w:r>
      <w:r w:rsidR="00E106BD">
        <w:rPr>
          <w:szCs w:val="22"/>
        </w:rPr>
        <w:noBreakHyphen/>
      </w:r>
      <w:r w:rsidRPr="00E106BD">
        <w:rPr>
          <w:szCs w:val="22"/>
        </w:rPr>
        <w:t>commencement of treatment after a break in therapy (initial 2)—up to 2 repeat supplies;</w:t>
      </w:r>
    </w:p>
    <w:p w:rsidR="003C4F09" w:rsidRPr="00E106BD" w:rsidRDefault="003C4F09" w:rsidP="003C4F09">
      <w:pPr>
        <w:pStyle w:val="paragraphsub"/>
        <w:rPr>
          <w:szCs w:val="22"/>
        </w:rPr>
      </w:pPr>
      <w:r w:rsidRPr="00E106BD">
        <w:rPr>
          <w:szCs w:val="22"/>
        </w:rPr>
        <w:tab/>
        <w:t>(iii)</w:t>
      </w:r>
      <w:r w:rsidRPr="00E106BD">
        <w:rPr>
          <w:szCs w:val="22"/>
        </w:rPr>
        <w:tab/>
        <w:t>for initial PBS</w:t>
      </w:r>
      <w:r w:rsidR="00E106BD">
        <w:rPr>
          <w:szCs w:val="22"/>
        </w:rPr>
        <w:noBreakHyphen/>
      </w:r>
      <w:r w:rsidRPr="00E106BD">
        <w:rPr>
          <w:szCs w:val="22"/>
        </w:rPr>
        <w:t>subsidised treatment (grandfather patient)—up to 2 repeat supplies;</w:t>
      </w:r>
    </w:p>
    <w:p w:rsidR="003C4F09" w:rsidRPr="00E106BD" w:rsidRDefault="003C4F09" w:rsidP="00267E76">
      <w:pPr>
        <w:pStyle w:val="paragraphsub"/>
        <w:rPr>
          <w:szCs w:val="22"/>
        </w:rPr>
      </w:pPr>
      <w:r w:rsidRPr="00E106BD">
        <w:rPr>
          <w:szCs w:val="22"/>
        </w:rPr>
        <w:tab/>
        <w:t>(iv)</w:t>
      </w:r>
      <w:r w:rsidRPr="00E106BD">
        <w:rPr>
          <w:szCs w:val="22"/>
        </w:rPr>
        <w:tab/>
        <w:t>for continuing treatment—up to 2 repeat supplies.</w:t>
      </w:r>
    </w:p>
    <w:p w:rsidR="006F1FAB" w:rsidRPr="00E106BD" w:rsidRDefault="006F1FAB" w:rsidP="006F1FAB">
      <w:pPr>
        <w:pStyle w:val="paragraph"/>
        <w:rPr>
          <w:szCs w:val="22"/>
        </w:rPr>
      </w:pPr>
      <w:r w:rsidRPr="00E106BD">
        <w:rPr>
          <w:szCs w:val="22"/>
        </w:rPr>
        <w:tab/>
        <w:t>(zi)</w:t>
      </w:r>
      <w:r w:rsidRPr="00E106BD">
        <w:rPr>
          <w:szCs w:val="22"/>
        </w:rPr>
        <w:tab/>
        <w:t>for nusinersen, for the treatment of spinal muscular atrophy:</w:t>
      </w:r>
    </w:p>
    <w:p w:rsidR="006F1FAB" w:rsidRPr="00E106BD" w:rsidRDefault="006F1FAB" w:rsidP="006F1FAB">
      <w:pPr>
        <w:pStyle w:val="paragraphsub"/>
        <w:rPr>
          <w:szCs w:val="22"/>
        </w:rPr>
      </w:pPr>
      <w:r w:rsidRPr="00E106BD">
        <w:rPr>
          <w:szCs w:val="22"/>
        </w:rPr>
        <w:tab/>
        <w:t>(i)</w:t>
      </w:r>
      <w:r w:rsidRPr="00E106BD">
        <w:rPr>
          <w:szCs w:val="22"/>
        </w:rPr>
        <w:tab/>
        <w:t>for initial treatment loading doses —up to 1 x solution for injection 12 mg in 5 mL</w:t>
      </w:r>
    </w:p>
    <w:p w:rsidR="006F1FAB" w:rsidRPr="00E106BD" w:rsidRDefault="006F1FAB" w:rsidP="00267E76">
      <w:pPr>
        <w:pStyle w:val="paragraphsub"/>
        <w:rPr>
          <w:szCs w:val="22"/>
        </w:rPr>
      </w:pPr>
      <w:r w:rsidRPr="00E106BD">
        <w:rPr>
          <w:szCs w:val="22"/>
        </w:rPr>
        <w:tab/>
        <w:t>(ii)</w:t>
      </w:r>
      <w:r w:rsidRPr="00E106BD">
        <w:rPr>
          <w:szCs w:val="22"/>
        </w:rPr>
        <w:tab/>
        <w:t>for continuing treatment—up to 1 x solution for injection 12 mg in 5 mL</w:t>
      </w:r>
    </w:p>
    <w:p w:rsidR="00F85D99" w:rsidRPr="00E106BD" w:rsidRDefault="002F779E" w:rsidP="004E4760">
      <w:pPr>
        <w:pStyle w:val="subsection"/>
        <w:rPr>
          <w:szCs w:val="24"/>
        </w:rPr>
      </w:pPr>
      <w:r w:rsidRPr="00E106BD">
        <w:rPr>
          <w:szCs w:val="24"/>
        </w:rPr>
        <w:tab/>
      </w:r>
      <w:r w:rsidR="00F85D99" w:rsidRPr="00E106BD">
        <w:rPr>
          <w:szCs w:val="24"/>
        </w:rPr>
        <w:t>(3)</w:t>
      </w:r>
      <w:r w:rsidR="00F85D99" w:rsidRPr="00E106BD">
        <w:rPr>
          <w:szCs w:val="24"/>
        </w:rPr>
        <w:tab/>
        <w:t xml:space="preserve">In this section, </w:t>
      </w:r>
      <w:r w:rsidR="00F85D99" w:rsidRPr="00E106BD">
        <w:rPr>
          <w:b/>
          <w:i/>
          <w:szCs w:val="24"/>
        </w:rPr>
        <w:t>circumstances</w:t>
      </w:r>
      <w:r w:rsidR="00F85D99" w:rsidRPr="00E106BD">
        <w:rPr>
          <w:b/>
          <w:szCs w:val="24"/>
        </w:rPr>
        <w:t xml:space="preserve"> </w:t>
      </w:r>
      <w:r w:rsidR="00F85D99" w:rsidRPr="00E106BD">
        <w:rPr>
          <w:szCs w:val="24"/>
        </w:rPr>
        <w:t>means circumstances mentioned in Schedule</w:t>
      </w:r>
      <w:r w:rsidR="00E106BD">
        <w:rPr>
          <w:szCs w:val="24"/>
        </w:rPr>
        <w:t> </w:t>
      </w:r>
      <w:r w:rsidR="00F85D99" w:rsidRPr="00E106BD">
        <w:rPr>
          <w:szCs w:val="24"/>
        </w:rPr>
        <w:t>3 for the circumstances code mentioned in the column in Schedule</w:t>
      </w:r>
      <w:r w:rsidR="00E106BD">
        <w:rPr>
          <w:szCs w:val="24"/>
        </w:rPr>
        <w:t> </w:t>
      </w:r>
      <w:r w:rsidR="00F85D99" w:rsidRPr="00E106BD">
        <w:rPr>
          <w:szCs w:val="24"/>
        </w:rPr>
        <w:t>1 headed ‘Circumstances’ for the HSD pharmaceutical benefit that has the drug.</w:t>
      </w:r>
    </w:p>
    <w:p w:rsidR="00F6651B" w:rsidRPr="00E106BD" w:rsidRDefault="00F6651B" w:rsidP="00F477B4">
      <w:pPr>
        <w:pStyle w:val="ActHead5"/>
        <w:keepLines w:val="0"/>
      </w:pPr>
      <w:bookmarkStart w:id="38" w:name="_Toc53558967"/>
      <w:r w:rsidRPr="00E106BD">
        <w:rPr>
          <w:rStyle w:val="CharSectno"/>
        </w:rPr>
        <w:t>26</w:t>
      </w:r>
      <w:r w:rsidRPr="00E106BD">
        <w:t xml:space="preserve">  </w:t>
      </w:r>
      <w:r w:rsidR="00376D5A" w:rsidRPr="00E106BD">
        <w:t>Application of section</w:t>
      </w:r>
      <w:r w:rsidR="00E106BD">
        <w:t> </w:t>
      </w:r>
      <w:r w:rsidR="00376D5A" w:rsidRPr="00E106BD">
        <w:t>30 of the Regulations in relation to CAR drugs</w:t>
      </w:r>
      <w:bookmarkEnd w:id="38"/>
    </w:p>
    <w:p w:rsidR="00F6651B" w:rsidRPr="00E106BD" w:rsidRDefault="00F6651B" w:rsidP="004E4760">
      <w:pPr>
        <w:pStyle w:val="subsection"/>
      </w:pPr>
      <w:r w:rsidRPr="00E106BD">
        <w:rPr>
          <w:szCs w:val="24"/>
        </w:rPr>
        <w:tab/>
      </w:r>
      <w:r w:rsidRPr="00E106BD">
        <w:rPr>
          <w:szCs w:val="24"/>
        </w:rPr>
        <w:tab/>
      </w:r>
      <w:r w:rsidR="00376D5A" w:rsidRPr="00E106BD">
        <w:t>Section</w:t>
      </w:r>
      <w:r w:rsidR="00E106BD">
        <w:t> </w:t>
      </w:r>
      <w:r w:rsidR="00376D5A" w:rsidRPr="00E106BD">
        <w:t>30 of the Regulations does not apply in relation to a prescription for an HSD pharmaceutical benefit that has a CAR drug supplied under this Special Arrangement.</w:t>
      </w:r>
    </w:p>
    <w:p w:rsidR="00A869FA" w:rsidRPr="00E106BD" w:rsidRDefault="00295F4A" w:rsidP="004E4760">
      <w:pPr>
        <w:pStyle w:val="ActHead2"/>
        <w:keepNext w:val="0"/>
        <w:keepLines w:val="0"/>
        <w:pageBreakBefore/>
        <w:rPr>
          <w:color w:val="000000"/>
        </w:rPr>
      </w:pPr>
      <w:bookmarkStart w:id="39" w:name="_Toc53558968"/>
      <w:r w:rsidRPr="00E106BD">
        <w:rPr>
          <w:rStyle w:val="CharPartNo"/>
        </w:rPr>
        <w:t>Part</w:t>
      </w:r>
      <w:r w:rsidR="00E106BD">
        <w:rPr>
          <w:rStyle w:val="CharPartNo"/>
        </w:rPr>
        <w:t> </w:t>
      </w:r>
      <w:r w:rsidR="00A869FA" w:rsidRPr="00E106BD">
        <w:rPr>
          <w:rStyle w:val="CharPartNo"/>
        </w:rPr>
        <w:t>4</w:t>
      </w:r>
      <w:r w:rsidRPr="00E106BD">
        <w:rPr>
          <w:color w:val="000000"/>
        </w:rPr>
        <w:t>—</w:t>
      </w:r>
      <w:r w:rsidR="00A869FA" w:rsidRPr="00E106BD">
        <w:rPr>
          <w:rStyle w:val="CharPartText"/>
        </w:rPr>
        <w:t>Claiming procedures and payment amounts</w:t>
      </w:r>
      <w:bookmarkEnd w:id="39"/>
    </w:p>
    <w:p w:rsidR="00A869FA" w:rsidRPr="00E106BD" w:rsidRDefault="00295F4A" w:rsidP="004E4760">
      <w:pPr>
        <w:pStyle w:val="ActHead3"/>
        <w:keepNext w:val="0"/>
        <w:keepLines w:val="0"/>
        <w:rPr>
          <w:color w:val="000000"/>
        </w:rPr>
      </w:pPr>
      <w:bookmarkStart w:id="40" w:name="_Toc53558969"/>
      <w:r w:rsidRPr="00E106BD">
        <w:rPr>
          <w:rStyle w:val="CharDivNo"/>
        </w:rPr>
        <w:t>Division</w:t>
      </w:r>
      <w:r w:rsidR="00E106BD">
        <w:rPr>
          <w:rStyle w:val="CharDivNo"/>
        </w:rPr>
        <w:t> </w:t>
      </w:r>
      <w:r w:rsidR="00A869FA" w:rsidRPr="00E106BD">
        <w:rPr>
          <w:rStyle w:val="CharDivNo"/>
        </w:rPr>
        <w:t>2</w:t>
      </w:r>
      <w:r w:rsidRPr="00E106BD">
        <w:rPr>
          <w:color w:val="000000"/>
        </w:rPr>
        <w:t>—</w:t>
      </w:r>
      <w:r w:rsidR="00A869FA" w:rsidRPr="00E106BD">
        <w:rPr>
          <w:rStyle w:val="CharDivText"/>
        </w:rPr>
        <w:t>Modified section</w:t>
      </w:r>
      <w:r w:rsidR="00E106BD">
        <w:rPr>
          <w:rStyle w:val="CharDivText"/>
        </w:rPr>
        <w:t> </w:t>
      </w:r>
      <w:r w:rsidR="00A869FA" w:rsidRPr="00E106BD">
        <w:rPr>
          <w:rStyle w:val="CharDivText"/>
        </w:rPr>
        <w:t>99AAA claims by approved public hospitals</w:t>
      </w:r>
      <w:bookmarkEnd w:id="40"/>
    </w:p>
    <w:p w:rsidR="00A869FA" w:rsidRPr="00E106BD" w:rsidRDefault="00295F4A" w:rsidP="004E4760">
      <w:pPr>
        <w:pStyle w:val="ActHead4"/>
        <w:keepNext w:val="0"/>
        <w:keepLines w:val="0"/>
      </w:pPr>
      <w:bookmarkStart w:id="41" w:name="_Toc53558970"/>
      <w:r w:rsidRPr="00E106BD">
        <w:rPr>
          <w:rStyle w:val="CharSubdNo"/>
        </w:rPr>
        <w:t>Subdivision</w:t>
      </w:r>
      <w:r w:rsidR="00E106BD">
        <w:rPr>
          <w:rStyle w:val="CharSubdNo"/>
        </w:rPr>
        <w:t> </w:t>
      </w:r>
      <w:r w:rsidR="00A869FA" w:rsidRPr="00E106BD">
        <w:rPr>
          <w:rStyle w:val="CharSubdNo"/>
        </w:rPr>
        <w:t>1</w:t>
      </w:r>
      <w:r w:rsidRPr="00E106BD">
        <w:t>—</w:t>
      </w:r>
      <w:r w:rsidR="00A869FA" w:rsidRPr="00E106BD">
        <w:rPr>
          <w:rStyle w:val="CharSubdText"/>
        </w:rPr>
        <w:t>General requirements</w:t>
      </w:r>
      <w:bookmarkEnd w:id="41"/>
    </w:p>
    <w:p w:rsidR="00A869FA" w:rsidRPr="00E106BD" w:rsidRDefault="00A869FA" w:rsidP="004E4760">
      <w:pPr>
        <w:pStyle w:val="ActHead5"/>
        <w:keepNext w:val="0"/>
        <w:keepLines w:val="0"/>
      </w:pPr>
      <w:bookmarkStart w:id="42" w:name="_Toc53558971"/>
      <w:r w:rsidRPr="00E106BD">
        <w:rPr>
          <w:rStyle w:val="CharSectno"/>
        </w:rPr>
        <w:t>30</w:t>
      </w:r>
      <w:r w:rsidR="00295F4A" w:rsidRPr="00E106BD">
        <w:t xml:space="preserve">  </w:t>
      </w:r>
      <w:r w:rsidRPr="00E106BD">
        <w:t>How claims to be made</w:t>
      </w:r>
      <w:r w:rsidR="00295F4A" w:rsidRPr="00E106BD">
        <w:t>—</w:t>
      </w:r>
      <w:r w:rsidRPr="00E106BD">
        <w:t>modified section</w:t>
      </w:r>
      <w:r w:rsidR="00E106BD">
        <w:t> </w:t>
      </w:r>
      <w:r w:rsidRPr="00E106BD">
        <w:t>99AAA claiming</w:t>
      </w:r>
      <w:bookmarkEnd w:id="42"/>
    </w:p>
    <w:p w:rsidR="00A869FA" w:rsidRPr="00E106BD" w:rsidRDefault="00A869FA" w:rsidP="004E4760">
      <w:pPr>
        <w:pStyle w:val="subsection"/>
      </w:pPr>
      <w:r w:rsidRPr="00E106BD">
        <w:rPr>
          <w:color w:val="000000"/>
          <w:szCs w:val="24"/>
        </w:rPr>
        <w:tab/>
      </w:r>
      <w:r w:rsidRPr="00E106BD">
        <w:rPr>
          <w:color w:val="000000"/>
          <w:szCs w:val="24"/>
        </w:rPr>
        <w:tab/>
        <w:t>An approved hospital authority for a public hospital may make a claim for payment for the supply of an HSD pharmaceutical benefit in accordance with the rules made by the Minister under subsection</w:t>
      </w:r>
      <w:r w:rsidR="00E106BD">
        <w:rPr>
          <w:color w:val="000000"/>
          <w:szCs w:val="24"/>
        </w:rPr>
        <w:t> </w:t>
      </w:r>
      <w:r w:rsidRPr="00E106BD">
        <w:rPr>
          <w:color w:val="000000"/>
          <w:szCs w:val="24"/>
        </w:rPr>
        <w:t>99AAA</w:t>
      </w:r>
      <w:r w:rsidR="00B62F44" w:rsidRPr="00E106BD">
        <w:rPr>
          <w:szCs w:val="24"/>
        </w:rPr>
        <w:t>(</w:t>
      </w:r>
      <w:r w:rsidRPr="00E106BD">
        <w:rPr>
          <w:szCs w:val="24"/>
        </w:rPr>
        <w:t>8) of the Act, as modified by this Division.</w:t>
      </w:r>
    </w:p>
    <w:p w:rsidR="00A869FA" w:rsidRPr="00E106BD" w:rsidRDefault="00295F4A" w:rsidP="004E4760">
      <w:pPr>
        <w:pStyle w:val="notetext"/>
      </w:pPr>
      <w:r w:rsidRPr="00E106BD">
        <w:t>Note:</w:t>
      </w:r>
      <w:r w:rsidRPr="00E106BD">
        <w:tab/>
      </w:r>
      <w:r w:rsidR="00A869FA" w:rsidRPr="00E106BD">
        <w:t>An approved hospital authority for a public hospital that may make a modified section</w:t>
      </w:r>
      <w:r w:rsidR="00E106BD">
        <w:t> </w:t>
      </w:r>
      <w:r w:rsidR="00A869FA" w:rsidRPr="00E106BD">
        <w:t>99AAA claim may choose instead to make the claim in accordance with the rules made by the Minister under subsection</w:t>
      </w:r>
      <w:r w:rsidR="00E106BD">
        <w:t> </w:t>
      </w:r>
      <w:r w:rsidR="00A869FA" w:rsidRPr="00E106BD">
        <w:t>99AAA(8) of the Act.</w:t>
      </w:r>
    </w:p>
    <w:p w:rsidR="00A869FA" w:rsidRPr="00E106BD" w:rsidRDefault="00A869FA" w:rsidP="004E4760">
      <w:pPr>
        <w:pStyle w:val="ActHead5"/>
        <w:keepNext w:val="0"/>
        <w:keepLines w:val="0"/>
      </w:pPr>
      <w:bookmarkStart w:id="43" w:name="_Toc53558972"/>
      <w:r w:rsidRPr="00E106BD">
        <w:rPr>
          <w:rStyle w:val="CharSectno"/>
        </w:rPr>
        <w:t>31</w:t>
      </w:r>
      <w:r w:rsidR="00295F4A" w:rsidRPr="00E106BD">
        <w:t xml:space="preserve">  </w:t>
      </w:r>
      <w:r w:rsidRPr="00E106BD">
        <w:t>Limit on number of prescriptions in one claim</w:t>
      </w:r>
      <w:bookmarkEnd w:id="43"/>
    </w:p>
    <w:p w:rsidR="00A869FA" w:rsidRPr="00E106BD" w:rsidRDefault="00A869FA" w:rsidP="004E4760">
      <w:pPr>
        <w:pStyle w:val="subsection"/>
      </w:pPr>
      <w:r w:rsidRPr="00E106BD">
        <w:rPr>
          <w:color w:val="000000"/>
          <w:szCs w:val="24"/>
        </w:rPr>
        <w:tab/>
      </w:r>
      <w:r w:rsidRPr="00E106BD">
        <w:rPr>
          <w:color w:val="000000"/>
          <w:szCs w:val="24"/>
        </w:rPr>
        <w:tab/>
        <w:t>The claim for payment must not contain more than 3</w:t>
      </w:r>
      <w:r w:rsidR="00E106BD">
        <w:rPr>
          <w:color w:val="000000"/>
          <w:szCs w:val="24"/>
        </w:rPr>
        <w:t> </w:t>
      </w:r>
      <w:r w:rsidRPr="00E106BD">
        <w:rPr>
          <w:color w:val="000000"/>
          <w:szCs w:val="24"/>
        </w:rPr>
        <w:t>500 prescriptions.</w:t>
      </w:r>
    </w:p>
    <w:p w:rsidR="00A869FA" w:rsidRPr="00E106BD" w:rsidRDefault="00295F4A" w:rsidP="004E4760">
      <w:pPr>
        <w:pStyle w:val="ActHead4"/>
        <w:keepNext w:val="0"/>
        <w:keepLines w:val="0"/>
      </w:pPr>
      <w:bookmarkStart w:id="44" w:name="_Toc53558973"/>
      <w:r w:rsidRPr="00E106BD">
        <w:rPr>
          <w:rStyle w:val="CharSubdNo"/>
        </w:rPr>
        <w:t>Subdivision</w:t>
      </w:r>
      <w:r w:rsidR="00E106BD">
        <w:rPr>
          <w:rStyle w:val="CharSubdNo"/>
        </w:rPr>
        <w:t> </w:t>
      </w:r>
      <w:r w:rsidR="00A869FA" w:rsidRPr="00E106BD">
        <w:rPr>
          <w:rStyle w:val="CharSubdNo"/>
        </w:rPr>
        <w:t>3</w:t>
      </w:r>
      <w:r w:rsidRPr="00E106BD">
        <w:t>—</w:t>
      </w:r>
      <w:r w:rsidR="00A869FA" w:rsidRPr="00E106BD">
        <w:rPr>
          <w:rStyle w:val="CharSubdText"/>
        </w:rPr>
        <w:t>Payment of claims</w:t>
      </w:r>
      <w:bookmarkEnd w:id="44"/>
    </w:p>
    <w:p w:rsidR="00A869FA" w:rsidRPr="00E106BD" w:rsidRDefault="00A869FA" w:rsidP="004E4760">
      <w:pPr>
        <w:pStyle w:val="ActHead5"/>
        <w:keepNext w:val="0"/>
        <w:keepLines w:val="0"/>
      </w:pPr>
      <w:bookmarkStart w:id="45" w:name="_Toc53558974"/>
      <w:r w:rsidRPr="00E106BD">
        <w:rPr>
          <w:rStyle w:val="CharSectno"/>
        </w:rPr>
        <w:t>35</w:t>
      </w:r>
      <w:r w:rsidR="00295F4A" w:rsidRPr="00E106BD">
        <w:t xml:space="preserve">  </w:t>
      </w:r>
      <w:r w:rsidRPr="00E106BD">
        <w:t>Payments to suppliers that are approved hospital authorities for public hospitals</w:t>
      </w:r>
      <w:bookmarkEnd w:id="45"/>
    </w:p>
    <w:p w:rsidR="00A869FA" w:rsidRPr="00E106BD" w:rsidRDefault="00A869FA" w:rsidP="004E4760">
      <w:pPr>
        <w:pStyle w:val="subsection"/>
      </w:pPr>
      <w:r w:rsidRPr="00E106BD">
        <w:rPr>
          <w:color w:val="000000"/>
          <w:szCs w:val="24"/>
        </w:rPr>
        <w:tab/>
        <w:t>(1)</w:t>
      </w:r>
      <w:r w:rsidRPr="00E106BD">
        <w:rPr>
          <w:color w:val="000000"/>
          <w:szCs w:val="24"/>
        </w:rPr>
        <w:tab/>
        <w:t>An approved hospital authority for a public hospital is entitled to be paid the amount, if any, by which the dispensed price for the supply of the HSD pharmaceutical benefit exceeds the amount that the approved hospital authority was entitled to charge under subsection</w:t>
      </w:r>
      <w:r w:rsidR="00E106BD">
        <w:rPr>
          <w:color w:val="000000"/>
          <w:szCs w:val="24"/>
        </w:rPr>
        <w:t> </w:t>
      </w:r>
      <w:r w:rsidRPr="00E106BD">
        <w:rPr>
          <w:color w:val="000000"/>
          <w:szCs w:val="24"/>
        </w:rPr>
        <w:t>46(2).</w:t>
      </w:r>
    </w:p>
    <w:p w:rsidR="00A869FA" w:rsidRPr="00E106BD" w:rsidRDefault="00A869FA" w:rsidP="004E4760">
      <w:pPr>
        <w:pStyle w:val="subsection"/>
      </w:pPr>
      <w:r w:rsidRPr="00E106BD">
        <w:rPr>
          <w:color w:val="000000"/>
          <w:szCs w:val="24"/>
        </w:rPr>
        <w:tab/>
        <w:t>(2)</w:t>
      </w:r>
      <w:r w:rsidRPr="00E106BD">
        <w:rPr>
          <w:color w:val="000000"/>
          <w:szCs w:val="24"/>
        </w:rPr>
        <w:tab/>
        <w:t xml:space="preserve">The dispensed price is to be worked out in accordance with </w:t>
      </w:r>
      <w:r w:rsidR="00295F4A" w:rsidRPr="00E106BD">
        <w:rPr>
          <w:color w:val="000000"/>
          <w:szCs w:val="24"/>
        </w:rPr>
        <w:t>Division</w:t>
      </w:r>
      <w:r w:rsidR="00E106BD">
        <w:rPr>
          <w:color w:val="000000"/>
          <w:szCs w:val="24"/>
        </w:rPr>
        <w:t> </w:t>
      </w:r>
      <w:r w:rsidRPr="00E106BD">
        <w:rPr>
          <w:color w:val="000000"/>
          <w:szCs w:val="24"/>
        </w:rPr>
        <w:t xml:space="preserve">1 of </w:t>
      </w:r>
      <w:r w:rsidR="00295F4A" w:rsidRPr="00E106BD">
        <w:rPr>
          <w:color w:val="000000"/>
          <w:szCs w:val="24"/>
        </w:rPr>
        <w:t>Part</w:t>
      </w:r>
      <w:r w:rsidR="00E106BD">
        <w:rPr>
          <w:color w:val="000000"/>
          <w:szCs w:val="24"/>
        </w:rPr>
        <w:t> </w:t>
      </w:r>
      <w:r w:rsidRPr="00E106BD">
        <w:rPr>
          <w:color w:val="000000"/>
          <w:szCs w:val="24"/>
        </w:rPr>
        <w:t>5.</w:t>
      </w:r>
    </w:p>
    <w:p w:rsidR="00A869FA" w:rsidRPr="00E106BD" w:rsidRDefault="00A869FA" w:rsidP="004E4760">
      <w:pPr>
        <w:pStyle w:val="subsection"/>
      </w:pPr>
      <w:r w:rsidRPr="00E106BD">
        <w:rPr>
          <w:color w:val="000000"/>
          <w:szCs w:val="24"/>
        </w:rPr>
        <w:tab/>
        <w:t>(3)</w:t>
      </w:r>
      <w:r w:rsidRPr="00E106BD">
        <w:rPr>
          <w:color w:val="000000"/>
          <w:szCs w:val="24"/>
        </w:rPr>
        <w:tab/>
        <w:t>No mark ups may be added to the cost of an HSD pharmaceutical benefit for which payment is claimed under this Division.</w:t>
      </w:r>
    </w:p>
    <w:p w:rsidR="00A869FA" w:rsidRPr="00E106BD" w:rsidRDefault="00295F4A" w:rsidP="004E4760">
      <w:pPr>
        <w:pStyle w:val="ActHead3"/>
        <w:keepNext w:val="0"/>
        <w:keepLines w:val="0"/>
        <w:pageBreakBefore/>
      </w:pPr>
      <w:bookmarkStart w:id="46" w:name="_Toc53558975"/>
      <w:r w:rsidRPr="00E106BD">
        <w:rPr>
          <w:rStyle w:val="CharDivNo"/>
        </w:rPr>
        <w:t>Division</w:t>
      </w:r>
      <w:r w:rsidR="00E106BD">
        <w:rPr>
          <w:rStyle w:val="CharDivNo"/>
        </w:rPr>
        <w:t> </w:t>
      </w:r>
      <w:r w:rsidR="00A869FA" w:rsidRPr="00E106BD">
        <w:rPr>
          <w:rStyle w:val="CharDivNo"/>
        </w:rPr>
        <w:t>3</w:t>
      </w:r>
      <w:r w:rsidRPr="00E106BD">
        <w:t>—</w:t>
      </w:r>
      <w:r w:rsidR="00A869FA" w:rsidRPr="00E106BD">
        <w:rPr>
          <w:rStyle w:val="CharDivText"/>
        </w:rPr>
        <w:t xml:space="preserve">Payments to suppliers of HSD pharmaceutical benefits that are approved hospital authorities for private hospitals or approved </w:t>
      </w:r>
      <w:r w:rsidR="00F518DC" w:rsidRPr="00E106BD">
        <w:rPr>
          <w:rStyle w:val="CharDivText"/>
        </w:rPr>
        <w:t>pharmacists or approved medical practitioners</w:t>
      </w:r>
      <w:bookmarkEnd w:id="46"/>
    </w:p>
    <w:p w:rsidR="00A869FA" w:rsidRPr="00E106BD" w:rsidRDefault="00A869FA" w:rsidP="004E4760">
      <w:pPr>
        <w:pStyle w:val="ActHead5"/>
        <w:keepNext w:val="0"/>
        <w:keepLines w:val="0"/>
      </w:pPr>
      <w:bookmarkStart w:id="47" w:name="_Toc53558976"/>
      <w:r w:rsidRPr="00E106BD">
        <w:rPr>
          <w:rStyle w:val="CharSectno"/>
        </w:rPr>
        <w:t>36</w:t>
      </w:r>
      <w:r w:rsidR="00295F4A" w:rsidRPr="00E106BD">
        <w:t xml:space="preserve">  </w:t>
      </w:r>
      <w:r w:rsidRPr="00E106BD">
        <w:t>Payments to certain suppliers of HSD pharmaceutical benefits</w:t>
      </w:r>
      <w:bookmarkEnd w:id="47"/>
    </w:p>
    <w:p w:rsidR="00A869FA" w:rsidRPr="00E106BD" w:rsidRDefault="00A869FA" w:rsidP="004E4760">
      <w:pPr>
        <w:pStyle w:val="subsection"/>
      </w:pPr>
      <w:r w:rsidRPr="00E106BD">
        <w:rPr>
          <w:szCs w:val="24"/>
          <w:lang w:eastAsia="en-US"/>
        </w:rPr>
        <w:tab/>
        <w:t>(1)</w:t>
      </w:r>
      <w:r w:rsidRPr="00E106BD">
        <w:rPr>
          <w:szCs w:val="24"/>
          <w:lang w:eastAsia="en-US"/>
        </w:rPr>
        <w:tab/>
        <w:t>An approved hospital authority for a private hospital is entitled to be paid by the Commonwealth the amount, if any, by which the dispensed price for its supply of the HSD pharmaceutical benefit is greater than the amount that the approved hospital authority was entitled to charge under subsection</w:t>
      </w:r>
      <w:r w:rsidR="00E106BD">
        <w:rPr>
          <w:szCs w:val="24"/>
          <w:lang w:eastAsia="en-US"/>
        </w:rPr>
        <w:t> </w:t>
      </w:r>
      <w:r w:rsidRPr="00E106BD">
        <w:rPr>
          <w:szCs w:val="24"/>
          <w:lang w:eastAsia="en-US"/>
        </w:rPr>
        <w:t>46(2).</w:t>
      </w:r>
    </w:p>
    <w:p w:rsidR="00F518DC" w:rsidRPr="00E106BD" w:rsidRDefault="00F518DC" w:rsidP="00F518DC">
      <w:pPr>
        <w:pStyle w:val="subsection"/>
      </w:pPr>
      <w:r w:rsidRPr="00E106BD">
        <w:tab/>
        <w:t>(2)</w:t>
      </w:r>
      <w:r w:rsidRPr="00E106BD">
        <w:tab/>
        <w:t>An approved pharmacist or an approved medical practitioner is entitled to be paid by the Commonwealth the amount, if any, by which the dispensed price for the supply of an HSD pharmaceutical benefit is greater than the amount that the approved pharmacist or approved medical practitioner was entitled to charge under subsection</w:t>
      </w:r>
      <w:r w:rsidR="00E106BD">
        <w:t> </w:t>
      </w:r>
      <w:r w:rsidRPr="00E106BD">
        <w:t>47(2).</w:t>
      </w:r>
    </w:p>
    <w:p w:rsidR="00A869FA" w:rsidRPr="00E106BD" w:rsidRDefault="00A869FA" w:rsidP="004E4760">
      <w:pPr>
        <w:pStyle w:val="subsection"/>
      </w:pPr>
      <w:r w:rsidRPr="00E106BD">
        <w:tab/>
        <w:t>(3)</w:t>
      </w:r>
      <w:r w:rsidRPr="00E106BD">
        <w:tab/>
        <w:t xml:space="preserve">The dispensed price for the supply of an HSD pharmaceutical benefit by an approved hospital authority for a private hospital or by an </w:t>
      </w:r>
      <w:r w:rsidR="00F518DC" w:rsidRPr="00E106BD">
        <w:t>approved pharmacist or by an approved medical practitioner</w:t>
      </w:r>
      <w:r w:rsidRPr="00E106BD">
        <w:t xml:space="preserve"> is to be worked out under </w:t>
      </w:r>
      <w:r w:rsidR="00295F4A" w:rsidRPr="00E106BD">
        <w:t>Division</w:t>
      </w:r>
      <w:r w:rsidR="00E106BD">
        <w:t> </w:t>
      </w:r>
      <w:r w:rsidRPr="00E106BD">
        <w:t xml:space="preserve">2 of </w:t>
      </w:r>
      <w:r w:rsidR="00295F4A" w:rsidRPr="00E106BD">
        <w:t>Part</w:t>
      </w:r>
      <w:r w:rsidR="00E106BD">
        <w:t> </w:t>
      </w:r>
      <w:r w:rsidRPr="00E106BD">
        <w:t>5.</w:t>
      </w:r>
    </w:p>
    <w:p w:rsidR="00A869FA" w:rsidRPr="00E106BD" w:rsidRDefault="00295F4A" w:rsidP="004E4760">
      <w:pPr>
        <w:pStyle w:val="notetext"/>
      </w:pPr>
      <w:r w:rsidRPr="00E106BD">
        <w:t>Note:</w:t>
      </w:r>
      <w:r w:rsidRPr="00E106BD">
        <w:tab/>
      </w:r>
      <w:r w:rsidR="00A869FA" w:rsidRPr="00E106BD">
        <w:rPr>
          <w:lang w:eastAsia="en-US"/>
        </w:rPr>
        <w:t>An approved hospital authority for a private hospital or an approved pharmacist may make claims for payment in accordance with rules made by the Minister under subsection</w:t>
      </w:r>
      <w:r w:rsidR="00E106BD">
        <w:rPr>
          <w:lang w:eastAsia="en-US"/>
        </w:rPr>
        <w:t> </w:t>
      </w:r>
      <w:r w:rsidR="00A869FA" w:rsidRPr="00E106BD">
        <w:rPr>
          <w:lang w:eastAsia="en-US"/>
        </w:rPr>
        <w:t>99AAA(8) of the Act</w:t>
      </w:r>
      <w:r w:rsidRPr="00E106BD">
        <w:rPr>
          <w:lang w:eastAsia="en-US"/>
        </w:rPr>
        <w:t>—</w:t>
      </w:r>
      <w:r w:rsidR="00A869FA" w:rsidRPr="00E106BD">
        <w:rPr>
          <w:lang w:eastAsia="en-US"/>
        </w:rPr>
        <w:t>see section</w:t>
      </w:r>
      <w:r w:rsidR="00E106BD">
        <w:rPr>
          <w:lang w:eastAsia="en-US"/>
        </w:rPr>
        <w:t> </w:t>
      </w:r>
      <w:r w:rsidR="00A869FA" w:rsidRPr="00E106BD">
        <w:rPr>
          <w:lang w:eastAsia="en-US"/>
        </w:rPr>
        <w:t>99AAA(2) of the Act.</w:t>
      </w:r>
    </w:p>
    <w:p w:rsidR="00A869FA" w:rsidRPr="00E106BD" w:rsidRDefault="00295F4A" w:rsidP="004E4760">
      <w:pPr>
        <w:pStyle w:val="ActHead2"/>
        <w:keepNext w:val="0"/>
        <w:keepLines w:val="0"/>
        <w:pageBreakBefore/>
      </w:pPr>
      <w:bookmarkStart w:id="48" w:name="_Toc53558977"/>
      <w:r w:rsidRPr="00E106BD">
        <w:rPr>
          <w:rStyle w:val="CharPartNo"/>
        </w:rPr>
        <w:t>Part</w:t>
      </w:r>
      <w:r w:rsidR="00E106BD">
        <w:rPr>
          <w:rStyle w:val="CharPartNo"/>
        </w:rPr>
        <w:t> </w:t>
      </w:r>
      <w:r w:rsidR="00A869FA" w:rsidRPr="00E106BD">
        <w:rPr>
          <w:rStyle w:val="CharPartNo"/>
        </w:rPr>
        <w:t>5</w:t>
      </w:r>
      <w:r w:rsidRPr="00E106BD">
        <w:t>—</w:t>
      </w:r>
      <w:r w:rsidR="00A869FA" w:rsidRPr="00E106BD">
        <w:rPr>
          <w:rStyle w:val="CharPartText"/>
        </w:rPr>
        <w:t>Dispensed price</w:t>
      </w:r>
      <w:bookmarkEnd w:id="48"/>
    </w:p>
    <w:p w:rsidR="00A869FA" w:rsidRPr="00E106BD" w:rsidRDefault="00295F4A" w:rsidP="004E4760">
      <w:pPr>
        <w:pStyle w:val="ActHead3"/>
        <w:keepNext w:val="0"/>
        <w:keepLines w:val="0"/>
      </w:pPr>
      <w:bookmarkStart w:id="49" w:name="_Toc53558978"/>
      <w:r w:rsidRPr="00E106BD">
        <w:rPr>
          <w:rStyle w:val="CharDivNo"/>
        </w:rPr>
        <w:t>Division</w:t>
      </w:r>
      <w:r w:rsidR="00E106BD">
        <w:rPr>
          <w:rStyle w:val="CharDivNo"/>
        </w:rPr>
        <w:t> </w:t>
      </w:r>
      <w:r w:rsidR="00A869FA" w:rsidRPr="00E106BD">
        <w:rPr>
          <w:rStyle w:val="CharDivNo"/>
        </w:rPr>
        <w:t>1</w:t>
      </w:r>
      <w:r w:rsidRPr="00E106BD">
        <w:t>—</w:t>
      </w:r>
      <w:r w:rsidR="00A869FA" w:rsidRPr="00E106BD">
        <w:rPr>
          <w:rStyle w:val="CharDivText"/>
        </w:rPr>
        <w:t>Dispensed price for supply of an HSD pharmaceutical benefit by a hospital authority for a public hospital</w:t>
      </w:r>
      <w:bookmarkEnd w:id="49"/>
    </w:p>
    <w:p w:rsidR="00CA127B" w:rsidRPr="00E106BD" w:rsidRDefault="00CA127B" w:rsidP="004E4760">
      <w:pPr>
        <w:pStyle w:val="ActHead5"/>
        <w:keepNext w:val="0"/>
        <w:keepLines w:val="0"/>
      </w:pPr>
      <w:bookmarkStart w:id="50" w:name="_Toc53558979"/>
      <w:r w:rsidRPr="00E106BD">
        <w:rPr>
          <w:rStyle w:val="CharSectno"/>
        </w:rPr>
        <w:t>37</w:t>
      </w:r>
      <w:r w:rsidR="00295F4A" w:rsidRPr="00E106BD">
        <w:t xml:space="preserve">  </w:t>
      </w:r>
      <w:r w:rsidRPr="00E106BD">
        <w:t>The dispensed price</w:t>
      </w:r>
      <w:r w:rsidR="00E65103" w:rsidRPr="00E106BD">
        <w:t>—</w:t>
      </w:r>
      <w:r w:rsidRPr="00E106BD">
        <w:t>supply by public hospital</w:t>
      </w:r>
      <w:bookmarkEnd w:id="50"/>
    </w:p>
    <w:p w:rsidR="00B36E36" w:rsidRPr="00E106BD" w:rsidRDefault="00B36E36" w:rsidP="004E4760">
      <w:pPr>
        <w:pStyle w:val="subsection"/>
      </w:pPr>
      <w:r w:rsidRPr="00E106BD">
        <w:rPr>
          <w:szCs w:val="24"/>
        </w:rPr>
        <w:tab/>
      </w:r>
      <w:r w:rsidRPr="00E106BD">
        <w:rPr>
          <w:szCs w:val="24"/>
        </w:rPr>
        <w:tab/>
        <w:t>Subject to section</w:t>
      </w:r>
      <w:r w:rsidR="00E106BD">
        <w:rPr>
          <w:szCs w:val="24"/>
        </w:rPr>
        <w:t> </w:t>
      </w:r>
      <w:r w:rsidRPr="00E106BD">
        <w:rPr>
          <w:szCs w:val="24"/>
        </w:rPr>
        <w:t>43, the dispensed price for the supply of an HSD pharmaceutical benefit, by a hospital authority for a public hospital, is as follows:</w:t>
      </w:r>
    </w:p>
    <w:p w:rsidR="00B36E36" w:rsidRPr="00E106BD" w:rsidRDefault="00B36E36" w:rsidP="004E4760">
      <w:pPr>
        <w:pStyle w:val="paragraph"/>
      </w:pPr>
      <w:r w:rsidRPr="00E106BD">
        <w:rPr>
          <w:szCs w:val="24"/>
        </w:rPr>
        <w:tab/>
        <w:t>(a)</w:t>
      </w:r>
      <w:r w:rsidRPr="00E106BD">
        <w:rPr>
          <w:szCs w:val="24"/>
        </w:rPr>
        <w:tab/>
        <w:t>if the quantity of the HSD pharmaceutical benefit that is ordered and supplied is equal to a multiple of a pack quantity of the benefit</w:t>
      </w:r>
      <w:r w:rsidR="00295F4A" w:rsidRPr="00E106BD">
        <w:rPr>
          <w:szCs w:val="24"/>
        </w:rPr>
        <w:t>—</w:t>
      </w:r>
      <w:r w:rsidRPr="00E106BD">
        <w:rPr>
          <w:szCs w:val="24"/>
        </w:rPr>
        <w:t>the sum of the approved ex</w:t>
      </w:r>
      <w:r w:rsidR="00E106BD">
        <w:rPr>
          <w:szCs w:val="24"/>
        </w:rPr>
        <w:noBreakHyphen/>
      </w:r>
      <w:r w:rsidRPr="00E106BD">
        <w:rPr>
          <w:szCs w:val="24"/>
        </w:rPr>
        <w:t>manufacturer price or the proportional ex</w:t>
      </w:r>
      <w:r w:rsidR="00E106BD">
        <w:rPr>
          <w:szCs w:val="24"/>
        </w:rPr>
        <w:noBreakHyphen/>
      </w:r>
      <w:r w:rsidRPr="00E106BD">
        <w:rPr>
          <w:szCs w:val="24"/>
        </w:rPr>
        <w:t>manufacturer price for each pack quantity;</w:t>
      </w:r>
    </w:p>
    <w:p w:rsidR="00B36E36" w:rsidRPr="00E106BD" w:rsidRDefault="00B36E36" w:rsidP="004E4760">
      <w:pPr>
        <w:pStyle w:val="paragraph"/>
      </w:pPr>
      <w:r w:rsidRPr="00E106BD">
        <w:tab/>
        <w:t>(b)</w:t>
      </w:r>
      <w:r w:rsidRPr="00E106BD">
        <w:tab/>
        <w:t>if the quantity of the HSD pharmaceutical benefit that is ordered and supplied is less than a pack quantity of the benefit</w:t>
      </w:r>
      <w:r w:rsidR="00295F4A" w:rsidRPr="00E106BD">
        <w:t>—</w:t>
      </w:r>
      <w:r w:rsidRPr="00E106BD">
        <w:t>the amount calculated in accordance with section</w:t>
      </w:r>
      <w:r w:rsidR="00E106BD">
        <w:t> </w:t>
      </w:r>
      <w:r w:rsidRPr="00E106BD">
        <w:t>38;</w:t>
      </w:r>
    </w:p>
    <w:p w:rsidR="00B36E36" w:rsidRPr="00E106BD" w:rsidRDefault="00B36E36" w:rsidP="004E4760">
      <w:pPr>
        <w:pStyle w:val="paragraph"/>
      </w:pPr>
      <w:r w:rsidRPr="00E106BD">
        <w:tab/>
        <w:t>(c)</w:t>
      </w:r>
      <w:r w:rsidRPr="00E106BD">
        <w:tab/>
        <w:t>if the quantity of the HSD pharmaceutical benefit that is ordered and supplied is more than a multiple of a pack quantity of the benefit</w:t>
      </w:r>
      <w:r w:rsidR="00295F4A" w:rsidRPr="00E106BD">
        <w:t>—</w:t>
      </w:r>
      <w:r w:rsidRPr="00E106BD">
        <w:t>the sum of:</w:t>
      </w:r>
    </w:p>
    <w:p w:rsidR="00B36E36" w:rsidRPr="00E106BD" w:rsidRDefault="00B36E36" w:rsidP="004E4760">
      <w:pPr>
        <w:pStyle w:val="paragraphsub"/>
      </w:pPr>
      <w:r w:rsidRPr="00E106BD">
        <w:rPr>
          <w:color w:val="000000"/>
          <w:szCs w:val="24"/>
        </w:rPr>
        <w:tab/>
        <w:t>(i)</w:t>
      </w:r>
      <w:r w:rsidRPr="00E106BD">
        <w:rPr>
          <w:color w:val="000000"/>
          <w:szCs w:val="24"/>
        </w:rPr>
        <w:tab/>
        <w:t>the approved ex</w:t>
      </w:r>
      <w:r w:rsidR="00E106BD">
        <w:rPr>
          <w:color w:val="000000"/>
          <w:szCs w:val="24"/>
        </w:rPr>
        <w:noBreakHyphen/>
      </w:r>
      <w:r w:rsidRPr="00E106BD">
        <w:rPr>
          <w:color w:val="000000"/>
          <w:szCs w:val="24"/>
        </w:rPr>
        <w:t>manufacturer price or the proportional ex</w:t>
      </w:r>
      <w:r w:rsidR="00E106BD">
        <w:rPr>
          <w:color w:val="000000"/>
          <w:szCs w:val="24"/>
        </w:rPr>
        <w:noBreakHyphen/>
      </w:r>
      <w:r w:rsidRPr="00E106BD">
        <w:rPr>
          <w:color w:val="000000"/>
          <w:szCs w:val="24"/>
        </w:rPr>
        <w:t>manufacturer price for each pack quantity; and</w:t>
      </w:r>
    </w:p>
    <w:p w:rsidR="00B36E36" w:rsidRPr="00E106BD" w:rsidRDefault="00B36E36" w:rsidP="004E4760">
      <w:pPr>
        <w:pStyle w:val="paragraphsub"/>
      </w:pPr>
      <w:r w:rsidRPr="00E106BD">
        <w:tab/>
        <w:t>(ii)</w:t>
      </w:r>
      <w:r w:rsidRPr="00E106BD">
        <w:tab/>
        <w:t>the amount calculated in accordance with section</w:t>
      </w:r>
      <w:r w:rsidR="00E106BD">
        <w:t> </w:t>
      </w:r>
      <w:r w:rsidRPr="00E106BD">
        <w:t>38 for the remainder of the quantity supplied that is less than a pack quantity.</w:t>
      </w:r>
    </w:p>
    <w:p w:rsidR="00B36E36" w:rsidRPr="00E106BD" w:rsidRDefault="00B36E36" w:rsidP="004E4760">
      <w:pPr>
        <w:pStyle w:val="ActHead5"/>
        <w:keepNext w:val="0"/>
        <w:keepLines w:val="0"/>
      </w:pPr>
      <w:bookmarkStart w:id="51" w:name="_Toc53558980"/>
      <w:r w:rsidRPr="00E106BD">
        <w:rPr>
          <w:rStyle w:val="CharSectno"/>
        </w:rPr>
        <w:t>38</w:t>
      </w:r>
      <w:r w:rsidR="00295F4A" w:rsidRPr="00E106BD">
        <w:t xml:space="preserve">  </w:t>
      </w:r>
      <w:r w:rsidRPr="00E106BD">
        <w:t>Where quantity is less than a pack quantity</w:t>
      </w:r>
      <w:bookmarkEnd w:id="51"/>
    </w:p>
    <w:p w:rsidR="00B36E36" w:rsidRPr="00E106BD" w:rsidRDefault="00B36E36" w:rsidP="004E4760">
      <w:pPr>
        <w:pStyle w:val="subsection"/>
      </w:pPr>
      <w:r w:rsidRPr="00E106BD">
        <w:rPr>
          <w:szCs w:val="24"/>
        </w:rPr>
        <w:tab/>
      </w:r>
      <w:r w:rsidRPr="00E106BD">
        <w:rPr>
          <w:szCs w:val="24"/>
        </w:rPr>
        <w:tab/>
        <w:t xml:space="preserve">If the quantity of an HSD pharmaceutical benefit that is ordered and supplied is less than a pack quantity of the benefit (a </w:t>
      </w:r>
      <w:r w:rsidRPr="00E106BD">
        <w:rPr>
          <w:b/>
          <w:i/>
          <w:szCs w:val="24"/>
        </w:rPr>
        <w:t>broken quantity</w:t>
      </w:r>
      <w:r w:rsidRPr="00E106BD">
        <w:rPr>
          <w:szCs w:val="24"/>
        </w:rPr>
        <w:t>), the amount mentioned in paragraph</w:t>
      </w:r>
      <w:r w:rsidR="00E106BD">
        <w:rPr>
          <w:szCs w:val="24"/>
        </w:rPr>
        <w:t> </w:t>
      </w:r>
      <w:r w:rsidRPr="00E106BD">
        <w:rPr>
          <w:szCs w:val="24"/>
        </w:rPr>
        <w:t>37(b) and subparagraph</w:t>
      </w:r>
      <w:r w:rsidR="00E106BD">
        <w:rPr>
          <w:szCs w:val="24"/>
        </w:rPr>
        <w:t> </w:t>
      </w:r>
      <w:r w:rsidRPr="00E106BD">
        <w:rPr>
          <w:szCs w:val="24"/>
        </w:rPr>
        <w:t>37(c)(ii) is to be calculated by:</w:t>
      </w:r>
    </w:p>
    <w:p w:rsidR="00B36E36" w:rsidRPr="00E106BD" w:rsidRDefault="00B36E36" w:rsidP="004E4760">
      <w:pPr>
        <w:pStyle w:val="paragraph"/>
      </w:pPr>
      <w:r w:rsidRPr="00E106BD">
        <w:rPr>
          <w:szCs w:val="24"/>
        </w:rPr>
        <w:tab/>
        <w:t>(a)</w:t>
      </w:r>
      <w:r w:rsidRPr="00E106BD">
        <w:rPr>
          <w:szCs w:val="24"/>
        </w:rPr>
        <w:tab/>
        <w:t>dividing the quantity or number of units in the broken quantity by the pack quantity, expressed as a percentage to 2 decimal places; and</w:t>
      </w:r>
    </w:p>
    <w:p w:rsidR="00B36E36" w:rsidRPr="00E106BD" w:rsidRDefault="00B36E36" w:rsidP="004E4760">
      <w:pPr>
        <w:pStyle w:val="paragraph"/>
        <w:rPr>
          <w:color w:val="000000"/>
        </w:rPr>
      </w:pPr>
      <w:r w:rsidRPr="00E106BD">
        <w:rPr>
          <w:color w:val="000000"/>
        </w:rPr>
        <w:tab/>
        <w:t>(b)</w:t>
      </w:r>
      <w:r w:rsidRPr="00E106BD">
        <w:rPr>
          <w:color w:val="000000"/>
        </w:rPr>
        <w:tab/>
        <w:t>applying that percentage to the approved ex</w:t>
      </w:r>
      <w:r w:rsidR="00E106BD">
        <w:rPr>
          <w:color w:val="000000"/>
        </w:rPr>
        <w:noBreakHyphen/>
      </w:r>
      <w:r w:rsidRPr="00E106BD">
        <w:rPr>
          <w:color w:val="000000"/>
        </w:rPr>
        <w:t>manufacturer price or proportional ex</w:t>
      </w:r>
      <w:r w:rsidR="00E106BD">
        <w:rPr>
          <w:color w:val="000000"/>
        </w:rPr>
        <w:noBreakHyphen/>
      </w:r>
      <w:r w:rsidRPr="00E106BD">
        <w:rPr>
          <w:color w:val="000000"/>
        </w:rPr>
        <w:t xml:space="preserve">manufacturer price for the pack quantity. </w:t>
      </w:r>
    </w:p>
    <w:p w:rsidR="00A869FA" w:rsidRPr="00E106BD" w:rsidRDefault="00295F4A" w:rsidP="004E4760">
      <w:pPr>
        <w:pStyle w:val="ActHead3"/>
        <w:keepNext w:val="0"/>
        <w:keepLines w:val="0"/>
        <w:pageBreakBefore/>
      </w:pPr>
      <w:bookmarkStart w:id="52" w:name="_Toc53558981"/>
      <w:r w:rsidRPr="00E106BD">
        <w:rPr>
          <w:rStyle w:val="CharDivNo"/>
        </w:rPr>
        <w:t>Division</w:t>
      </w:r>
      <w:r w:rsidR="00E106BD">
        <w:rPr>
          <w:rStyle w:val="CharDivNo"/>
        </w:rPr>
        <w:t> </w:t>
      </w:r>
      <w:r w:rsidR="00A869FA" w:rsidRPr="00E106BD">
        <w:rPr>
          <w:rStyle w:val="CharDivNo"/>
        </w:rPr>
        <w:t>2</w:t>
      </w:r>
      <w:r w:rsidRPr="00E106BD">
        <w:t>—</w:t>
      </w:r>
      <w:r w:rsidR="00A869FA" w:rsidRPr="00E106BD">
        <w:rPr>
          <w:rStyle w:val="CharDivText"/>
        </w:rPr>
        <w:t xml:space="preserve">Dispensed price for supply of HSD pharmaceutical benefit by an approved hospital authority for a private hospital or by an approved </w:t>
      </w:r>
      <w:r w:rsidR="00F518DC" w:rsidRPr="00E106BD">
        <w:rPr>
          <w:rStyle w:val="CharDivText"/>
        </w:rPr>
        <w:t>pharmacist or approved medical practitioner</w:t>
      </w:r>
      <w:bookmarkEnd w:id="52"/>
    </w:p>
    <w:p w:rsidR="00A869FA" w:rsidRPr="00E106BD" w:rsidRDefault="00A869FA" w:rsidP="004E4760">
      <w:pPr>
        <w:pStyle w:val="ActHead5"/>
        <w:keepNext w:val="0"/>
        <w:keepLines w:val="0"/>
      </w:pPr>
      <w:bookmarkStart w:id="53" w:name="_Toc53558982"/>
      <w:r w:rsidRPr="00E106BD">
        <w:rPr>
          <w:rStyle w:val="CharSectno"/>
        </w:rPr>
        <w:t>39</w:t>
      </w:r>
      <w:r w:rsidR="00295F4A" w:rsidRPr="00E106BD">
        <w:t xml:space="preserve">  </w:t>
      </w:r>
      <w:r w:rsidRPr="00E106BD">
        <w:t>The dispensed price</w:t>
      </w:r>
      <w:r w:rsidR="00295F4A" w:rsidRPr="00E106BD">
        <w:t>—</w:t>
      </w:r>
      <w:r w:rsidRPr="00E106BD">
        <w:t xml:space="preserve">supply by an approved hospital authority for a private hospital or by an approved </w:t>
      </w:r>
      <w:r w:rsidR="00F518DC" w:rsidRPr="00E106BD">
        <w:t>pharmacist or approved medical practitioner</w:t>
      </w:r>
      <w:bookmarkEnd w:id="53"/>
    </w:p>
    <w:p w:rsidR="00A869FA" w:rsidRPr="00E106BD" w:rsidRDefault="00A869FA" w:rsidP="004E4760">
      <w:pPr>
        <w:pStyle w:val="subsection"/>
      </w:pPr>
      <w:r w:rsidRPr="00E106BD">
        <w:rPr>
          <w:szCs w:val="24"/>
          <w:lang w:eastAsia="en-US"/>
        </w:rPr>
        <w:tab/>
        <w:t>(1)</w:t>
      </w:r>
      <w:r w:rsidRPr="00E106BD">
        <w:rPr>
          <w:szCs w:val="24"/>
          <w:lang w:eastAsia="en-US"/>
        </w:rPr>
        <w:tab/>
        <w:t>The</w:t>
      </w:r>
      <w:r w:rsidRPr="00E106BD">
        <w:rPr>
          <w:b/>
          <w:i/>
          <w:szCs w:val="24"/>
          <w:lang w:eastAsia="en-US"/>
        </w:rPr>
        <w:t xml:space="preserve"> dispensed price</w:t>
      </w:r>
      <w:r w:rsidRPr="00E106BD">
        <w:rPr>
          <w:szCs w:val="24"/>
          <w:lang w:eastAsia="en-US"/>
        </w:rPr>
        <w:t xml:space="preserve"> for the supply of an HSD pharmaceutical benefit by an approved hospital authority for a private hospital, or by an </w:t>
      </w:r>
      <w:r w:rsidR="00F518DC" w:rsidRPr="00E106BD">
        <w:rPr>
          <w:szCs w:val="22"/>
        </w:rPr>
        <w:t>approved pharmacist, or by an approved medical practitioner</w:t>
      </w:r>
      <w:r w:rsidRPr="00E106BD">
        <w:rPr>
          <w:szCs w:val="24"/>
          <w:lang w:eastAsia="en-US"/>
        </w:rPr>
        <w:t>, is as follows:</w:t>
      </w:r>
    </w:p>
    <w:p w:rsidR="00A869FA" w:rsidRPr="00E106BD" w:rsidRDefault="00A869FA" w:rsidP="004E4760">
      <w:pPr>
        <w:pStyle w:val="paragraph"/>
      </w:pPr>
      <w:r w:rsidRPr="00E106BD">
        <w:rPr>
          <w:szCs w:val="24"/>
          <w:lang w:eastAsia="en-US"/>
        </w:rPr>
        <w:tab/>
        <w:t>(a)</w:t>
      </w:r>
      <w:r w:rsidRPr="00E106BD">
        <w:rPr>
          <w:szCs w:val="24"/>
          <w:lang w:eastAsia="en-US"/>
        </w:rPr>
        <w:tab/>
        <w:t>if the quantity of the HSD pharmaceutical benefit that is ordered and supplied is equal to</w:t>
      </w:r>
      <w:r w:rsidR="00B36E36" w:rsidRPr="00E106BD">
        <w:rPr>
          <w:szCs w:val="24"/>
          <w:lang w:eastAsia="en-US"/>
        </w:rPr>
        <w:t xml:space="preserve"> a multiple of a pack quantity</w:t>
      </w:r>
      <w:r w:rsidRPr="00E106BD">
        <w:rPr>
          <w:szCs w:val="24"/>
          <w:lang w:eastAsia="en-US"/>
        </w:rPr>
        <w:t>, the sum of:</w:t>
      </w:r>
    </w:p>
    <w:p w:rsidR="00A869FA" w:rsidRPr="00E106BD" w:rsidRDefault="00A869FA" w:rsidP="004E4760">
      <w:pPr>
        <w:pStyle w:val="paragraphsub"/>
      </w:pPr>
      <w:r w:rsidRPr="00E106BD">
        <w:rPr>
          <w:szCs w:val="24"/>
        </w:rPr>
        <w:tab/>
      </w:r>
      <w:r w:rsidRPr="00E106BD">
        <w:rPr>
          <w:szCs w:val="24"/>
          <w:lang w:eastAsia="en-US"/>
        </w:rPr>
        <w:t>(i)</w:t>
      </w:r>
      <w:r w:rsidRPr="00E106BD">
        <w:rPr>
          <w:szCs w:val="24"/>
          <w:lang w:eastAsia="en-US"/>
        </w:rPr>
        <w:tab/>
      </w:r>
      <w:r w:rsidR="00B36E36" w:rsidRPr="00E106BD">
        <w:rPr>
          <w:szCs w:val="24"/>
        </w:rPr>
        <w:t>the approved ex</w:t>
      </w:r>
      <w:r w:rsidR="00E106BD">
        <w:rPr>
          <w:szCs w:val="24"/>
        </w:rPr>
        <w:noBreakHyphen/>
      </w:r>
      <w:r w:rsidR="00B36E36" w:rsidRPr="00E106BD">
        <w:rPr>
          <w:szCs w:val="24"/>
        </w:rPr>
        <w:t>manufacturer price or the proportional ex</w:t>
      </w:r>
      <w:r w:rsidR="00E106BD">
        <w:rPr>
          <w:szCs w:val="24"/>
        </w:rPr>
        <w:noBreakHyphen/>
      </w:r>
      <w:r w:rsidR="00B36E36" w:rsidRPr="00E106BD">
        <w:rPr>
          <w:szCs w:val="24"/>
        </w:rPr>
        <w:t>manufacturer price for each pack quantity</w:t>
      </w:r>
      <w:r w:rsidRPr="00E106BD">
        <w:rPr>
          <w:szCs w:val="24"/>
        </w:rPr>
        <w:t>, plus the mark</w:t>
      </w:r>
      <w:r w:rsidR="00E106BD">
        <w:rPr>
          <w:szCs w:val="24"/>
        </w:rPr>
        <w:noBreakHyphen/>
      </w:r>
      <w:r w:rsidRPr="00E106BD">
        <w:rPr>
          <w:szCs w:val="24"/>
        </w:rPr>
        <w:t>up</w:t>
      </w:r>
      <w:r w:rsidR="002B135E" w:rsidRPr="00E106BD">
        <w:rPr>
          <w:szCs w:val="24"/>
        </w:rPr>
        <w:t xml:space="preserve"> </w:t>
      </w:r>
      <w:r w:rsidRPr="00E106BD">
        <w:rPr>
          <w:szCs w:val="24"/>
        </w:rPr>
        <w:t>mentioned in section</w:t>
      </w:r>
      <w:r w:rsidR="00E106BD">
        <w:rPr>
          <w:szCs w:val="24"/>
        </w:rPr>
        <w:t> </w:t>
      </w:r>
      <w:r w:rsidRPr="00E106BD">
        <w:rPr>
          <w:szCs w:val="24"/>
        </w:rPr>
        <w:t>40, taken to the nearest cent, with one half cent being rounded up to 1 cent; and</w:t>
      </w:r>
    </w:p>
    <w:p w:rsidR="00A869FA" w:rsidRPr="00E106BD" w:rsidRDefault="00A869FA" w:rsidP="004E4760">
      <w:pPr>
        <w:pStyle w:val="paragraphsub"/>
      </w:pPr>
      <w:r w:rsidRPr="00E106BD">
        <w:rPr>
          <w:lang w:eastAsia="en-US"/>
        </w:rPr>
        <w:tab/>
        <w:t>(ii)</w:t>
      </w:r>
      <w:r w:rsidRPr="00E106BD">
        <w:rPr>
          <w:lang w:eastAsia="en-US"/>
        </w:rPr>
        <w:tab/>
      </w:r>
      <w:r w:rsidRPr="00E106BD">
        <w:t>either:</w:t>
      </w:r>
    </w:p>
    <w:p w:rsidR="00A869FA" w:rsidRPr="00E106BD" w:rsidRDefault="00A869FA" w:rsidP="004E4760">
      <w:pPr>
        <w:pStyle w:val="paragraphsub-sub"/>
      </w:pPr>
      <w:r w:rsidRPr="00E106BD">
        <w:rPr>
          <w:szCs w:val="24"/>
          <w:lang w:eastAsia="en-US"/>
        </w:rPr>
        <w:tab/>
        <w:t>(A)</w:t>
      </w:r>
      <w:r w:rsidRPr="00E106BD">
        <w:rPr>
          <w:szCs w:val="24"/>
          <w:lang w:eastAsia="en-US"/>
        </w:rPr>
        <w:tab/>
        <w:t xml:space="preserve">a dispensing fee equal to the dispensing fee for the supply of a ready prepared pharmaceutical benefit, mentioned in the </w:t>
      </w:r>
      <w:r w:rsidR="00370857" w:rsidRPr="00E106BD">
        <w:rPr>
          <w:szCs w:val="24"/>
          <w:lang w:eastAsia="en-US"/>
        </w:rPr>
        <w:t>determination made under paragraph</w:t>
      </w:r>
      <w:r w:rsidR="00E106BD">
        <w:rPr>
          <w:szCs w:val="24"/>
          <w:lang w:eastAsia="en-US"/>
        </w:rPr>
        <w:t> </w:t>
      </w:r>
      <w:r w:rsidR="00370857" w:rsidRPr="00E106BD">
        <w:rPr>
          <w:szCs w:val="24"/>
          <w:lang w:eastAsia="en-US"/>
        </w:rPr>
        <w:t>98B(1)(a) of the Act</w:t>
      </w:r>
      <w:r w:rsidR="00E41951" w:rsidRPr="00E106BD">
        <w:rPr>
          <w:szCs w:val="24"/>
          <w:lang w:eastAsia="en-US"/>
        </w:rPr>
        <w:t>,</w:t>
      </w:r>
      <w:r w:rsidR="00370857" w:rsidRPr="00E106BD">
        <w:rPr>
          <w:szCs w:val="24"/>
          <w:lang w:eastAsia="en-US"/>
        </w:rPr>
        <w:t xml:space="preserve"> </w:t>
      </w:r>
      <w:r w:rsidRPr="00E106BD">
        <w:rPr>
          <w:szCs w:val="24"/>
          <w:lang w:eastAsia="en-US"/>
        </w:rPr>
        <w:t>as in force at the time of the supply of the HSD pharmaceutical benefit; or</w:t>
      </w:r>
    </w:p>
    <w:p w:rsidR="00A869FA" w:rsidRPr="00E106BD" w:rsidRDefault="00A869FA" w:rsidP="004E4760">
      <w:pPr>
        <w:pStyle w:val="paragraphsub-sub"/>
      </w:pPr>
      <w:r w:rsidRPr="00E106BD">
        <w:tab/>
        <w:t>(B)</w:t>
      </w:r>
      <w:r w:rsidRPr="00E106BD">
        <w:tab/>
        <w:t xml:space="preserve">if the HSD pharmaceutical benefit has a drug mentioned in </w:t>
      </w:r>
      <w:r w:rsidR="00E106BD">
        <w:t>subsection (</w:t>
      </w:r>
      <w:r w:rsidRPr="00E106BD">
        <w:t>2) in the form mentioned in that subsection for the drug</w:t>
      </w:r>
      <w:r w:rsidR="00295F4A" w:rsidRPr="00E106BD">
        <w:t>—</w:t>
      </w:r>
      <w:r w:rsidRPr="00E106BD">
        <w:t>the extemporaneously</w:t>
      </w:r>
      <w:r w:rsidR="00E106BD">
        <w:noBreakHyphen/>
      </w:r>
      <w:r w:rsidRPr="00E106BD">
        <w:t>prepared disp</w:t>
      </w:r>
      <w:r w:rsidR="00E41951" w:rsidRPr="00E106BD">
        <w:t xml:space="preserve">ensing fee mentioned in </w:t>
      </w:r>
      <w:r w:rsidR="00135C27" w:rsidRPr="00E106BD">
        <w:t>the</w:t>
      </w:r>
      <w:r w:rsidR="00370857" w:rsidRPr="00E106BD">
        <w:t xml:space="preserve"> determination made under paragraph</w:t>
      </w:r>
      <w:r w:rsidR="00E106BD">
        <w:t> </w:t>
      </w:r>
      <w:r w:rsidR="00370857" w:rsidRPr="00E106BD">
        <w:t>98B(1)(a) of the Act</w:t>
      </w:r>
      <w:r w:rsidR="00E41951" w:rsidRPr="00E106BD">
        <w:t>,</w:t>
      </w:r>
      <w:r w:rsidR="00370857" w:rsidRPr="00E106BD">
        <w:t xml:space="preserve"> </w:t>
      </w:r>
      <w:r w:rsidRPr="00E106BD">
        <w:t>as in force at the time of the supply of the HSD pharmaceutical benefit; or</w:t>
      </w:r>
    </w:p>
    <w:p w:rsidR="00A869FA" w:rsidRPr="00E106BD" w:rsidRDefault="00A869FA" w:rsidP="004E4760">
      <w:pPr>
        <w:pStyle w:val="paragraph"/>
      </w:pPr>
      <w:r w:rsidRPr="00E106BD">
        <w:rPr>
          <w:szCs w:val="24"/>
          <w:lang w:eastAsia="en-US"/>
        </w:rPr>
        <w:tab/>
        <w:t>(b)</w:t>
      </w:r>
      <w:r w:rsidRPr="00E106BD">
        <w:rPr>
          <w:szCs w:val="24"/>
          <w:lang w:eastAsia="en-US"/>
        </w:rPr>
        <w:tab/>
        <w:t>if a quantity of the HSD pharmaceutical benefit that is ordered and supplied is less than</w:t>
      </w:r>
      <w:r w:rsidR="00B36E36" w:rsidRPr="00E106BD">
        <w:rPr>
          <w:szCs w:val="24"/>
          <w:lang w:eastAsia="en-US"/>
        </w:rPr>
        <w:t xml:space="preserve"> a pack quantity</w:t>
      </w:r>
      <w:r w:rsidRPr="00E106BD">
        <w:rPr>
          <w:szCs w:val="24"/>
          <w:lang w:eastAsia="en-US"/>
        </w:rPr>
        <w:t>, the sum of:</w:t>
      </w:r>
    </w:p>
    <w:p w:rsidR="00A869FA" w:rsidRPr="00E106BD" w:rsidRDefault="00A869FA" w:rsidP="004E4760">
      <w:pPr>
        <w:pStyle w:val="paragraphsub"/>
      </w:pPr>
      <w:r w:rsidRPr="00E106BD">
        <w:rPr>
          <w:szCs w:val="24"/>
          <w:lang w:eastAsia="en-US"/>
        </w:rPr>
        <w:tab/>
        <w:t>(i)</w:t>
      </w:r>
      <w:r w:rsidRPr="00E106BD">
        <w:rPr>
          <w:szCs w:val="24"/>
          <w:lang w:eastAsia="en-US"/>
        </w:rPr>
        <w:tab/>
      </w:r>
      <w:r w:rsidRPr="00E106BD">
        <w:rPr>
          <w:szCs w:val="24"/>
        </w:rPr>
        <w:t>the amount calculated in accordance with section</w:t>
      </w:r>
      <w:r w:rsidR="00E106BD">
        <w:rPr>
          <w:szCs w:val="24"/>
        </w:rPr>
        <w:t> </w:t>
      </w:r>
      <w:r w:rsidRPr="00E106BD">
        <w:rPr>
          <w:szCs w:val="24"/>
        </w:rPr>
        <w:t>41; and</w:t>
      </w:r>
    </w:p>
    <w:p w:rsidR="00A869FA" w:rsidRPr="00E106BD" w:rsidRDefault="00A869FA" w:rsidP="004E4760">
      <w:pPr>
        <w:pStyle w:val="paragraphsub"/>
      </w:pPr>
      <w:r w:rsidRPr="00E106BD">
        <w:rPr>
          <w:lang w:eastAsia="en-US"/>
        </w:rPr>
        <w:tab/>
        <w:t>(ii)</w:t>
      </w:r>
      <w:r w:rsidRPr="00E106BD">
        <w:rPr>
          <w:lang w:eastAsia="en-US"/>
        </w:rPr>
        <w:tab/>
      </w:r>
      <w:r w:rsidRPr="00E106BD">
        <w:t>either:</w:t>
      </w:r>
    </w:p>
    <w:p w:rsidR="00A869FA" w:rsidRPr="00E106BD" w:rsidRDefault="00A869FA" w:rsidP="004E4760">
      <w:pPr>
        <w:pStyle w:val="paragraphsub-sub"/>
      </w:pPr>
      <w:r w:rsidRPr="00E106BD">
        <w:rPr>
          <w:szCs w:val="24"/>
          <w:lang w:eastAsia="en-US"/>
        </w:rPr>
        <w:tab/>
        <w:t>(A)</w:t>
      </w:r>
      <w:r w:rsidRPr="00E106BD">
        <w:rPr>
          <w:szCs w:val="24"/>
          <w:lang w:eastAsia="en-US"/>
        </w:rPr>
        <w:tab/>
        <w:t>a dispensing fee equal to the dispensing fee for the supply of a ready prepared pharmaceu</w:t>
      </w:r>
      <w:r w:rsidR="00E41951" w:rsidRPr="00E106BD">
        <w:rPr>
          <w:szCs w:val="24"/>
          <w:lang w:eastAsia="en-US"/>
        </w:rPr>
        <w:t>tical benefit, mentioned in the</w:t>
      </w:r>
      <w:r w:rsidRPr="00E106BD">
        <w:rPr>
          <w:szCs w:val="24"/>
        </w:rPr>
        <w:t xml:space="preserve"> </w:t>
      </w:r>
      <w:r w:rsidR="00370857" w:rsidRPr="00E106BD">
        <w:rPr>
          <w:szCs w:val="24"/>
          <w:lang w:eastAsia="en-US"/>
        </w:rPr>
        <w:t>determination made under paragraph</w:t>
      </w:r>
      <w:r w:rsidR="00E106BD">
        <w:rPr>
          <w:szCs w:val="24"/>
          <w:lang w:eastAsia="en-US"/>
        </w:rPr>
        <w:t> </w:t>
      </w:r>
      <w:r w:rsidR="00370857" w:rsidRPr="00E106BD">
        <w:rPr>
          <w:szCs w:val="24"/>
          <w:lang w:eastAsia="en-US"/>
        </w:rPr>
        <w:t>98B(1)(a) of the Act</w:t>
      </w:r>
      <w:r w:rsidR="00E41951" w:rsidRPr="00E106BD">
        <w:rPr>
          <w:szCs w:val="24"/>
          <w:lang w:eastAsia="en-US"/>
        </w:rPr>
        <w:t>,</w:t>
      </w:r>
      <w:r w:rsidR="00370857" w:rsidRPr="00E106BD">
        <w:rPr>
          <w:szCs w:val="24"/>
          <w:lang w:eastAsia="en-US"/>
        </w:rPr>
        <w:t xml:space="preserve"> </w:t>
      </w:r>
      <w:r w:rsidRPr="00E106BD">
        <w:rPr>
          <w:szCs w:val="24"/>
        </w:rPr>
        <w:t xml:space="preserve">as in force </w:t>
      </w:r>
      <w:r w:rsidRPr="00E106BD">
        <w:rPr>
          <w:szCs w:val="24"/>
          <w:lang w:eastAsia="en-US"/>
        </w:rPr>
        <w:t>at the time of the supply of the HSD pharmaceutical benefit; or</w:t>
      </w:r>
    </w:p>
    <w:p w:rsidR="00A869FA" w:rsidRPr="00E106BD" w:rsidRDefault="00A869FA" w:rsidP="004E4760">
      <w:pPr>
        <w:pStyle w:val="paragraphsub-sub"/>
      </w:pPr>
      <w:r w:rsidRPr="00E106BD">
        <w:tab/>
        <w:t>(B)</w:t>
      </w:r>
      <w:r w:rsidRPr="00E106BD">
        <w:tab/>
        <w:t xml:space="preserve">if the HSD pharmaceutical benefit has a drug mentioned in </w:t>
      </w:r>
      <w:r w:rsidR="00E106BD">
        <w:t>subsection (</w:t>
      </w:r>
      <w:r w:rsidRPr="00E106BD">
        <w:t>2) in the form mentioned in that subsection for the drug</w:t>
      </w:r>
      <w:r w:rsidR="00295F4A" w:rsidRPr="00E106BD">
        <w:t>—</w:t>
      </w:r>
      <w:r w:rsidRPr="00E106BD">
        <w:t>the extemporaneously</w:t>
      </w:r>
      <w:r w:rsidR="00E106BD">
        <w:noBreakHyphen/>
      </w:r>
      <w:r w:rsidRPr="00E106BD">
        <w:t>prepared disp</w:t>
      </w:r>
      <w:r w:rsidR="00E41951" w:rsidRPr="00E106BD">
        <w:t xml:space="preserve">ensing fee mentioned in </w:t>
      </w:r>
      <w:r w:rsidR="00135C27" w:rsidRPr="00E106BD">
        <w:t>the</w:t>
      </w:r>
      <w:r w:rsidR="00370857" w:rsidRPr="00E106BD">
        <w:t xml:space="preserve"> determination made under paragraph</w:t>
      </w:r>
      <w:r w:rsidR="00E106BD">
        <w:t> </w:t>
      </w:r>
      <w:r w:rsidR="00370857" w:rsidRPr="00E106BD">
        <w:t>98B(1)(a) of the Act</w:t>
      </w:r>
      <w:r w:rsidR="00E41951" w:rsidRPr="00E106BD">
        <w:t>,</w:t>
      </w:r>
      <w:r w:rsidR="00370857" w:rsidRPr="00E106BD">
        <w:t xml:space="preserve"> </w:t>
      </w:r>
      <w:r w:rsidRPr="00E106BD">
        <w:t>as in force at the time of the supply of the HSD pharmaceutical benefit; or</w:t>
      </w:r>
    </w:p>
    <w:p w:rsidR="00105A3D" w:rsidRPr="00E106BD" w:rsidRDefault="00105A3D" w:rsidP="004E4760">
      <w:pPr>
        <w:pStyle w:val="paragraph"/>
      </w:pPr>
      <w:r w:rsidRPr="00E106BD">
        <w:rPr>
          <w:szCs w:val="24"/>
          <w:lang w:eastAsia="en-US"/>
        </w:rPr>
        <w:tab/>
        <w:t>(c)</w:t>
      </w:r>
      <w:r w:rsidRPr="00E106BD">
        <w:rPr>
          <w:szCs w:val="24"/>
          <w:lang w:eastAsia="en-US"/>
        </w:rPr>
        <w:tab/>
        <w:t>if a quantity of the HSD pharmaceutical benefit that is ordered and supplied is more than a multiple of a pack quantity, the sum of:</w:t>
      </w:r>
    </w:p>
    <w:p w:rsidR="00105A3D" w:rsidRPr="00E106BD" w:rsidRDefault="00105A3D" w:rsidP="004E4760">
      <w:pPr>
        <w:pStyle w:val="paragraphsub"/>
      </w:pPr>
      <w:r w:rsidRPr="00E106BD">
        <w:rPr>
          <w:szCs w:val="24"/>
          <w:lang w:eastAsia="en-US"/>
        </w:rPr>
        <w:tab/>
        <w:t>(i)</w:t>
      </w:r>
      <w:r w:rsidRPr="00E106BD">
        <w:rPr>
          <w:szCs w:val="24"/>
          <w:lang w:eastAsia="en-US"/>
        </w:rPr>
        <w:tab/>
        <w:t>for each pack quantity, the approved ex</w:t>
      </w:r>
      <w:r w:rsidR="00E106BD">
        <w:rPr>
          <w:szCs w:val="24"/>
          <w:lang w:eastAsia="en-US"/>
        </w:rPr>
        <w:noBreakHyphen/>
      </w:r>
      <w:r w:rsidRPr="00E106BD">
        <w:rPr>
          <w:szCs w:val="24"/>
          <w:lang w:eastAsia="en-US"/>
        </w:rPr>
        <w:t>manufacturer price or the proportional ex</w:t>
      </w:r>
      <w:r w:rsidR="00E106BD">
        <w:rPr>
          <w:szCs w:val="24"/>
          <w:lang w:eastAsia="en-US"/>
        </w:rPr>
        <w:noBreakHyphen/>
      </w:r>
      <w:r w:rsidRPr="00E106BD">
        <w:rPr>
          <w:szCs w:val="24"/>
          <w:lang w:eastAsia="en-US"/>
        </w:rPr>
        <w:t>manufacturer price for the pack quantity, plus the mark</w:t>
      </w:r>
      <w:r w:rsidR="00E106BD">
        <w:rPr>
          <w:szCs w:val="24"/>
          <w:lang w:eastAsia="en-US"/>
        </w:rPr>
        <w:noBreakHyphen/>
      </w:r>
      <w:r w:rsidRPr="00E106BD">
        <w:rPr>
          <w:szCs w:val="24"/>
          <w:lang w:eastAsia="en-US"/>
        </w:rPr>
        <w:t>up mentioned in section</w:t>
      </w:r>
      <w:r w:rsidR="00E106BD">
        <w:rPr>
          <w:szCs w:val="24"/>
          <w:lang w:eastAsia="en-US"/>
        </w:rPr>
        <w:t> </w:t>
      </w:r>
      <w:r w:rsidRPr="00E106BD">
        <w:rPr>
          <w:szCs w:val="24"/>
          <w:lang w:eastAsia="en-US"/>
        </w:rPr>
        <w:t>40, taken to the nearest cent, with one half cent being counted as 1</w:t>
      </w:r>
      <w:r w:rsidR="00D41F19" w:rsidRPr="00E106BD">
        <w:rPr>
          <w:szCs w:val="24"/>
          <w:lang w:eastAsia="en-US"/>
        </w:rPr>
        <w:t xml:space="preserve"> </w:t>
      </w:r>
      <w:r w:rsidRPr="00E106BD">
        <w:rPr>
          <w:szCs w:val="24"/>
          <w:lang w:eastAsia="en-US"/>
        </w:rPr>
        <w:t>cent; and</w:t>
      </w:r>
    </w:p>
    <w:p w:rsidR="00105A3D" w:rsidRPr="00E106BD" w:rsidRDefault="00105A3D" w:rsidP="004E4760">
      <w:pPr>
        <w:pStyle w:val="paragraphsub"/>
      </w:pPr>
      <w:r w:rsidRPr="00E106BD">
        <w:tab/>
        <w:t>(ii)</w:t>
      </w:r>
      <w:r w:rsidRPr="00E106BD">
        <w:tab/>
        <w:t>the amount calculated in accordance with section</w:t>
      </w:r>
      <w:r w:rsidR="00E106BD">
        <w:t> </w:t>
      </w:r>
      <w:r w:rsidRPr="00E106BD">
        <w:t xml:space="preserve">41 for the remainder of the quantity supplied that is less than a pack quantity; and </w:t>
      </w:r>
    </w:p>
    <w:p w:rsidR="00A869FA" w:rsidRPr="00E106BD" w:rsidRDefault="00A869FA" w:rsidP="004E4760">
      <w:pPr>
        <w:pStyle w:val="paragraphsub"/>
      </w:pPr>
      <w:r w:rsidRPr="00E106BD">
        <w:tab/>
        <w:t>(iii)</w:t>
      </w:r>
      <w:r w:rsidRPr="00E106BD">
        <w:tab/>
        <w:t>either:</w:t>
      </w:r>
    </w:p>
    <w:p w:rsidR="00A869FA" w:rsidRPr="00E106BD" w:rsidRDefault="00A869FA" w:rsidP="004E4760">
      <w:pPr>
        <w:pStyle w:val="paragraphsub-sub"/>
      </w:pPr>
      <w:r w:rsidRPr="00E106BD">
        <w:rPr>
          <w:szCs w:val="24"/>
          <w:lang w:eastAsia="en-US"/>
        </w:rPr>
        <w:tab/>
        <w:t>(A)</w:t>
      </w:r>
      <w:r w:rsidRPr="00E106BD">
        <w:rPr>
          <w:szCs w:val="24"/>
          <w:lang w:eastAsia="en-US"/>
        </w:rPr>
        <w:tab/>
        <w:t>a dispensing fee equal to the dispensing fee for the supply of a ready prepared pharmaceu</w:t>
      </w:r>
      <w:r w:rsidR="00E41951" w:rsidRPr="00E106BD">
        <w:rPr>
          <w:szCs w:val="24"/>
          <w:lang w:eastAsia="en-US"/>
        </w:rPr>
        <w:t>tical benefit, mentioned in the</w:t>
      </w:r>
      <w:r w:rsidRPr="00E106BD">
        <w:rPr>
          <w:szCs w:val="24"/>
        </w:rPr>
        <w:t xml:space="preserve"> </w:t>
      </w:r>
      <w:r w:rsidR="00370857" w:rsidRPr="00E106BD">
        <w:rPr>
          <w:szCs w:val="24"/>
          <w:lang w:eastAsia="en-US"/>
        </w:rPr>
        <w:t>determination made under paragraph</w:t>
      </w:r>
      <w:r w:rsidR="00E106BD">
        <w:rPr>
          <w:szCs w:val="24"/>
          <w:lang w:eastAsia="en-US"/>
        </w:rPr>
        <w:t> </w:t>
      </w:r>
      <w:r w:rsidR="00370857" w:rsidRPr="00E106BD">
        <w:rPr>
          <w:szCs w:val="24"/>
          <w:lang w:eastAsia="en-US"/>
        </w:rPr>
        <w:t>98B(1)(a) of the Act</w:t>
      </w:r>
      <w:r w:rsidR="00E41951" w:rsidRPr="00E106BD">
        <w:rPr>
          <w:szCs w:val="24"/>
          <w:lang w:eastAsia="en-US"/>
        </w:rPr>
        <w:t>,</w:t>
      </w:r>
      <w:r w:rsidR="00370857" w:rsidRPr="00E106BD">
        <w:rPr>
          <w:szCs w:val="24"/>
          <w:lang w:eastAsia="en-US"/>
        </w:rPr>
        <w:t xml:space="preserve"> </w:t>
      </w:r>
      <w:r w:rsidRPr="00E106BD">
        <w:rPr>
          <w:szCs w:val="24"/>
        </w:rPr>
        <w:t xml:space="preserve">as </w:t>
      </w:r>
      <w:r w:rsidRPr="00E106BD">
        <w:rPr>
          <w:szCs w:val="24"/>
          <w:lang w:eastAsia="en-US"/>
        </w:rPr>
        <w:t>in force at the time of the supply of the HSD pharmaceutical benefit; or</w:t>
      </w:r>
    </w:p>
    <w:p w:rsidR="00A869FA" w:rsidRPr="00E106BD" w:rsidRDefault="00A869FA" w:rsidP="004E4760">
      <w:pPr>
        <w:pStyle w:val="paragraphsub-sub"/>
      </w:pPr>
      <w:r w:rsidRPr="00E106BD">
        <w:tab/>
        <w:t>(B)</w:t>
      </w:r>
      <w:r w:rsidRPr="00E106BD">
        <w:tab/>
        <w:t xml:space="preserve">if the HSD pharmaceutical benefit has the drug mentioned in </w:t>
      </w:r>
      <w:r w:rsidR="00E106BD">
        <w:t>subsection (</w:t>
      </w:r>
      <w:r w:rsidRPr="00E106BD">
        <w:t>2) in the form mentioned in that subsection for the drug</w:t>
      </w:r>
      <w:r w:rsidR="00295F4A" w:rsidRPr="00E106BD">
        <w:t>—</w:t>
      </w:r>
      <w:r w:rsidRPr="00E106BD">
        <w:t>the extemporaneously</w:t>
      </w:r>
      <w:r w:rsidR="00E106BD">
        <w:noBreakHyphen/>
      </w:r>
      <w:r w:rsidRPr="00E106BD">
        <w:t>prepare</w:t>
      </w:r>
      <w:r w:rsidR="00E41951" w:rsidRPr="00E106BD">
        <w:t xml:space="preserve">d dispensing fee set out in </w:t>
      </w:r>
      <w:r w:rsidR="00135C27" w:rsidRPr="00E106BD">
        <w:t>the</w:t>
      </w:r>
      <w:r w:rsidR="00370857" w:rsidRPr="00E106BD">
        <w:t xml:space="preserve"> determination made under paragraph</w:t>
      </w:r>
      <w:r w:rsidR="00E106BD">
        <w:t> </w:t>
      </w:r>
      <w:r w:rsidR="00370857" w:rsidRPr="00E106BD">
        <w:t>98B(1)(a) of the Act</w:t>
      </w:r>
      <w:r w:rsidR="00E41951" w:rsidRPr="00E106BD">
        <w:t>,</w:t>
      </w:r>
      <w:r w:rsidR="00370857" w:rsidRPr="00E106BD">
        <w:t xml:space="preserve"> </w:t>
      </w:r>
      <w:r w:rsidRPr="00E106BD">
        <w:t xml:space="preserve">as in force at the time of the supply of the HSD pharmaceutical benefit. </w:t>
      </w:r>
    </w:p>
    <w:p w:rsidR="00A869FA" w:rsidRPr="00E106BD" w:rsidRDefault="00A869FA" w:rsidP="004E4760">
      <w:pPr>
        <w:pStyle w:val="subsection"/>
      </w:pPr>
      <w:r w:rsidRPr="00E106BD">
        <w:rPr>
          <w:szCs w:val="24"/>
          <w:lang w:eastAsia="en-US"/>
        </w:rPr>
        <w:tab/>
        <w:t>(2)</w:t>
      </w:r>
      <w:r w:rsidRPr="00E106BD">
        <w:rPr>
          <w:szCs w:val="24"/>
          <w:lang w:eastAsia="en-US"/>
        </w:rPr>
        <w:tab/>
        <w:t xml:space="preserve">For </w:t>
      </w:r>
      <w:r w:rsidR="00E106BD">
        <w:rPr>
          <w:szCs w:val="24"/>
          <w:lang w:eastAsia="en-US"/>
        </w:rPr>
        <w:t>sub</w:t>
      </w:r>
      <w:r w:rsidR="00E106BD">
        <w:rPr>
          <w:szCs w:val="24"/>
          <w:lang w:eastAsia="en-US"/>
        </w:rPr>
        <w:noBreakHyphen/>
        <w:t>subparagraphs (</w:t>
      </w:r>
      <w:r w:rsidRPr="00E106BD">
        <w:rPr>
          <w:szCs w:val="24"/>
          <w:lang w:eastAsia="en-US"/>
        </w:rPr>
        <w:t>1)(a)(ii)(B), (1)(b)(ii)(B) and (1)(c)(iii)(B), the drugs and the forms for the drugs are as follows:</w:t>
      </w:r>
    </w:p>
    <w:p w:rsidR="00A869FA" w:rsidRPr="00E106BD" w:rsidRDefault="00A869FA" w:rsidP="004E4760">
      <w:pPr>
        <w:pStyle w:val="paragraph"/>
      </w:pPr>
      <w:r w:rsidRPr="00E106BD">
        <w:rPr>
          <w:szCs w:val="24"/>
          <w:lang w:eastAsia="en-US"/>
        </w:rPr>
        <w:tab/>
        <w:t>(a)</w:t>
      </w:r>
      <w:r w:rsidRPr="00E106BD">
        <w:rPr>
          <w:szCs w:val="24"/>
          <w:lang w:eastAsia="en-US"/>
        </w:rPr>
        <w:tab/>
        <w:t>mycophenolic acid as a powder for oral suspension containing mycophenolate mofetil 1g per 5 mL, 165mL;</w:t>
      </w:r>
    </w:p>
    <w:p w:rsidR="00A869FA" w:rsidRPr="00E106BD" w:rsidRDefault="00A869FA" w:rsidP="004E4760">
      <w:pPr>
        <w:pStyle w:val="paragraph"/>
      </w:pPr>
      <w:r w:rsidRPr="00E106BD">
        <w:tab/>
        <w:t>(c)</w:t>
      </w:r>
      <w:r w:rsidRPr="00E106BD">
        <w:tab/>
        <w:t>valganciclovir as a</w:t>
      </w:r>
      <w:r w:rsidR="002B135E" w:rsidRPr="00E106BD">
        <w:t xml:space="preserve"> </w:t>
      </w:r>
      <w:r w:rsidRPr="00E106BD">
        <w:t>powder for oral solution 50mg (as hydrocholoride) per mL, 100 mL.</w:t>
      </w:r>
    </w:p>
    <w:p w:rsidR="00314F48" w:rsidRPr="00E106BD" w:rsidRDefault="00314F48" w:rsidP="004E4760">
      <w:pPr>
        <w:pStyle w:val="ActHead5"/>
        <w:keepNext w:val="0"/>
        <w:keepLines w:val="0"/>
        <w:rPr>
          <w:rFonts w:cs="Arial"/>
          <w:szCs w:val="24"/>
        </w:rPr>
      </w:pPr>
      <w:bookmarkStart w:id="54" w:name="_Toc53558983"/>
      <w:r w:rsidRPr="00E106BD">
        <w:rPr>
          <w:rStyle w:val="CharSectno"/>
        </w:rPr>
        <w:t>40</w:t>
      </w:r>
      <w:r w:rsidRPr="00E106BD">
        <w:rPr>
          <w:rFonts w:cs="Arial"/>
          <w:szCs w:val="24"/>
          <w:lang w:eastAsia="en-US"/>
        </w:rPr>
        <w:t xml:space="preserve">  Mark</w:t>
      </w:r>
      <w:r w:rsidR="00E106BD">
        <w:rPr>
          <w:rFonts w:cs="Arial"/>
          <w:szCs w:val="24"/>
          <w:lang w:eastAsia="en-US"/>
        </w:rPr>
        <w:noBreakHyphen/>
      </w:r>
      <w:r w:rsidRPr="00E106BD">
        <w:rPr>
          <w:rFonts w:cs="Arial"/>
          <w:szCs w:val="24"/>
          <w:lang w:eastAsia="en-US"/>
        </w:rPr>
        <w:t>up</w:t>
      </w:r>
      <w:bookmarkEnd w:id="54"/>
    </w:p>
    <w:p w:rsidR="00314F48" w:rsidRPr="00E106BD" w:rsidRDefault="00314F48" w:rsidP="004E4760">
      <w:pPr>
        <w:pStyle w:val="subsection"/>
      </w:pPr>
      <w:r w:rsidRPr="00E106BD">
        <w:tab/>
      </w:r>
      <w:r w:rsidRPr="00E106BD">
        <w:tab/>
        <w:t>For subparagraphs</w:t>
      </w:r>
      <w:r w:rsidR="00E106BD">
        <w:t> </w:t>
      </w:r>
      <w:r w:rsidRPr="00E106BD">
        <w:t>39(1)(a)(i) and 39(1)(c)(i) and paragraph</w:t>
      </w:r>
      <w:r w:rsidR="00E106BD">
        <w:t> </w:t>
      </w:r>
      <w:r w:rsidRPr="00E106BD">
        <w:t>41(a), the mark</w:t>
      </w:r>
      <w:r w:rsidR="00E106BD">
        <w:noBreakHyphen/>
      </w:r>
      <w:r w:rsidRPr="00E106BD">
        <w:t>up for a pack quantity of a ready</w:t>
      </w:r>
      <w:r w:rsidR="00E106BD">
        <w:noBreakHyphen/>
      </w:r>
      <w:r w:rsidRPr="00E106BD">
        <w:t xml:space="preserve">prepared pharmaceutical benefit is: </w:t>
      </w:r>
    </w:p>
    <w:p w:rsidR="00314F48" w:rsidRPr="00E106BD" w:rsidRDefault="00314F48" w:rsidP="004E4760">
      <w:pPr>
        <w:pStyle w:val="paragraph"/>
      </w:pPr>
      <w:r w:rsidRPr="00E106BD">
        <w:tab/>
        <w:t>(a)</w:t>
      </w:r>
      <w:r w:rsidRPr="00E106BD">
        <w:tab/>
        <w:t>if the pack quantity for which a mark</w:t>
      </w:r>
      <w:r w:rsidR="00E106BD">
        <w:noBreakHyphen/>
      </w:r>
      <w:r w:rsidRPr="00E106BD">
        <w:t>up is to be calculated under this section is equal to a maximum quantity of the HSD pharmaceutical benefit, the mark</w:t>
      </w:r>
      <w:r w:rsidR="00E106BD">
        <w:noBreakHyphen/>
      </w:r>
      <w:r w:rsidRPr="00E106BD">
        <w:t>up is the amount mentioned in the table below for the approved ex</w:t>
      </w:r>
      <w:r w:rsidR="00E106BD">
        <w:noBreakHyphen/>
      </w:r>
      <w:r w:rsidRPr="00E106BD">
        <w:t>manufacturer price (AEMP) or proportional ex</w:t>
      </w:r>
      <w:r w:rsidR="00E106BD">
        <w:noBreakHyphen/>
      </w:r>
      <w:r w:rsidRPr="00E106BD">
        <w:t>manufacturer p</w:t>
      </w:r>
      <w:r w:rsidR="00133E98" w:rsidRPr="00E106BD">
        <w:t>rice (PEMP) for that quantity.</w:t>
      </w:r>
    </w:p>
    <w:p w:rsidR="007334AB" w:rsidRPr="00E106BD" w:rsidRDefault="007334AB" w:rsidP="004E4760">
      <w:pPr>
        <w:pStyle w:val="paragrap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3284"/>
        <w:gridCol w:w="4055"/>
      </w:tblGrid>
      <w:tr w:rsidR="0036428A" w:rsidRPr="00E106BD" w:rsidTr="0069450D">
        <w:trPr>
          <w:tblHeader/>
        </w:trPr>
        <w:tc>
          <w:tcPr>
            <w:tcW w:w="698" w:type="pct"/>
            <w:tcBorders>
              <w:top w:val="single" w:sz="12" w:space="0" w:color="auto"/>
              <w:bottom w:val="single" w:sz="12" w:space="0" w:color="auto"/>
            </w:tcBorders>
            <w:vAlign w:val="center"/>
          </w:tcPr>
          <w:p w:rsidR="0036428A" w:rsidRPr="00E106BD" w:rsidRDefault="0036428A" w:rsidP="004E4760">
            <w:pPr>
              <w:pStyle w:val="TableColHead"/>
              <w:keepNext w:val="0"/>
              <w:rPr>
                <w:rFonts w:ascii="Times New Roman" w:hAnsi="Times New Roman"/>
              </w:rPr>
            </w:pPr>
            <w:r w:rsidRPr="00E106BD">
              <w:rPr>
                <w:rFonts w:ascii="Times New Roman" w:hAnsi="Times New Roman"/>
              </w:rPr>
              <w:t>Item</w:t>
            </w:r>
          </w:p>
        </w:tc>
        <w:tc>
          <w:tcPr>
            <w:tcW w:w="1925" w:type="pct"/>
            <w:tcBorders>
              <w:top w:val="single" w:sz="12" w:space="0" w:color="auto"/>
              <w:bottom w:val="single" w:sz="12" w:space="0" w:color="auto"/>
            </w:tcBorders>
            <w:vAlign w:val="center"/>
          </w:tcPr>
          <w:p w:rsidR="0036428A" w:rsidRPr="00E106BD" w:rsidRDefault="0036428A" w:rsidP="004E4760">
            <w:pPr>
              <w:pStyle w:val="TableColHead"/>
              <w:keepNext w:val="0"/>
              <w:rPr>
                <w:rFonts w:ascii="Times New Roman" w:hAnsi="Times New Roman"/>
              </w:rPr>
            </w:pPr>
            <w:r w:rsidRPr="00E106BD">
              <w:rPr>
                <w:rFonts w:ascii="Times New Roman" w:hAnsi="Times New Roman"/>
              </w:rPr>
              <w:t>AEMP or PEMP for Maximum Quantity</w:t>
            </w:r>
          </w:p>
        </w:tc>
        <w:tc>
          <w:tcPr>
            <w:tcW w:w="2377" w:type="pct"/>
            <w:tcBorders>
              <w:top w:val="single" w:sz="12" w:space="0" w:color="auto"/>
              <w:bottom w:val="single" w:sz="12" w:space="0" w:color="auto"/>
            </w:tcBorders>
            <w:vAlign w:val="center"/>
          </w:tcPr>
          <w:p w:rsidR="0036428A" w:rsidRPr="00E106BD" w:rsidRDefault="0036428A" w:rsidP="004E4760">
            <w:pPr>
              <w:pStyle w:val="TableColHead"/>
              <w:keepNext w:val="0"/>
              <w:rPr>
                <w:rFonts w:ascii="Times New Roman" w:hAnsi="Times New Roman"/>
              </w:rPr>
            </w:pPr>
            <w:r w:rsidRPr="00E106BD">
              <w:rPr>
                <w:rFonts w:ascii="Times New Roman" w:hAnsi="Times New Roman"/>
              </w:rPr>
              <w:t>Mark</w:t>
            </w:r>
            <w:r w:rsidR="00E106BD">
              <w:rPr>
                <w:rFonts w:ascii="Times New Roman" w:hAnsi="Times New Roman"/>
              </w:rPr>
              <w:noBreakHyphen/>
            </w:r>
            <w:r w:rsidRPr="00E106BD">
              <w:rPr>
                <w:rFonts w:ascii="Times New Roman" w:hAnsi="Times New Roman"/>
              </w:rPr>
              <w:t>up for Maximum Quantity</w:t>
            </w:r>
          </w:p>
        </w:tc>
      </w:tr>
      <w:tr w:rsidR="0036428A" w:rsidRPr="00E106BD" w:rsidTr="0069450D">
        <w:tc>
          <w:tcPr>
            <w:tcW w:w="698" w:type="pct"/>
            <w:tcBorders>
              <w:top w:val="single" w:sz="12" w:space="0" w:color="auto"/>
              <w:bottom w:val="single" w:sz="6" w:space="0" w:color="auto"/>
            </w:tcBorders>
            <w:vAlign w:val="center"/>
          </w:tcPr>
          <w:p w:rsidR="0036428A" w:rsidRPr="00E106BD" w:rsidRDefault="0036428A" w:rsidP="004E4760">
            <w:pPr>
              <w:pStyle w:val="Tabletext"/>
            </w:pPr>
            <w:r w:rsidRPr="00E106BD">
              <w:t>1</w:t>
            </w:r>
          </w:p>
        </w:tc>
        <w:tc>
          <w:tcPr>
            <w:tcW w:w="1925" w:type="pct"/>
            <w:tcBorders>
              <w:top w:val="single" w:sz="12" w:space="0" w:color="auto"/>
              <w:bottom w:val="single" w:sz="6" w:space="0" w:color="auto"/>
            </w:tcBorders>
            <w:vAlign w:val="center"/>
          </w:tcPr>
          <w:p w:rsidR="0036428A" w:rsidRPr="00E106BD" w:rsidRDefault="0036428A" w:rsidP="004E4760">
            <w:pPr>
              <w:pStyle w:val="Tabletext"/>
            </w:pPr>
            <w:r w:rsidRPr="00E106BD">
              <w:t>&lt; $40</w:t>
            </w:r>
          </w:p>
        </w:tc>
        <w:tc>
          <w:tcPr>
            <w:tcW w:w="2377" w:type="pct"/>
            <w:tcBorders>
              <w:top w:val="single" w:sz="12" w:space="0" w:color="auto"/>
              <w:bottom w:val="single" w:sz="6" w:space="0" w:color="auto"/>
            </w:tcBorders>
            <w:vAlign w:val="center"/>
          </w:tcPr>
          <w:p w:rsidR="0036428A" w:rsidRPr="00E106BD" w:rsidRDefault="00133E98" w:rsidP="004E4760">
            <w:pPr>
              <w:pStyle w:val="Tabletext"/>
            </w:pPr>
            <w:r w:rsidRPr="00E106BD">
              <w:t xml:space="preserve">10% of </w:t>
            </w:r>
            <w:r w:rsidR="0036428A" w:rsidRPr="00E106BD">
              <w:t>AEMP or PEMP</w:t>
            </w:r>
          </w:p>
        </w:tc>
      </w:tr>
      <w:tr w:rsidR="0036428A" w:rsidRPr="00E106BD" w:rsidTr="0069450D">
        <w:tc>
          <w:tcPr>
            <w:tcW w:w="698" w:type="pct"/>
            <w:tcBorders>
              <w:top w:val="single" w:sz="6" w:space="0" w:color="auto"/>
              <w:bottom w:val="single" w:sz="6" w:space="0" w:color="auto"/>
            </w:tcBorders>
            <w:vAlign w:val="center"/>
          </w:tcPr>
          <w:p w:rsidR="0036428A" w:rsidRPr="00E106BD" w:rsidRDefault="0036428A" w:rsidP="004E4760">
            <w:pPr>
              <w:pStyle w:val="Tabletext"/>
            </w:pPr>
            <w:r w:rsidRPr="00E106BD">
              <w:t>2</w:t>
            </w:r>
          </w:p>
        </w:tc>
        <w:tc>
          <w:tcPr>
            <w:tcW w:w="1925" w:type="pct"/>
            <w:tcBorders>
              <w:top w:val="single" w:sz="6" w:space="0" w:color="auto"/>
              <w:bottom w:val="single" w:sz="6" w:space="0" w:color="auto"/>
            </w:tcBorders>
            <w:vAlign w:val="center"/>
          </w:tcPr>
          <w:p w:rsidR="0036428A" w:rsidRPr="00E106BD" w:rsidRDefault="0036428A" w:rsidP="004E4760">
            <w:pPr>
              <w:pStyle w:val="Tabletext"/>
            </w:pPr>
            <w:r w:rsidRPr="00E106BD">
              <w:t>≥ $40, ≤ $100</w:t>
            </w:r>
          </w:p>
        </w:tc>
        <w:tc>
          <w:tcPr>
            <w:tcW w:w="2377" w:type="pct"/>
            <w:tcBorders>
              <w:top w:val="single" w:sz="6" w:space="0" w:color="auto"/>
              <w:bottom w:val="single" w:sz="6" w:space="0" w:color="auto"/>
            </w:tcBorders>
            <w:vAlign w:val="center"/>
          </w:tcPr>
          <w:p w:rsidR="0036428A" w:rsidRPr="00E106BD" w:rsidRDefault="0036428A" w:rsidP="004E4760">
            <w:pPr>
              <w:pStyle w:val="Tabletext"/>
            </w:pPr>
            <w:r w:rsidRPr="00E106BD">
              <w:t>$4.00</w:t>
            </w:r>
          </w:p>
        </w:tc>
      </w:tr>
      <w:tr w:rsidR="0036428A" w:rsidRPr="00E106BD" w:rsidTr="0069450D">
        <w:tc>
          <w:tcPr>
            <w:tcW w:w="698" w:type="pct"/>
            <w:tcBorders>
              <w:top w:val="single" w:sz="6" w:space="0" w:color="auto"/>
              <w:bottom w:val="single" w:sz="6" w:space="0" w:color="auto"/>
            </w:tcBorders>
            <w:vAlign w:val="center"/>
          </w:tcPr>
          <w:p w:rsidR="0036428A" w:rsidRPr="00E106BD" w:rsidRDefault="0036428A" w:rsidP="004E4760">
            <w:pPr>
              <w:pStyle w:val="Tabletext"/>
            </w:pPr>
            <w:r w:rsidRPr="00E106BD">
              <w:t>3</w:t>
            </w:r>
          </w:p>
        </w:tc>
        <w:tc>
          <w:tcPr>
            <w:tcW w:w="1925" w:type="pct"/>
            <w:tcBorders>
              <w:top w:val="single" w:sz="6" w:space="0" w:color="auto"/>
              <w:bottom w:val="single" w:sz="6" w:space="0" w:color="auto"/>
            </w:tcBorders>
            <w:vAlign w:val="center"/>
          </w:tcPr>
          <w:p w:rsidR="0036428A" w:rsidRPr="00E106BD" w:rsidRDefault="0036428A" w:rsidP="004E4760">
            <w:pPr>
              <w:pStyle w:val="Tabletext"/>
            </w:pPr>
            <w:r w:rsidRPr="00E106BD">
              <w:t>&gt; $100, ≤ $1,000</w:t>
            </w:r>
          </w:p>
        </w:tc>
        <w:tc>
          <w:tcPr>
            <w:tcW w:w="2377" w:type="pct"/>
            <w:tcBorders>
              <w:top w:val="single" w:sz="6" w:space="0" w:color="auto"/>
              <w:bottom w:val="single" w:sz="6" w:space="0" w:color="auto"/>
            </w:tcBorders>
            <w:vAlign w:val="center"/>
          </w:tcPr>
          <w:p w:rsidR="0036428A" w:rsidRPr="00E106BD" w:rsidRDefault="0036428A" w:rsidP="004E4760">
            <w:pPr>
              <w:pStyle w:val="Tabletext"/>
            </w:pPr>
            <w:r w:rsidRPr="00E106BD">
              <w:t>4% of AEMP or PEMP</w:t>
            </w:r>
          </w:p>
        </w:tc>
      </w:tr>
      <w:tr w:rsidR="0036428A" w:rsidRPr="00E106BD" w:rsidTr="0069450D">
        <w:tc>
          <w:tcPr>
            <w:tcW w:w="698" w:type="pct"/>
            <w:tcBorders>
              <w:top w:val="single" w:sz="6" w:space="0" w:color="auto"/>
              <w:bottom w:val="single" w:sz="12" w:space="0" w:color="auto"/>
            </w:tcBorders>
            <w:vAlign w:val="center"/>
          </w:tcPr>
          <w:p w:rsidR="0036428A" w:rsidRPr="00E106BD" w:rsidRDefault="0036428A" w:rsidP="004E4760">
            <w:pPr>
              <w:pStyle w:val="Tabletext"/>
            </w:pPr>
            <w:r w:rsidRPr="00E106BD">
              <w:t>4</w:t>
            </w:r>
          </w:p>
        </w:tc>
        <w:tc>
          <w:tcPr>
            <w:tcW w:w="1925" w:type="pct"/>
            <w:tcBorders>
              <w:top w:val="single" w:sz="6" w:space="0" w:color="auto"/>
              <w:bottom w:val="single" w:sz="12" w:space="0" w:color="auto"/>
            </w:tcBorders>
            <w:vAlign w:val="center"/>
          </w:tcPr>
          <w:p w:rsidR="0036428A" w:rsidRPr="00E106BD" w:rsidRDefault="0036428A" w:rsidP="004E4760">
            <w:pPr>
              <w:pStyle w:val="Tabletext"/>
            </w:pPr>
            <w:r w:rsidRPr="00E106BD">
              <w:t>&gt; $1,000</w:t>
            </w:r>
          </w:p>
        </w:tc>
        <w:tc>
          <w:tcPr>
            <w:tcW w:w="2377" w:type="pct"/>
            <w:tcBorders>
              <w:top w:val="single" w:sz="6" w:space="0" w:color="auto"/>
              <w:bottom w:val="single" w:sz="12" w:space="0" w:color="auto"/>
            </w:tcBorders>
            <w:vAlign w:val="center"/>
          </w:tcPr>
          <w:p w:rsidR="0036428A" w:rsidRPr="00E106BD" w:rsidRDefault="007334AB" w:rsidP="004E4760">
            <w:pPr>
              <w:pStyle w:val="Tabletext"/>
            </w:pPr>
            <w:r w:rsidRPr="00E106BD">
              <w:t>$40.00</w:t>
            </w:r>
          </w:p>
        </w:tc>
      </w:tr>
    </w:tbl>
    <w:p w:rsidR="0036428A" w:rsidRPr="00E106BD" w:rsidRDefault="0036428A" w:rsidP="004E4760">
      <w:pPr>
        <w:pStyle w:val="paragraph"/>
        <w:tabs>
          <w:tab w:val="clear" w:pos="1531"/>
          <w:tab w:val="right" w:pos="1701"/>
        </w:tabs>
        <w:ind w:left="1701"/>
      </w:pPr>
    </w:p>
    <w:p w:rsidR="00314F48" w:rsidRPr="00E106BD" w:rsidRDefault="00314F48" w:rsidP="004E4760">
      <w:pPr>
        <w:pStyle w:val="paragraph"/>
        <w:rPr>
          <w:lang w:eastAsia="en-US"/>
        </w:rPr>
      </w:pPr>
      <w:r w:rsidRPr="00E106BD">
        <w:rPr>
          <w:lang w:eastAsia="en-US"/>
        </w:rPr>
        <w:tab/>
        <w:t>(b)</w:t>
      </w:r>
      <w:r w:rsidRPr="00E106BD">
        <w:rPr>
          <w:lang w:eastAsia="en-US"/>
        </w:rPr>
        <w:tab/>
        <w:t>if the pack quantity for which a mark</w:t>
      </w:r>
      <w:r w:rsidR="00E106BD">
        <w:rPr>
          <w:lang w:eastAsia="en-US"/>
        </w:rPr>
        <w:noBreakHyphen/>
      </w:r>
      <w:r w:rsidRPr="00E106BD">
        <w:rPr>
          <w:lang w:eastAsia="en-US"/>
        </w:rPr>
        <w:t>up is to be calculated under this section is not equal to a maximum quantity of the HSD pharmaceutical benefit, the mark</w:t>
      </w:r>
      <w:r w:rsidR="00E106BD">
        <w:rPr>
          <w:lang w:eastAsia="en-US"/>
        </w:rPr>
        <w:noBreakHyphen/>
      </w:r>
      <w:r w:rsidRPr="00E106BD">
        <w:rPr>
          <w:lang w:eastAsia="en-US"/>
        </w:rPr>
        <w:t>up is worked out as follows:</w:t>
      </w:r>
    </w:p>
    <w:p w:rsidR="00314F48" w:rsidRPr="00E106BD" w:rsidRDefault="00314F48" w:rsidP="004E4760">
      <w:pPr>
        <w:pStyle w:val="paragraphsub"/>
      </w:pPr>
      <w:r w:rsidRPr="00E106BD">
        <w:tab/>
      </w:r>
      <w:r w:rsidR="0081330F" w:rsidRPr="00E106BD">
        <w:t>(i)</w:t>
      </w:r>
      <w:r w:rsidRPr="00E106BD">
        <w:tab/>
        <w:t>if the mark</w:t>
      </w:r>
      <w:r w:rsidR="00E106BD">
        <w:noBreakHyphen/>
      </w:r>
      <w:r w:rsidRPr="00E106BD">
        <w:t xml:space="preserve">up that would apply to the maximum quantity is shown in the table in </w:t>
      </w:r>
      <w:r w:rsidR="00E106BD">
        <w:t>paragraph (</w:t>
      </w:r>
      <w:r w:rsidRPr="00E106BD">
        <w:t>a) as a monetary amount</w:t>
      </w:r>
      <w:r w:rsidR="00E65103" w:rsidRPr="00E106BD">
        <w:t>—</w:t>
      </w:r>
      <w:r w:rsidRPr="00E106BD">
        <w:t>the mark</w:t>
      </w:r>
      <w:r w:rsidR="00E106BD">
        <w:noBreakHyphen/>
      </w:r>
      <w:r w:rsidRPr="00E106BD">
        <w:t>up for the pack quantity is that monetary amount reduced proportionately for the relative quantities; and</w:t>
      </w:r>
    </w:p>
    <w:p w:rsidR="00314F48" w:rsidRPr="00E106BD" w:rsidRDefault="00314F48" w:rsidP="004E4760">
      <w:pPr>
        <w:pStyle w:val="paragraphsub"/>
      </w:pPr>
      <w:r w:rsidRPr="00E106BD">
        <w:tab/>
        <w:t>(ii)</w:t>
      </w:r>
      <w:r w:rsidRPr="00E106BD">
        <w:tab/>
        <w:t>if the mark</w:t>
      </w:r>
      <w:r w:rsidR="00E106BD">
        <w:noBreakHyphen/>
      </w:r>
      <w:r w:rsidRPr="00E106BD">
        <w:t xml:space="preserve">up that would apply to the maximum quantity is shown in the table in </w:t>
      </w:r>
      <w:r w:rsidR="00E106BD">
        <w:t>paragraph (</w:t>
      </w:r>
      <w:r w:rsidRPr="00E106BD">
        <w:t>a) as a percentage of AEMP or PEMP</w:t>
      </w:r>
      <w:r w:rsidR="00E65103" w:rsidRPr="00E106BD">
        <w:t>—</w:t>
      </w:r>
      <w:r w:rsidRPr="00E106BD">
        <w:t>the mark</w:t>
      </w:r>
      <w:r w:rsidR="00E106BD">
        <w:noBreakHyphen/>
      </w:r>
      <w:r w:rsidRPr="00E106BD">
        <w:t>up for the pack quantity is that percentage of the AEMP or PEMP for the pack quantity.</w:t>
      </w:r>
    </w:p>
    <w:p w:rsidR="00CA127B" w:rsidRPr="00E106BD" w:rsidRDefault="00105A3D" w:rsidP="004E4760">
      <w:pPr>
        <w:pStyle w:val="ActHead5"/>
        <w:keepNext w:val="0"/>
        <w:keepLines w:val="0"/>
      </w:pPr>
      <w:bookmarkStart w:id="55" w:name="_Toc53558984"/>
      <w:r w:rsidRPr="00E106BD">
        <w:rPr>
          <w:rStyle w:val="CharSectno"/>
        </w:rPr>
        <w:t>41</w:t>
      </w:r>
      <w:r w:rsidR="00295F4A" w:rsidRPr="00E106BD">
        <w:t xml:space="preserve">  </w:t>
      </w:r>
      <w:r w:rsidRPr="00E106BD">
        <w:t>Where quantity is less than a pack quantity</w:t>
      </w:r>
      <w:bookmarkEnd w:id="55"/>
    </w:p>
    <w:p w:rsidR="00105A3D" w:rsidRPr="00E106BD" w:rsidRDefault="00105A3D" w:rsidP="004E4760">
      <w:pPr>
        <w:pStyle w:val="subsection"/>
      </w:pPr>
      <w:r w:rsidRPr="00E106BD">
        <w:rPr>
          <w:szCs w:val="24"/>
          <w:lang w:eastAsia="en-US"/>
        </w:rPr>
        <w:tab/>
      </w:r>
      <w:r w:rsidRPr="00E106BD">
        <w:rPr>
          <w:szCs w:val="24"/>
          <w:lang w:eastAsia="en-US"/>
        </w:rPr>
        <w:tab/>
        <w:t>If the quantity of an HSD pharmaceutical benefit that is ordered and supplied is less than a pack quantity of the benefit (a broken quantity), the amount mentioned in subparagraph</w:t>
      </w:r>
      <w:r w:rsidR="00E106BD">
        <w:rPr>
          <w:szCs w:val="24"/>
          <w:lang w:eastAsia="en-US"/>
        </w:rPr>
        <w:t> </w:t>
      </w:r>
      <w:r w:rsidRPr="00E106BD">
        <w:rPr>
          <w:szCs w:val="24"/>
          <w:lang w:eastAsia="en-US"/>
        </w:rPr>
        <w:t>39(b)(i) and 39(c)(ii) is to be calculated by:</w:t>
      </w:r>
    </w:p>
    <w:p w:rsidR="00105A3D" w:rsidRPr="00E106BD" w:rsidRDefault="00105A3D" w:rsidP="004E4760">
      <w:pPr>
        <w:pStyle w:val="paragraph"/>
      </w:pPr>
      <w:r w:rsidRPr="00E106BD">
        <w:rPr>
          <w:szCs w:val="24"/>
          <w:lang w:eastAsia="en-US"/>
        </w:rPr>
        <w:tab/>
        <w:t>(a)</w:t>
      </w:r>
      <w:r w:rsidRPr="00E106BD">
        <w:rPr>
          <w:szCs w:val="24"/>
          <w:lang w:eastAsia="en-US"/>
        </w:rPr>
        <w:tab/>
        <w:t>adding the mark</w:t>
      </w:r>
      <w:r w:rsidR="00E106BD">
        <w:rPr>
          <w:szCs w:val="24"/>
          <w:lang w:eastAsia="en-US"/>
        </w:rPr>
        <w:noBreakHyphen/>
      </w:r>
      <w:r w:rsidRPr="00E106BD">
        <w:rPr>
          <w:szCs w:val="24"/>
          <w:lang w:eastAsia="en-US"/>
        </w:rPr>
        <w:t>up mentioned in section</w:t>
      </w:r>
      <w:r w:rsidR="00E106BD">
        <w:rPr>
          <w:szCs w:val="24"/>
          <w:lang w:eastAsia="en-US"/>
        </w:rPr>
        <w:t> </w:t>
      </w:r>
      <w:r w:rsidRPr="00E106BD">
        <w:rPr>
          <w:szCs w:val="24"/>
          <w:lang w:eastAsia="en-US"/>
        </w:rPr>
        <w:t>40 to the approved ex</w:t>
      </w:r>
      <w:r w:rsidR="00E106BD">
        <w:rPr>
          <w:szCs w:val="24"/>
          <w:lang w:eastAsia="en-US"/>
        </w:rPr>
        <w:noBreakHyphen/>
      </w:r>
      <w:r w:rsidRPr="00E106BD">
        <w:rPr>
          <w:szCs w:val="24"/>
          <w:lang w:eastAsia="en-US"/>
        </w:rPr>
        <w:t>manufacturer price or the proportional ex</w:t>
      </w:r>
      <w:r w:rsidR="00E106BD">
        <w:rPr>
          <w:szCs w:val="24"/>
          <w:lang w:eastAsia="en-US"/>
        </w:rPr>
        <w:noBreakHyphen/>
      </w:r>
      <w:r w:rsidRPr="00E106BD">
        <w:rPr>
          <w:szCs w:val="24"/>
          <w:lang w:eastAsia="en-US"/>
        </w:rPr>
        <w:t>manufacturer price for the pack quantity, taking the result to the nearest cent, with one half cent being counted as 1 cent; and</w:t>
      </w:r>
    </w:p>
    <w:p w:rsidR="00105A3D" w:rsidRPr="00E106BD" w:rsidRDefault="00105A3D" w:rsidP="004E4760">
      <w:pPr>
        <w:pStyle w:val="paragraph"/>
      </w:pPr>
      <w:r w:rsidRPr="00E106BD">
        <w:tab/>
        <w:t>(b)</w:t>
      </w:r>
      <w:r w:rsidRPr="00E106BD">
        <w:tab/>
        <w:t>dividing the quantity or number of units in the broken quantity by the pack quantity, expressed as a percentage to 2 decimal places; and</w:t>
      </w:r>
    </w:p>
    <w:p w:rsidR="00105A3D" w:rsidRPr="00E106BD" w:rsidRDefault="00105A3D" w:rsidP="004E4760">
      <w:pPr>
        <w:pStyle w:val="paragraph"/>
      </w:pPr>
      <w:r w:rsidRPr="00E106BD">
        <w:tab/>
        <w:t>(c)</w:t>
      </w:r>
      <w:r w:rsidRPr="00E106BD">
        <w:tab/>
        <w:t xml:space="preserve">applying the percentage worked out under </w:t>
      </w:r>
      <w:r w:rsidR="00E106BD">
        <w:t>subparagraph (</w:t>
      </w:r>
      <w:r w:rsidRPr="00E106BD">
        <w:t xml:space="preserve">b) to the amount worked out under </w:t>
      </w:r>
      <w:r w:rsidR="00E106BD">
        <w:t>subparagraph (</w:t>
      </w:r>
      <w:r w:rsidRPr="00E106BD">
        <w:t>a).</w:t>
      </w:r>
    </w:p>
    <w:p w:rsidR="00E477BB" w:rsidRPr="00E106BD" w:rsidRDefault="00E477BB" w:rsidP="00E477BB">
      <w:pPr>
        <w:pStyle w:val="ActHead5"/>
      </w:pPr>
      <w:bookmarkStart w:id="56" w:name="_Toc53558985"/>
      <w:r w:rsidRPr="00E106BD">
        <w:rPr>
          <w:rStyle w:val="CharSectno"/>
        </w:rPr>
        <w:t>42</w:t>
      </w:r>
      <w:r w:rsidRPr="00E106BD">
        <w:t xml:space="preserve">  Dispensing fee if quantity of repeated supply directed to be supplied on one occasion</w:t>
      </w:r>
      <w:bookmarkEnd w:id="56"/>
    </w:p>
    <w:p w:rsidR="00E477BB" w:rsidRPr="00E106BD" w:rsidRDefault="00E477BB" w:rsidP="00E477BB">
      <w:pPr>
        <w:pStyle w:val="subsection"/>
        <w:rPr>
          <w:szCs w:val="24"/>
          <w:lang w:eastAsia="en-US"/>
        </w:rPr>
      </w:pPr>
      <w:r w:rsidRPr="00E106BD">
        <w:rPr>
          <w:szCs w:val="24"/>
          <w:lang w:eastAsia="en-US"/>
        </w:rPr>
        <w:tab/>
      </w:r>
      <w:r w:rsidRPr="00E106BD">
        <w:rPr>
          <w:szCs w:val="24"/>
          <w:lang w:eastAsia="en-US"/>
        </w:rPr>
        <w:tab/>
        <w:t xml:space="preserve">If an </w:t>
      </w:r>
      <w:r w:rsidRPr="00E106BD">
        <w:rPr>
          <w:szCs w:val="24"/>
        </w:rPr>
        <w:t>authorised prescriber for an HSD pharmaceutical benefit</w:t>
      </w:r>
      <w:r w:rsidRPr="00E106BD">
        <w:rPr>
          <w:szCs w:val="24"/>
          <w:lang w:eastAsia="en-US"/>
        </w:rPr>
        <w:t xml:space="preserve">, instead of directing a repeated supply of the HSD pharmaceutical benefit, directs the supply on one occasion of a quantity or number of units of the HSD pharmaceutical benefit, not exceeding the total quantity or number of units that could be prescribed if the </w:t>
      </w:r>
      <w:r w:rsidRPr="00E106BD">
        <w:rPr>
          <w:szCs w:val="24"/>
        </w:rPr>
        <w:t>authorised prescriber</w:t>
      </w:r>
      <w:r w:rsidRPr="00E106BD">
        <w:rPr>
          <w:szCs w:val="24"/>
          <w:lang w:eastAsia="en-US"/>
        </w:rPr>
        <w:t xml:space="preserve"> directed a repeated supply, the dispensed price for the supply of the HSD pharmaceutical benefit will include only one dispensing fee.</w:t>
      </w:r>
    </w:p>
    <w:p w:rsidR="00E477BB" w:rsidRPr="00E106BD" w:rsidRDefault="00E477BB" w:rsidP="00E477BB">
      <w:pPr>
        <w:pStyle w:val="notetext"/>
      </w:pPr>
      <w:r w:rsidRPr="00E106BD">
        <w:t>Note:</w:t>
      </w:r>
      <w:r w:rsidRPr="00E106BD">
        <w:tab/>
        <w:t>See section</w:t>
      </w:r>
      <w:r w:rsidR="00E106BD">
        <w:t> </w:t>
      </w:r>
      <w:r w:rsidRPr="00E106BD">
        <w:t>49 of the Regulations for the circumstances in which such a supply may be directed.</w:t>
      </w:r>
    </w:p>
    <w:p w:rsidR="00A869FA" w:rsidRPr="00E106BD" w:rsidRDefault="00295F4A" w:rsidP="004E4760">
      <w:pPr>
        <w:pStyle w:val="ActHead3"/>
        <w:keepNext w:val="0"/>
        <w:keepLines w:val="0"/>
        <w:pageBreakBefore/>
        <w:rPr>
          <w:lang w:eastAsia="en-US"/>
        </w:rPr>
      </w:pPr>
      <w:bookmarkStart w:id="57" w:name="_Toc53558986"/>
      <w:r w:rsidRPr="00E106BD">
        <w:rPr>
          <w:rStyle w:val="CharDivNo"/>
        </w:rPr>
        <w:t>Division</w:t>
      </w:r>
      <w:r w:rsidR="00E106BD">
        <w:rPr>
          <w:rStyle w:val="CharDivNo"/>
        </w:rPr>
        <w:t> </w:t>
      </w:r>
      <w:r w:rsidR="00A869FA" w:rsidRPr="00E106BD">
        <w:rPr>
          <w:rStyle w:val="CharDivNo"/>
        </w:rPr>
        <w:t>3</w:t>
      </w:r>
      <w:r w:rsidRPr="00E106BD">
        <w:t>—</w:t>
      </w:r>
      <w:r w:rsidR="00A869FA" w:rsidRPr="00E106BD">
        <w:rPr>
          <w:rStyle w:val="CharDivText"/>
        </w:rPr>
        <w:t>Dispensed price</w:t>
      </w:r>
      <w:r w:rsidRPr="00E106BD">
        <w:rPr>
          <w:rStyle w:val="CharDivText"/>
        </w:rPr>
        <w:t>—</w:t>
      </w:r>
      <w:r w:rsidR="00A869FA" w:rsidRPr="00E106BD">
        <w:rPr>
          <w:rStyle w:val="CharDivText"/>
        </w:rPr>
        <w:t>other matters</w:t>
      </w:r>
      <w:bookmarkEnd w:id="57"/>
    </w:p>
    <w:p w:rsidR="00A869FA" w:rsidRPr="00E106BD" w:rsidRDefault="00A869FA" w:rsidP="004E4760">
      <w:pPr>
        <w:pStyle w:val="ActHead5"/>
        <w:keepNext w:val="0"/>
        <w:keepLines w:val="0"/>
      </w:pPr>
      <w:bookmarkStart w:id="58" w:name="_Toc53558987"/>
      <w:r w:rsidRPr="00E106BD">
        <w:rPr>
          <w:rStyle w:val="CharSectno"/>
        </w:rPr>
        <w:t>44</w:t>
      </w:r>
      <w:r w:rsidR="00295F4A" w:rsidRPr="00E106BD">
        <w:t xml:space="preserve">  </w:t>
      </w:r>
      <w:r w:rsidRPr="00E106BD">
        <w:t>Rounding up of dispensed price</w:t>
      </w:r>
      <w:bookmarkEnd w:id="58"/>
    </w:p>
    <w:p w:rsidR="00A869FA" w:rsidRPr="00E106BD" w:rsidRDefault="00A869FA" w:rsidP="004E4760">
      <w:pPr>
        <w:pStyle w:val="subsection"/>
      </w:pPr>
      <w:r w:rsidRPr="00E106BD">
        <w:rPr>
          <w:szCs w:val="24"/>
          <w:lang w:eastAsia="en-US"/>
        </w:rPr>
        <w:tab/>
      </w:r>
      <w:r w:rsidRPr="00E106BD">
        <w:rPr>
          <w:szCs w:val="24"/>
          <w:lang w:eastAsia="en-US"/>
        </w:rPr>
        <w:tab/>
        <w:t>The dispensed price for the supply of an HSD pharmaceutical benefit will in each case be taken to the nearest cent, one half cent being counted as one cent.</w:t>
      </w:r>
    </w:p>
    <w:p w:rsidR="00A869FA" w:rsidRPr="00E106BD" w:rsidRDefault="00295F4A" w:rsidP="004E4760">
      <w:pPr>
        <w:pStyle w:val="ActHead2"/>
        <w:keepNext w:val="0"/>
        <w:keepLines w:val="0"/>
        <w:pageBreakBefore/>
        <w:rPr>
          <w:color w:val="000000"/>
        </w:rPr>
      </w:pPr>
      <w:bookmarkStart w:id="59" w:name="_Toc53558988"/>
      <w:r w:rsidRPr="00E106BD">
        <w:rPr>
          <w:rStyle w:val="CharPartNo"/>
        </w:rPr>
        <w:t>Part</w:t>
      </w:r>
      <w:r w:rsidR="00E106BD">
        <w:rPr>
          <w:rStyle w:val="CharPartNo"/>
        </w:rPr>
        <w:t> </w:t>
      </w:r>
      <w:r w:rsidR="00A869FA" w:rsidRPr="00E106BD">
        <w:rPr>
          <w:rStyle w:val="CharPartNo"/>
        </w:rPr>
        <w:t>6</w:t>
      </w:r>
      <w:r w:rsidRPr="00E106BD">
        <w:rPr>
          <w:color w:val="000000"/>
        </w:rPr>
        <w:t>—</w:t>
      </w:r>
      <w:r w:rsidR="00A869FA" w:rsidRPr="00E106BD">
        <w:rPr>
          <w:rStyle w:val="CharPartText"/>
        </w:rPr>
        <w:t>Patient contributions</w:t>
      </w:r>
      <w:bookmarkEnd w:id="59"/>
    </w:p>
    <w:p w:rsidR="00A869FA" w:rsidRPr="00E106BD" w:rsidRDefault="00295F4A" w:rsidP="004E4760">
      <w:pPr>
        <w:pStyle w:val="Header"/>
        <w:keepNext w:val="0"/>
        <w:keepLines w:val="0"/>
      </w:pPr>
      <w:r w:rsidRPr="00E106BD">
        <w:rPr>
          <w:rStyle w:val="CharDivNo"/>
        </w:rPr>
        <w:t xml:space="preserve"> </w:t>
      </w:r>
      <w:r w:rsidRPr="00E106BD">
        <w:rPr>
          <w:rStyle w:val="CharDivText"/>
        </w:rPr>
        <w:t xml:space="preserve"> </w:t>
      </w:r>
    </w:p>
    <w:p w:rsidR="00A869FA" w:rsidRPr="00E106BD" w:rsidRDefault="00A869FA" w:rsidP="00AE6928">
      <w:pPr>
        <w:pStyle w:val="ActHead5"/>
        <w:keepNext w:val="0"/>
        <w:keepLines w:val="0"/>
      </w:pPr>
      <w:bookmarkStart w:id="60" w:name="_Toc53558989"/>
      <w:r w:rsidRPr="00E106BD">
        <w:rPr>
          <w:rStyle w:val="CharSectno"/>
        </w:rPr>
        <w:t>46</w:t>
      </w:r>
      <w:r w:rsidR="00295F4A" w:rsidRPr="00E106BD">
        <w:t xml:space="preserve">  </w:t>
      </w:r>
      <w:r w:rsidRPr="00E106BD">
        <w:t>Patient contributions in relation to approved hospital authorities</w:t>
      </w:r>
      <w:bookmarkEnd w:id="60"/>
    </w:p>
    <w:p w:rsidR="00F6651B" w:rsidRPr="00E106BD" w:rsidRDefault="00F6651B" w:rsidP="004E4760">
      <w:pPr>
        <w:pStyle w:val="subsection"/>
        <w:rPr>
          <w:szCs w:val="24"/>
        </w:rPr>
      </w:pPr>
      <w:r w:rsidRPr="00E106BD">
        <w:rPr>
          <w:szCs w:val="24"/>
        </w:rPr>
        <w:tab/>
        <w:t>(1)</w:t>
      </w:r>
      <w:r w:rsidRPr="00E106BD">
        <w:rPr>
          <w:szCs w:val="24"/>
        </w:rPr>
        <w:tab/>
        <w:t>This section applies to an approved hospital authority for a public hospital or a private hospital that supplies an HSD pharmaceutical benefit.</w:t>
      </w:r>
    </w:p>
    <w:p w:rsidR="00A869FA" w:rsidRPr="00E106BD" w:rsidRDefault="00A869FA" w:rsidP="004E4760">
      <w:pPr>
        <w:pStyle w:val="subsection"/>
      </w:pPr>
      <w:r w:rsidRPr="00E106BD">
        <w:rPr>
          <w:szCs w:val="24"/>
        </w:rPr>
        <w:tab/>
        <w:t>(2)</w:t>
      </w:r>
      <w:r w:rsidRPr="00E106BD">
        <w:rPr>
          <w:szCs w:val="24"/>
        </w:rPr>
        <w:tab/>
        <w:t>The approved hospital authority may charge the patient an amount equivalent to the amount that may be charged under section</w:t>
      </w:r>
      <w:r w:rsidR="00E106BD">
        <w:rPr>
          <w:szCs w:val="24"/>
        </w:rPr>
        <w:t> </w:t>
      </w:r>
      <w:r w:rsidRPr="00E106BD">
        <w:rPr>
          <w:szCs w:val="24"/>
        </w:rPr>
        <w:t>87 of the Act for the supply of a pharmaceutical benefit to the patient.</w:t>
      </w:r>
    </w:p>
    <w:p w:rsidR="00A869FA" w:rsidRPr="00E106BD" w:rsidRDefault="00A869FA" w:rsidP="004E4760">
      <w:pPr>
        <w:pStyle w:val="subsection"/>
      </w:pPr>
      <w:r w:rsidRPr="00E106BD">
        <w:tab/>
        <w:t>(3)</w:t>
      </w:r>
      <w:r w:rsidRPr="00E106BD">
        <w:tab/>
        <w:t>For section</w:t>
      </w:r>
      <w:r w:rsidR="00E106BD">
        <w:t> </w:t>
      </w:r>
      <w:r w:rsidRPr="00E106BD">
        <w:t xml:space="preserve">87 of the Act, the amount that is equal to the special patient contribution for the supply of an HSD pharmaceutical benefit that is a brand of a pharmaceutical item is the amount mentioned in </w:t>
      </w:r>
      <w:r w:rsidR="00480031" w:rsidRPr="00E106BD">
        <w:t>section</w:t>
      </w:r>
      <w:r w:rsidR="00E106BD">
        <w:t> </w:t>
      </w:r>
      <w:r w:rsidR="00480031" w:rsidRPr="00E106BD">
        <w:t xml:space="preserve">48 </w:t>
      </w:r>
      <w:r w:rsidRPr="00E106BD">
        <w:t xml:space="preserve">if the HSD pharmaceutical benefit is mentioned in </w:t>
      </w:r>
      <w:r w:rsidR="00F6651B" w:rsidRPr="00E106BD">
        <w:t>Schedule</w:t>
      </w:r>
      <w:r w:rsidR="00E106BD">
        <w:t> </w:t>
      </w:r>
      <w:r w:rsidR="00F6651B" w:rsidRPr="00E106BD">
        <w:t>4</w:t>
      </w:r>
      <w:r w:rsidRPr="00E106BD">
        <w:t>.</w:t>
      </w:r>
    </w:p>
    <w:p w:rsidR="00A869FA" w:rsidRPr="00E106BD" w:rsidRDefault="00A869FA" w:rsidP="004E4760">
      <w:pPr>
        <w:pStyle w:val="ActHead5"/>
        <w:keepNext w:val="0"/>
        <w:keepLines w:val="0"/>
      </w:pPr>
      <w:bookmarkStart w:id="61" w:name="_Toc53558990"/>
      <w:r w:rsidRPr="00E106BD">
        <w:rPr>
          <w:rStyle w:val="CharSectno"/>
        </w:rPr>
        <w:t>47</w:t>
      </w:r>
      <w:r w:rsidR="00295F4A" w:rsidRPr="00E106BD">
        <w:t xml:space="preserve">  </w:t>
      </w:r>
      <w:r w:rsidRPr="00E106BD">
        <w:t xml:space="preserve">Patient contributions for claims by approved </w:t>
      </w:r>
      <w:r w:rsidR="007F7FF0" w:rsidRPr="00E106BD">
        <w:t>pharmacists or approved medical practitioners</w:t>
      </w:r>
      <w:bookmarkEnd w:id="61"/>
    </w:p>
    <w:p w:rsidR="00A869FA" w:rsidRPr="00E106BD" w:rsidRDefault="00A869FA" w:rsidP="004E4760">
      <w:pPr>
        <w:pStyle w:val="subsection"/>
      </w:pPr>
      <w:r w:rsidRPr="00E106BD">
        <w:rPr>
          <w:szCs w:val="24"/>
        </w:rPr>
        <w:tab/>
        <w:t>(1)</w:t>
      </w:r>
      <w:r w:rsidRPr="00E106BD">
        <w:rPr>
          <w:szCs w:val="24"/>
        </w:rPr>
        <w:tab/>
        <w:t xml:space="preserve">This section applies if an approved </w:t>
      </w:r>
      <w:r w:rsidR="007F7FF0" w:rsidRPr="00E106BD">
        <w:t>pharmacists or an approved medical practitioner</w:t>
      </w:r>
      <w:r w:rsidRPr="00E106BD">
        <w:rPr>
          <w:szCs w:val="24"/>
        </w:rPr>
        <w:t xml:space="preserve"> supplies an HSD pharmaceutical benefit to an eligible patient and makes a claim for payment.</w:t>
      </w:r>
    </w:p>
    <w:p w:rsidR="00A869FA" w:rsidRPr="00E106BD" w:rsidRDefault="00A869FA" w:rsidP="004E4760">
      <w:pPr>
        <w:pStyle w:val="subsection"/>
      </w:pPr>
      <w:r w:rsidRPr="00E106BD">
        <w:tab/>
        <w:t>(2)</w:t>
      </w:r>
      <w:r w:rsidRPr="00E106BD">
        <w:tab/>
        <w:t xml:space="preserve">The </w:t>
      </w:r>
      <w:r w:rsidR="007F7FF0" w:rsidRPr="00E106BD">
        <w:rPr>
          <w:szCs w:val="22"/>
        </w:rPr>
        <w:t>approved pharmacist or the approved medical practitioner</w:t>
      </w:r>
      <w:r w:rsidRPr="00E106BD">
        <w:t xml:space="preserve"> may charge the patient an amount equivalent to the amount that may be charged under section</w:t>
      </w:r>
      <w:r w:rsidR="00E106BD">
        <w:t> </w:t>
      </w:r>
      <w:r w:rsidRPr="00E106BD">
        <w:t>87 of the Act for the supply of a pharmaceutical benefit to the patient.</w:t>
      </w:r>
    </w:p>
    <w:p w:rsidR="00A869FA" w:rsidRPr="00E106BD" w:rsidRDefault="00A869FA" w:rsidP="004E4760">
      <w:pPr>
        <w:pStyle w:val="subsection"/>
      </w:pPr>
      <w:r w:rsidRPr="00E106BD">
        <w:tab/>
        <w:t>(3)</w:t>
      </w:r>
      <w:r w:rsidRPr="00E106BD">
        <w:tab/>
        <w:t>For section</w:t>
      </w:r>
      <w:r w:rsidR="00E106BD">
        <w:t> </w:t>
      </w:r>
      <w:r w:rsidRPr="00E106BD">
        <w:t>87</w:t>
      </w:r>
      <w:r w:rsidR="00D41F19" w:rsidRPr="00E106BD">
        <w:t xml:space="preserve"> </w:t>
      </w:r>
      <w:r w:rsidRPr="00E106BD">
        <w:t xml:space="preserve">of the Act, the amount that is equal to the special patient contribution for the supply of an HSD pharmaceutical benefit that is a brand of a pharmaceutical item is the amount mentioned in </w:t>
      </w:r>
      <w:r w:rsidR="00480031" w:rsidRPr="00E106BD">
        <w:t>section</w:t>
      </w:r>
      <w:r w:rsidR="00E106BD">
        <w:t> </w:t>
      </w:r>
      <w:r w:rsidR="00480031" w:rsidRPr="00E106BD">
        <w:t xml:space="preserve">48 </w:t>
      </w:r>
      <w:r w:rsidRPr="00E106BD">
        <w:t xml:space="preserve">if the HSD pharmaceutical benefit is mentioned in </w:t>
      </w:r>
      <w:r w:rsidR="00F6651B" w:rsidRPr="00E106BD">
        <w:t>Schedule</w:t>
      </w:r>
      <w:r w:rsidR="00E106BD">
        <w:t> </w:t>
      </w:r>
      <w:r w:rsidR="00F6651B" w:rsidRPr="00E106BD">
        <w:t>4</w:t>
      </w:r>
      <w:r w:rsidRPr="00E106BD">
        <w:t>.</w:t>
      </w:r>
    </w:p>
    <w:p w:rsidR="00480031" w:rsidRPr="00E106BD" w:rsidRDefault="00480031" w:rsidP="004E4760">
      <w:pPr>
        <w:pStyle w:val="ActHead5"/>
        <w:keepNext w:val="0"/>
        <w:keepLines w:val="0"/>
      </w:pPr>
      <w:bookmarkStart w:id="62" w:name="_Toc53558991"/>
      <w:r w:rsidRPr="00E106BD">
        <w:rPr>
          <w:rStyle w:val="CharSectno"/>
        </w:rPr>
        <w:t>48</w:t>
      </w:r>
      <w:r w:rsidR="00295F4A" w:rsidRPr="00E106BD">
        <w:t xml:space="preserve">  </w:t>
      </w:r>
      <w:r w:rsidRPr="00E106BD">
        <w:t>Additional patient contributions</w:t>
      </w:r>
      <w:bookmarkEnd w:id="62"/>
    </w:p>
    <w:p w:rsidR="00480031" w:rsidRPr="00E106BD" w:rsidRDefault="00480031" w:rsidP="004E4760">
      <w:pPr>
        <w:pStyle w:val="subsection"/>
      </w:pPr>
      <w:r w:rsidRPr="00E106BD">
        <w:rPr>
          <w:szCs w:val="24"/>
        </w:rPr>
        <w:tab/>
      </w:r>
      <w:r w:rsidRPr="00E106BD">
        <w:rPr>
          <w:szCs w:val="24"/>
        </w:rPr>
        <w:tab/>
        <w:t>For subsections</w:t>
      </w:r>
      <w:r w:rsidR="00E106BD">
        <w:rPr>
          <w:szCs w:val="24"/>
        </w:rPr>
        <w:t> </w:t>
      </w:r>
      <w:r w:rsidRPr="00E106BD">
        <w:rPr>
          <w:szCs w:val="24"/>
        </w:rPr>
        <w:t>46(3) and 47(3), the amount is the amount that is the difference between:</w:t>
      </w:r>
    </w:p>
    <w:p w:rsidR="00480031" w:rsidRPr="00E106BD" w:rsidRDefault="00480031" w:rsidP="004E4760">
      <w:pPr>
        <w:pStyle w:val="paragraph"/>
      </w:pPr>
      <w:r w:rsidRPr="00E106BD">
        <w:rPr>
          <w:szCs w:val="24"/>
        </w:rPr>
        <w:tab/>
        <w:t>(a)</w:t>
      </w:r>
      <w:r w:rsidRPr="00E106BD">
        <w:rPr>
          <w:szCs w:val="24"/>
        </w:rPr>
        <w:tab/>
        <w:t xml:space="preserve">the price that would have been the dispensed price for the quantity of the HSD pharmaceutical benefit supplied if that dispensed price had been based on the claimed price mentioned for the benefit in the column in </w:t>
      </w:r>
      <w:r w:rsidR="00295F4A" w:rsidRPr="00E106BD">
        <w:rPr>
          <w:szCs w:val="24"/>
        </w:rPr>
        <w:t>Schedule</w:t>
      </w:r>
      <w:r w:rsidR="00E106BD">
        <w:rPr>
          <w:szCs w:val="24"/>
        </w:rPr>
        <w:t> </w:t>
      </w:r>
      <w:r w:rsidRPr="00E106BD">
        <w:rPr>
          <w:szCs w:val="24"/>
        </w:rPr>
        <w:t>4 headed ‘Claimed Price’; and</w:t>
      </w:r>
    </w:p>
    <w:p w:rsidR="00480031" w:rsidRPr="00E106BD" w:rsidRDefault="00480031" w:rsidP="004E4760">
      <w:pPr>
        <w:pStyle w:val="paragraph"/>
      </w:pPr>
      <w:r w:rsidRPr="00E106BD">
        <w:tab/>
        <w:t>(b)</w:t>
      </w:r>
      <w:r w:rsidRPr="00E106BD">
        <w:tab/>
        <w:t>the dispensed price for that quantity of the HSD pharmaceutical benefit.</w:t>
      </w:r>
    </w:p>
    <w:p w:rsidR="00A869FA" w:rsidRPr="00E106BD" w:rsidRDefault="00295F4A" w:rsidP="004E4760">
      <w:pPr>
        <w:pStyle w:val="ActHead2"/>
        <w:keepNext w:val="0"/>
        <w:keepLines w:val="0"/>
        <w:pageBreakBefore/>
        <w:rPr>
          <w:color w:val="000000"/>
        </w:rPr>
      </w:pPr>
      <w:bookmarkStart w:id="63" w:name="_Toc53558992"/>
      <w:r w:rsidRPr="00E106BD">
        <w:rPr>
          <w:rStyle w:val="CharPartNo"/>
        </w:rPr>
        <w:t>Part</w:t>
      </w:r>
      <w:r w:rsidR="00E106BD">
        <w:rPr>
          <w:rStyle w:val="CharPartNo"/>
        </w:rPr>
        <w:t> </w:t>
      </w:r>
      <w:r w:rsidR="00A869FA" w:rsidRPr="00E106BD">
        <w:rPr>
          <w:rStyle w:val="CharPartNo"/>
        </w:rPr>
        <w:t>7</w:t>
      </w:r>
      <w:r w:rsidRPr="00E106BD">
        <w:rPr>
          <w:color w:val="000000"/>
        </w:rPr>
        <w:t>—</w:t>
      </w:r>
      <w:r w:rsidR="00A869FA" w:rsidRPr="00E106BD">
        <w:rPr>
          <w:rStyle w:val="CharPartText"/>
        </w:rPr>
        <w:t>Miscellaneous</w:t>
      </w:r>
      <w:bookmarkEnd w:id="63"/>
    </w:p>
    <w:p w:rsidR="00A869FA" w:rsidRPr="00E106BD" w:rsidRDefault="00295F4A" w:rsidP="004E4760">
      <w:pPr>
        <w:pStyle w:val="Header"/>
        <w:keepNext w:val="0"/>
        <w:keepLines w:val="0"/>
      </w:pPr>
      <w:r w:rsidRPr="00E106BD">
        <w:rPr>
          <w:rStyle w:val="CharDivNo"/>
        </w:rPr>
        <w:t xml:space="preserve"> </w:t>
      </w:r>
      <w:r w:rsidRPr="00E106BD">
        <w:rPr>
          <w:rStyle w:val="CharDivText"/>
        </w:rPr>
        <w:t xml:space="preserve"> </w:t>
      </w:r>
    </w:p>
    <w:p w:rsidR="007F7FF0" w:rsidRPr="00E106BD" w:rsidRDefault="007F7FF0" w:rsidP="00AC3A2B">
      <w:pPr>
        <w:pStyle w:val="ActHead5"/>
        <w:keepNext w:val="0"/>
        <w:keepLines w:val="0"/>
      </w:pPr>
      <w:bookmarkStart w:id="64" w:name="_Toc53558993"/>
      <w:r w:rsidRPr="00E106BD">
        <w:rPr>
          <w:rStyle w:val="CharSectno"/>
        </w:rPr>
        <w:t>49</w:t>
      </w:r>
      <w:r w:rsidRPr="00E106BD">
        <w:t xml:space="preserve">  Compliance and audit arrangements</w:t>
      </w:r>
      <w:bookmarkEnd w:id="64"/>
    </w:p>
    <w:p w:rsidR="007F7FF0" w:rsidRPr="00E106BD" w:rsidRDefault="00AC3A2B" w:rsidP="00AC3A2B">
      <w:pPr>
        <w:pStyle w:val="subsection"/>
      </w:pPr>
      <w:r w:rsidRPr="00E106BD">
        <w:tab/>
        <w:t>(1)</w:t>
      </w:r>
      <w:r w:rsidRPr="00E106BD">
        <w:tab/>
      </w:r>
      <w:r w:rsidR="007F7FF0" w:rsidRPr="00E106BD">
        <w:rPr>
          <w:szCs w:val="24"/>
        </w:rPr>
        <w:t xml:space="preserve">If an </w:t>
      </w:r>
      <w:r w:rsidR="007F7FF0" w:rsidRPr="00E106BD">
        <w:t>approved</w:t>
      </w:r>
      <w:r w:rsidR="007F7FF0" w:rsidRPr="00E106BD">
        <w:rPr>
          <w:szCs w:val="24"/>
        </w:rPr>
        <w:t xml:space="preserve"> supplier supplies HSD pharmaceutical benefits under this Special Arrangement, the approved supplier that supplies the HSD pharmaceutical benefits must keep adequate, secure and auditable records of all supplied HSD pharmaceutical benefits for which a claim is made.</w:t>
      </w:r>
    </w:p>
    <w:p w:rsidR="007F7FF0" w:rsidRPr="00E106BD" w:rsidRDefault="00AC3A2B" w:rsidP="00AC3A2B">
      <w:pPr>
        <w:pStyle w:val="subsection"/>
      </w:pPr>
      <w:r w:rsidRPr="00E106BD">
        <w:tab/>
        <w:t>(2)</w:t>
      </w:r>
      <w:r w:rsidRPr="00E106BD">
        <w:tab/>
      </w:r>
      <w:r w:rsidR="007F7FF0" w:rsidRPr="00E106BD">
        <w:t>The records must be kept in systems that are able to be audited by the Chief Executive Medicare on reasonable notice being given to the approved supplier.</w:t>
      </w:r>
    </w:p>
    <w:p w:rsidR="00A869FA" w:rsidRPr="00E106BD" w:rsidRDefault="00A869FA" w:rsidP="004E4760">
      <w:pPr>
        <w:pStyle w:val="ActHead5"/>
        <w:keepNext w:val="0"/>
        <w:keepLines w:val="0"/>
      </w:pPr>
      <w:bookmarkStart w:id="65" w:name="_Toc53558994"/>
      <w:r w:rsidRPr="00E106BD">
        <w:rPr>
          <w:rStyle w:val="CharSectno"/>
        </w:rPr>
        <w:t>50</w:t>
      </w:r>
      <w:r w:rsidR="00295F4A" w:rsidRPr="00E106BD">
        <w:t xml:space="preserve">  </w:t>
      </w:r>
      <w:r w:rsidRPr="00E106BD">
        <w:t>PBS Safety Net</w:t>
      </w:r>
      <w:bookmarkEnd w:id="65"/>
    </w:p>
    <w:p w:rsidR="00A869FA" w:rsidRPr="00E106BD" w:rsidRDefault="00A869FA" w:rsidP="004E4760">
      <w:pPr>
        <w:pStyle w:val="subsection"/>
      </w:pPr>
      <w:r w:rsidRPr="00E106BD">
        <w:tab/>
        <w:t>(2)</w:t>
      </w:r>
      <w:r w:rsidRPr="00E106BD">
        <w:tab/>
        <w:t>An amount paid by a person because of a charge made by an approved hospital authority under subsection</w:t>
      </w:r>
      <w:r w:rsidR="00E106BD">
        <w:t> </w:t>
      </w:r>
      <w:r w:rsidRPr="00E106BD">
        <w:t>46(2) counts towards the person’s PBS safety net if it is equivalent to the amount chargeable under subsection</w:t>
      </w:r>
      <w:r w:rsidR="00E106BD">
        <w:t> </w:t>
      </w:r>
      <w:r w:rsidRPr="00E106BD">
        <w:t>87(5) of the Act for the supply of the HSD pharmaceutical benefit less the amount chargeable under that subsection because of subsection</w:t>
      </w:r>
      <w:r w:rsidR="00E106BD">
        <w:t> </w:t>
      </w:r>
      <w:r w:rsidRPr="00E106BD">
        <w:t>87(2A) of the Act.</w:t>
      </w:r>
    </w:p>
    <w:p w:rsidR="00A869FA" w:rsidRPr="00E106BD" w:rsidRDefault="00A869FA" w:rsidP="004E4760">
      <w:pPr>
        <w:pStyle w:val="subsection"/>
      </w:pPr>
      <w:r w:rsidRPr="00E106BD">
        <w:tab/>
        <w:t>(3)</w:t>
      </w:r>
      <w:r w:rsidRPr="00E106BD">
        <w:tab/>
        <w:t xml:space="preserve">An amount paid by a person because of a charge made by an </w:t>
      </w:r>
      <w:r w:rsidR="007F7FF0" w:rsidRPr="00E106BD">
        <w:rPr>
          <w:szCs w:val="22"/>
        </w:rPr>
        <w:t>approved pharmacist or approved medical practitioner</w:t>
      </w:r>
      <w:r w:rsidRPr="00E106BD">
        <w:t xml:space="preserve"> under subsection</w:t>
      </w:r>
      <w:r w:rsidR="00E106BD">
        <w:t> </w:t>
      </w:r>
      <w:r w:rsidRPr="00E106BD">
        <w:t>47(2) counts towards the person’s PBS safety net, other than an amount equivalent to the amount chargeable under subsection</w:t>
      </w:r>
      <w:r w:rsidR="00E106BD">
        <w:t> </w:t>
      </w:r>
      <w:r w:rsidRPr="00E106BD">
        <w:t>87(2A) of the Act for the supply of the HSD pharmaceutical benefit to the person.</w:t>
      </w:r>
    </w:p>
    <w:p w:rsidR="00A869FA" w:rsidRPr="00E106BD" w:rsidRDefault="00295F4A" w:rsidP="004E4760">
      <w:pPr>
        <w:pStyle w:val="notetext"/>
      </w:pPr>
      <w:r w:rsidRPr="00E106BD">
        <w:rPr>
          <w:iCs/>
          <w:color w:val="000000"/>
        </w:rPr>
        <w:t>Note:</w:t>
      </w:r>
      <w:r w:rsidRPr="00E106BD">
        <w:rPr>
          <w:iCs/>
          <w:color w:val="000000"/>
        </w:rPr>
        <w:tab/>
      </w:r>
      <w:r w:rsidRPr="00E106BD">
        <w:rPr>
          <w:color w:val="000000"/>
        </w:rPr>
        <w:t>Division</w:t>
      </w:r>
      <w:r w:rsidR="00E106BD">
        <w:rPr>
          <w:color w:val="000000"/>
        </w:rPr>
        <w:t> </w:t>
      </w:r>
      <w:r w:rsidR="00A869FA" w:rsidRPr="00E106BD">
        <w:rPr>
          <w:color w:val="000000"/>
        </w:rPr>
        <w:t xml:space="preserve">1A of </w:t>
      </w:r>
      <w:r w:rsidRPr="00E106BD">
        <w:rPr>
          <w:color w:val="000000"/>
        </w:rPr>
        <w:t>Part</w:t>
      </w:r>
      <w:r w:rsidR="00D41F19" w:rsidRPr="00E106BD">
        <w:rPr>
          <w:color w:val="000000"/>
        </w:rPr>
        <w:t> </w:t>
      </w:r>
      <w:r w:rsidR="00A869FA" w:rsidRPr="00E106BD">
        <w:rPr>
          <w:color w:val="000000"/>
        </w:rPr>
        <w:t>VII of the Act contains provisions about safety net concession cards.</w:t>
      </w:r>
    </w:p>
    <w:p w:rsidR="00A869FA" w:rsidRPr="00E106BD" w:rsidRDefault="00A869FA" w:rsidP="004E4760">
      <w:pPr>
        <w:pStyle w:val="ActHead5"/>
        <w:keepNext w:val="0"/>
        <w:keepLines w:val="0"/>
      </w:pPr>
      <w:bookmarkStart w:id="66" w:name="_Toc53558995"/>
      <w:r w:rsidRPr="00E106BD">
        <w:rPr>
          <w:rStyle w:val="CharSectno"/>
        </w:rPr>
        <w:t>51</w:t>
      </w:r>
      <w:r w:rsidR="00295F4A" w:rsidRPr="00E106BD">
        <w:t xml:space="preserve">  </w:t>
      </w:r>
      <w:r w:rsidRPr="00E106BD">
        <w:t xml:space="preserve">Application of Act and </w:t>
      </w:r>
      <w:r w:rsidR="00295F4A" w:rsidRPr="00E106BD">
        <w:t>Part</w:t>
      </w:r>
      <w:r w:rsidR="00D41F19" w:rsidRPr="00E106BD">
        <w:t> </w:t>
      </w:r>
      <w:r w:rsidRPr="00E106BD">
        <w:t>VII instruments to approved suppliers and prescriptions etc</w:t>
      </w:r>
      <w:bookmarkEnd w:id="66"/>
    </w:p>
    <w:p w:rsidR="00A869FA" w:rsidRPr="00E106BD" w:rsidRDefault="00A869FA" w:rsidP="004E4760">
      <w:pPr>
        <w:pStyle w:val="subsection"/>
      </w:pPr>
      <w:r w:rsidRPr="00E106BD">
        <w:rPr>
          <w:szCs w:val="24"/>
        </w:rPr>
        <w:tab/>
      </w:r>
      <w:r w:rsidRPr="00E106BD">
        <w:rPr>
          <w:szCs w:val="24"/>
        </w:rPr>
        <w:tab/>
        <w:t xml:space="preserve">For the application of </w:t>
      </w:r>
      <w:r w:rsidR="00295F4A" w:rsidRPr="00E106BD">
        <w:rPr>
          <w:szCs w:val="24"/>
        </w:rPr>
        <w:t>Part</w:t>
      </w:r>
      <w:r w:rsidR="00D41F19" w:rsidRPr="00E106BD">
        <w:rPr>
          <w:szCs w:val="24"/>
        </w:rPr>
        <w:t> </w:t>
      </w:r>
      <w:r w:rsidRPr="00E106BD">
        <w:rPr>
          <w:szCs w:val="24"/>
        </w:rPr>
        <w:t xml:space="preserve">VII of the Act, or of regulations or other instruments made for </w:t>
      </w:r>
      <w:r w:rsidR="00295F4A" w:rsidRPr="00E106BD">
        <w:rPr>
          <w:szCs w:val="24"/>
        </w:rPr>
        <w:t>Part</w:t>
      </w:r>
      <w:r w:rsidR="00D41F19" w:rsidRPr="00E106BD">
        <w:rPr>
          <w:szCs w:val="24"/>
        </w:rPr>
        <w:t> </w:t>
      </w:r>
      <w:r w:rsidRPr="00E106BD">
        <w:rPr>
          <w:szCs w:val="24"/>
        </w:rPr>
        <w:t>VII of the Act:</w:t>
      </w:r>
    </w:p>
    <w:p w:rsidR="00A869FA" w:rsidRPr="00E106BD" w:rsidRDefault="00A869FA" w:rsidP="004E4760">
      <w:pPr>
        <w:pStyle w:val="paragraph"/>
      </w:pPr>
      <w:r w:rsidRPr="00E106BD">
        <w:rPr>
          <w:szCs w:val="24"/>
        </w:rPr>
        <w:tab/>
        <w:t>(a)</w:t>
      </w:r>
      <w:r w:rsidRPr="00E106BD">
        <w:rPr>
          <w:szCs w:val="24"/>
        </w:rPr>
        <w:tab/>
        <w:t>a reference in the Act or other instrument to an approved supplier or an approved hospital authority includes a reference to a hospital authority approved under:</w:t>
      </w:r>
    </w:p>
    <w:p w:rsidR="00A869FA" w:rsidRPr="00E106BD" w:rsidRDefault="005B0C8E" w:rsidP="004E4760">
      <w:pPr>
        <w:pStyle w:val="paragraphsub"/>
      </w:pPr>
      <w:r w:rsidRPr="00E106BD">
        <w:rPr>
          <w:szCs w:val="24"/>
        </w:rPr>
        <w:tab/>
        <w:t>(i)</w:t>
      </w:r>
      <w:r w:rsidR="00A869FA" w:rsidRPr="00E106BD">
        <w:rPr>
          <w:szCs w:val="24"/>
        </w:rPr>
        <w:tab/>
        <w:t>subsection</w:t>
      </w:r>
      <w:r w:rsidR="00E106BD">
        <w:rPr>
          <w:szCs w:val="24"/>
        </w:rPr>
        <w:t> </w:t>
      </w:r>
      <w:r w:rsidR="00A869FA" w:rsidRPr="00E106BD">
        <w:rPr>
          <w:szCs w:val="24"/>
        </w:rPr>
        <w:t xml:space="preserve">52(2) of this Special Arrangement; or </w:t>
      </w:r>
    </w:p>
    <w:p w:rsidR="00A869FA" w:rsidRPr="00E106BD" w:rsidRDefault="00A869FA" w:rsidP="004E4760">
      <w:pPr>
        <w:pStyle w:val="paragraphsub"/>
      </w:pPr>
      <w:r w:rsidRPr="00E106BD">
        <w:tab/>
        <w:t>(ii)</w:t>
      </w:r>
      <w:r w:rsidRPr="00E106BD">
        <w:tab/>
        <w:t>subsection</w:t>
      </w:r>
      <w:r w:rsidR="00E106BD">
        <w:t> </w:t>
      </w:r>
      <w:r w:rsidRPr="00E106BD">
        <w:t xml:space="preserve">52(2) of the </w:t>
      </w:r>
      <w:r w:rsidRPr="00E106BD">
        <w:rPr>
          <w:i/>
        </w:rPr>
        <w:t>National Health (Highly specialised drugs program for public hospitals) Special Arrangements Instrument 2010 (PB 63 of 2010)</w:t>
      </w:r>
      <w:r w:rsidRPr="00E106BD">
        <w:t>; and</w:t>
      </w:r>
    </w:p>
    <w:p w:rsidR="00A869FA" w:rsidRPr="00E106BD" w:rsidRDefault="00A869FA" w:rsidP="004E4760">
      <w:pPr>
        <w:pStyle w:val="paragraph"/>
      </w:pPr>
      <w:r w:rsidRPr="00E106BD">
        <w:rPr>
          <w:szCs w:val="24"/>
        </w:rPr>
        <w:tab/>
        <w:t>(b)</w:t>
      </w:r>
      <w:r w:rsidRPr="00E106BD">
        <w:rPr>
          <w:szCs w:val="24"/>
        </w:rPr>
        <w:tab/>
        <w:t xml:space="preserve">a reference in the Act or other instrument to a number allotted to an approval under </w:t>
      </w:r>
      <w:r w:rsidR="00376D5A" w:rsidRPr="00E106BD">
        <w:t>section</w:t>
      </w:r>
      <w:r w:rsidR="00E106BD">
        <w:t> </w:t>
      </w:r>
      <w:r w:rsidR="00376D5A" w:rsidRPr="00E106BD">
        <w:t>16</w:t>
      </w:r>
      <w:r w:rsidRPr="00E106BD">
        <w:rPr>
          <w:szCs w:val="24"/>
        </w:rPr>
        <w:t xml:space="preserve"> includes a reference to a number allotted to an approval under:</w:t>
      </w:r>
    </w:p>
    <w:p w:rsidR="00A869FA" w:rsidRPr="00E106BD" w:rsidRDefault="00B7200D" w:rsidP="004E4760">
      <w:pPr>
        <w:pStyle w:val="paragraphsub"/>
      </w:pPr>
      <w:r w:rsidRPr="00E106BD">
        <w:rPr>
          <w:szCs w:val="24"/>
        </w:rPr>
        <w:tab/>
      </w:r>
      <w:r w:rsidR="00A869FA" w:rsidRPr="00E106BD">
        <w:rPr>
          <w:szCs w:val="24"/>
        </w:rPr>
        <w:t>(i)</w:t>
      </w:r>
      <w:r w:rsidRPr="00E106BD">
        <w:rPr>
          <w:szCs w:val="24"/>
        </w:rPr>
        <w:tab/>
      </w:r>
      <w:r w:rsidR="00A869FA" w:rsidRPr="00E106BD">
        <w:rPr>
          <w:szCs w:val="24"/>
        </w:rPr>
        <w:t>subsection</w:t>
      </w:r>
      <w:r w:rsidR="00E106BD">
        <w:rPr>
          <w:szCs w:val="24"/>
        </w:rPr>
        <w:t> </w:t>
      </w:r>
      <w:r w:rsidR="00A869FA" w:rsidRPr="00E106BD">
        <w:rPr>
          <w:szCs w:val="24"/>
        </w:rPr>
        <w:t>52(3) of this Special Arrangement; and</w:t>
      </w:r>
    </w:p>
    <w:p w:rsidR="00A869FA" w:rsidRPr="00E106BD" w:rsidRDefault="00B7200D" w:rsidP="004E4760">
      <w:pPr>
        <w:pStyle w:val="paragraphsub"/>
      </w:pPr>
      <w:r w:rsidRPr="00E106BD">
        <w:tab/>
      </w:r>
      <w:r w:rsidR="00A869FA" w:rsidRPr="00E106BD">
        <w:t>(ii)</w:t>
      </w:r>
      <w:r w:rsidRPr="00E106BD">
        <w:tab/>
      </w:r>
      <w:r w:rsidR="00A869FA" w:rsidRPr="00E106BD">
        <w:t>subsection</w:t>
      </w:r>
      <w:r w:rsidR="00E106BD">
        <w:t> </w:t>
      </w:r>
      <w:r w:rsidR="00A869FA" w:rsidRPr="00E106BD">
        <w:t xml:space="preserve">52(3) of the </w:t>
      </w:r>
      <w:r w:rsidR="00A869FA" w:rsidRPr="00E106BD">
        <w:rPr>
          <w:i/>
        </w:rPr>
        <w:t xml:space="preserve">National Health (Highly specialised drugs program for public </w:t>
      </w:r>
      <w:r w:rsidRPr="00E106BD">
        <w:rPr>
          <w:i/>
        </w:rPr>
        <w:t>hospitals) Special Arrangements</w:t>
      </w:r>
      <w:r w:rsidR="00A869FA" w:rsidRPr="00E106BD">
        <w:rPr>
          <w:i/>
        </w:rPr>
        <w:t xml:space="preserve"> Instrument 2010 (PB 63 of 2010)</w:t>
      </w:r>
      <w:r w:rsidR="00A869FA" w:rsidRPr="00E106BD">
        <w:t>; and</w:t>
      </w:r>
    </w:p>
    <w:p w:rsidR="00F6651B" w:rsidRPr="00E106BD" w:rsidRDefault="00F6651B" w:rsidP="004E4760">
      <w:pPr>
        <w:pStyle w:val="paragraph"/>
        <w:rPr>
          <w:szCs w:val="24"/>
        </w:rPr>
      </w:pPr>
      <w:r w:rsidRPr="00E106BD">
        <w:rPr>
          <w:szCs w:val="24"/>
        </w:rPr>
        <w:tab/>
        <w:t>(c)</w:t>
      </w:r>
      <w:r w:rsidRPr="00E106BD">
        <w:rPr>
          <w:szCs w:val="24"/>
        </w:rPr>
        <w:tab/>
        <w:t xml:space="preserve">a medication chart prescription may be written for an eligible patient receiving treatment from a hospital; and </w:t>
      </w:r>
    </w:p>
    <w:p w:rsidR="00301A1D" w:rsidRPr="00E106BD" w:rsidRDefault="00301A1D" w:rsidP="004E4760">
      <w:pPr>
        <w:pStyle w:val="paragraph"/>
      </w:pPr>
      <w:r w:rsidRPr="00E106BD">
        <w:tab/>
        <w:t>(f)</w:t>
      </w:r>
      <w:r w:rsidRPr="00E106BD">
        <w:tab/>
        <w:t>the rules made under subsection</w:t>
      </w:r>
      <w:r w:rsidR="00E106BD">
        <w:t> </w:t>
      </w:r>
      <w:r w:rsidRPr="00E106BD">
        <w:t xml:space="preserve">98AC(4) of the Act apply to a supply of a HSD pharmaceutical benefit by an </w:t>
      </w:r>
      <w:r w:rsidR="007F7FF0" w:rsidRPr="00E106BD">
        <w:rPr>
          <w:szCs w:val="22"/>
        </w:rPr>
        <w:t>approved pharmacist, approved medical practitioner</w:t>
      </w:r>
      <w:r w:rsidR="007F7FF0" w:rsidRPr="00E106BD">
        <w:rPr>
          <w:b/>
          <w:szCs w:val="22"/>
        </w:rPr>
        <w:t xml:space="preserve"> </w:t>
      </w:r>
      <w:r w:rsidRPr="00E106BD">
        <w:t>or approved hospital authority for a hospital under this Special Arrangement as if the definition of under co</w:t>
      </w:r>
      <w:r w:rsidR="00E106BD">
        <w:noBreakHyphen/>
      </w:r>
      <w:r w:rsidRPr="00E106BD">
        <w:t>payment data appearing in those rules was replaced with the definition of under co</w:t>
      </w:r>
      <w:r w:rsidR="00E106BD">
        <w:noBreakHyphen/>
      </w:r>
      <w:r w:rsidRPr="00E106BD">
        <w:t>payment data in section</w:t>
      </w:r>
      <w:r w:rsidR="00E106BD">
        <w:t> </w:t>
      </w:r>
      <w:r w:rsidRPr="00E106BD">
        <w:t xml:space="preserve">4 of this Special Arrangement. </w:t>
      </w:r>
    </w:p>
    <w:p w:rsidR="00A869FA" w:rsidRPr="00E106BD" w:rsidRDefault="00295F4A" w:rsidP="004E4760">
      <w:pPr>
        <w:pStyle w:val="notetext"/>
      </w:pPr>
      <w:r w:rsidRPr="00E106BD">
        <w:t>Note:</w:t>
      </w:r>
      <w:r w:rsidRPr="00E106BD">
        <w:tab/>
      </w:r>
      <w:r w:rsidR="00A869FA" w:rsidRPr="00E106BD">
        <w:t>Section</w:t>
      </w:r>
      <w:r w:rsidR="00E106BD">
        <w:t> </w:t>
      </w:r>
      <w:r w:rsidR="00A869FA" w:rsidRPr="00E106BD">
        <w:t xml:space="preserve">84 of the Act defines </w:t>
      </w:r>
      <w:r w:rsidR="00A869FA" w:rsidRPr="00E106BD">
        <w:rPr>
          <w:b/>
          <w:i/>
        </w:rPr>
        <w:t>approved hospital authority</w:t>
      </w:r>
      <w:r w:rsidR="00A869FA" w:rsidRPr="00E106BD">
        <w:rPr>
          <w:b/>
        </w:rPr>
        <w:t xml:space="preserve"> </w:t>
      </w:r>
      <w:r w:rsidR="00A869FA" w:rsidRPr="00E106BD">
        <w:t xml:space="preserve">and </w:t>
      </w:r>
      <w:r w:rsidR="00A869FA" w:rsidRPr="00E106BD">
        <w:rPr>
          <w:b/>
          <w:i/>
        </w:rPr>
        <w:t>approved supplier</w:t>
      </w:r>
      <w:r w:rsidR="00A869FA" w:rsidRPr="00E106BD">
        <w:t xml:space="preserve"> for </w:t>
      </w:r>
      <w:r w:rsidRPr="00E106BD">
        <w:t>Part</w:t>
      </w:r>
      <w:r w:rsidR="00D41F19" w:rsidRPr="00E106BD">
        <w:t> </w:t>
      </w:r>
      <w:r w:rsidR="00A869FA" w:rsidRPr="00E106BD">
        <w:t>VII of the Act.</w:t>
      </w:r>
    </w:p>
    <w:p w:rsidR="00A869FA" w:rsidRPr="00E106BD" w:rsidRDefault="00295F4A" w:rsidP="004E4760">
      <w:pPr>
        <w:pStyle w:val="notetext"/>
      </w:pPr>
      <w:r w:rsidRPr="00E106BD">
        <w:t>Note:</w:t>
      </w:r>
      <w:r w:rsidRPr="00E106BD">
        <w:tab/>
      </w:r>
      <w:r w:rsidR="00A869FA" w:rsidRPr="00E106BD">
        <w:t>The rules made by the Minister under subsection</w:t>
      </w:r>
      <w:r w:rsidR="00E106BD">
        <w:t> </w:t>
      </w:r>
      <w:r w:rsidR="00A869FA" w:rsidRPr="00E106BD">
        <w:t>99AAA</w:t>
      </w:r>
      <w:r w:rsidR="00B62F44" w:rsidRPr="00E106BD">
        <w:t>(</w:t>
      </w:r>
      <w:r w:rsidR="00A869FA" w:rsidRPr="00E106BD">
        <w:t xml:space="preserve">8) of the Act are instruments made under </w:t>
      </w:r>
      <w:r w:rsidRPr="00E106BD">
        <w:t>Part</w:t>
      </w:r>
      <w:r w:rsidR="00D41F19" w:rsidRPr="00E106BD">
        <w:t> </w:t>
      </w:r>
      <w:r w:rsidR="00A869FA" w:rsidRPr="00E106BD">
        <w:t>VII of the Act.</w:t>
      </w:r>
    </w:p>
    <w:p w:rsidR="00A869FA" w:rsidRPr="00E106BD" w:rsidRDefault="00295F4A" w:rsidP="004E4760">
      <w:pPr>
        <w:pStyle w:val="ActHead2"/>
        <w:keepNext w:val="0"/>
        <w:keepLines w:val="0"/>
        <w:pageBreakBefore/>
        <w:rPr>
          <w:color w:val="000000"/>
        </w:rPr>
      </w:pPr>
      <w:bookmarkStart w:id="67" w:name="_Toc53558996"/>
      <w:r w:rsidRPr="00E106BD">
        <w:rPr>
          <w:rStyle w:val="CharPartNo"/>
        </w:rPr>
        <w:t>Part</w:t>
      </w:r>
      <w:r w:rsidR="00E106BD">
        <w:rPr>
          <w:rStyle w:val="CharPartNo"/>
        </w:rPr>
        <w:t> </w:t>
      </w:r>
      <w:r w:rsidR="00A869FA" w:rsidRPr="00E106BD">
        <w:rPr>
          <w:rStyle w:val="CharPartNo"/>
        </w:rPr>
        <w:t>8</w:t>
      </w:r>
      <w:r w:rsidRPr="00E106BD">
        <w:rPr>
          <w:color w:val="000000"/>
        </w:rPr>
        <w:t>—</w:t>
      </w:r>
      <w:r w:rsidR="00A869FA" w:rsidRPr="00E106BD">
        <w:rPr>
          <w:rStyle w:val="CharPartText"/>
        </w:rPr>
        <w:t>Approval of certain hospital authorities</w:t>
      </w:r>
      <w:bookmarkEnd w:id="67"/>
    </w:p>
    <w:p w:rsidR="00A869FA" w:rsidRPr="00E106BD" w:rsidRDefault="00295F4A" w:rsidP="004E4760">
      <w:pPr>
        <w:pStyle w:val="Header"/>
        <w:keepNext w:val="0"/>
        <w:keepLines w:val="0"/>
      </w:pPr>
      <w:r w:rsidRPr="00E106BD">
        <w:rPr>
          <w:rStyle w:val="CharDivNo"/>
        </w:rPr>
        <w:t xml:space="preserve"> </w:t>
      </w:r>
      <w:r w:rsidRPr="00E106BD">
        <w:rPr>
          <w:rStyle w:val="CharDivText"/>
        </w:rPr>
        <w:t xml:space="preserve"> </w:t>
      </w:r>
    </w:p>
    <w:p w:rsidR="00A869FA" w:rsidRPr="00E106BD" w:rsidRDefault="00A869FA" w:rsidP="004E4760">
      <w:pPr>
        <w:pStyle w:val="ActHead5"/>
        <w:keepNext w:val="0"/>
        <w:keepLines w:val="0"/>
      </w:pPr>
      <w:bookmarkStart w:id="68" w:name="_Toc53558997"/>
      <w:r w:rsidRPr="00E106BD">
        <w:rPr>
          <w:rStyle w:val="CharSectno"/>
        </w:rPr>
        <w:t>52</w:t>
      </w:r>
      <w:r w:rsidR="00295F4A" w:rsidRPr="00E106BD">
        <w:t xml:space="preserve">  </w:t>
      </w:r>
      <w:r w:rsidRPr="00E106BD">
        <w:t>Approval of certain public hospital authorities</w:t>
      </w:r>
      <w:bookmarkEnd w:id="68"/>
    </w:p>
    <w:p w:rsidR="00A869FA" w:rsidRPr="00E106BD" w:rsidRDefault="00A869FA" w:rsidP="004E4760">
      <w:pPr>
        <w:pStyle w:val="subsection"/>
      </w:pPr>
      <w:r w:rsidRPr="00E106BD">
        <w:rPr>
          <w:szCs w:val="24"/>
        </w:rPr>
        <w:tab/>
        <w:t>(1)</w:t>
      </w:r>
      <w:r w:rsidRPr="00E106BD">
        <w:rPr>
          <w:szCs w:val="24"/>
        </w:rPr>
        <w:tab/>
        <w:t>A hospital authority for a public hospital, that must not be approved under section</w:t>
      </w:r>
      <w:r w:rsidR="00E106BD">
        <w:rPr>
          <w:szCs w:val="24"/>
        </w:rPr>
        <w:t> </w:t>
      </w:r>
      <w:r w:rsidRPr="00E106BD">
        <w:rPr>
          <w:szCs w:val="24"/>
        </w:rPr>
        <w:t>94 of the Act because of subsection</w:t>
      </w:r>
      <w:r w:rsidR="00E106BD">
        <w:rPr>
          <w:szCs w:val="24"/>
        </w:rPr>
        <w:t> </w:t>
      </w:r>
      <w:r w:rsidRPr="00E106BD">
        <w:rPr>
          <w:szCs w:val="24"/>
        </w:rPr>
        <w:t xml:space="preserve">94(5) of the Act, may apply, in writing, to the </w:t>
      </w:r>
      <w:r w:rsidR="00376D5A" w:rsidRPr="00E106BD">
        <w:rPr>
          <w:szCs w:val="24"/>
        </w:rPr>
        <w:t>Secretary</w:t>
      </w:r>
      <w:r w:rsidR="00C83F52" w:rsidRPr="00E106BD">
        <w:rPr>
          <w:szCs w:val="24"/>
        </w:rPr>
        <w:t xml:space="preserve"> </w:t>
      </w:r>
      <w:r w:rsidRPr="00E106BD">
        <w:rPr>
          <w:szCs w:val="24"/>
        </w:rPr>
        <w:t xml:space="preserve">for approval under this </w:t>
      </w:r>
      <w:r w:rsidR="00295F4A" w:rsidRPr="00E106BD">
        <w:rPr>
          <w:szCs w:val="24"/>
        </w:rPr>
        <w:t>Part</w:t>
      </w:r>
      <w:r w:rsidR="00D41F19" w:rsidRPr="00E106BD">
        <w:rPr>
          <w:szCs w:val="24"/>
        </w:rPr>
        <w:t xml:space="preserve"> </w:t>
      </w:r>
      <w:r w:rsidRPr="00E106BD">
        <w:rPr>
          <w:szCs w:val="24"/>
        </w:rPr>
        <w:t>for the purpose of its supplying HSD pharmaceutical benefits under this Special Arrangement to eligible patients receiving treatment at or from the hospital of which it is the governing body.</w:t>
      </w:r>
    </w:p>
    <w:p w:rsidR="00A869FA" w:rsidRPr="00E106BD" w:rsidRDefault="00A869FA" w:rsidP="004E4760">
      <w:pPr>
        <w:pStyle w:val="subsection"/>
      </w:pPr>
      <w:r w:rsidRPr="00E106BD">
        <w:tab/>
        <w:t>(2)</w:t>
      </w:r>
      <w:r w:rsidRPr="00E106BD">
        <w:tab/>
        <w:t xml:space="preserve">The </w:t>
      </w:r>
      <w:r w:rsidR="00376D5A" w:rsidRPr="00E106BD">
        <w:t>Secretary</w:t>
      </w:r>
      <w:r w:rsidR="00C83F52" w:rsidRPr="00E106BD">
        <w:t xml:space="preserve"> </w:t>
      </w:r>
      <w:r w:rsidRPr="00E106BD">
        <w:t>may, in writing, approve the hospital authority for this Special Arrangement.</w:t>
      </w:r>
    </w:p>
    <w:p w:rsidR="00A869FA" w:rsidRPr="00E106BD" w:rsidRDefault="00A869FA" w:rsidP="004E4760">
      <w:pPr>
        <w:pStyle w:val="subsection"/>
      </w:pPr>
      <w:r w:rsidRPr="00E106BD">
        <w:tab/>
        <w:t>(3)</w:t>
      </w:r>
      <w:r w:rsidRPr="00E106BD">
        <w:tab/>
        <w:t xml:space="preserve">If the </w:t>
      </w:r>
      <w:r w:rsidR="00376D5A" w:rsidRPr="00E106BD">
        <w:t>Secretary</w:t>
      </w:r>
      <w:r w:rsidR="00C83F52" w:rsidRPr="00E106BD">
        <w:t xml:space="preserve"> </w:t>
      </w:r>
      <w:r w:rsidRPr="00E106BD">
        <w:t>approves the hospital authority, he or she may allot a number to the approval.</w:t>
      </w:r>
    </w:p>
    <w:p w:rsidR="00A869FA" w:rsidRPr="00E106BD" w:rsidRDefault="00A869FA" w:rsidP="004E4760">
      <w:pPr>
        <w:pStyle w:val="subsection"/>
      </w:pPr>
      <w:r w:rsidRPr="00E106BD">
        <w:tab/>
        <w:t>(4)</w:t>
      </w:r>
      <w:r w:rsidRPr="00E106BD">
        <w:tab/>
        <w:t xml:space="preserve">A number allotted to a hospital authority under either of the following provisions is to be treated as having been allotted by the Secretary under </w:t>
      </w:r>
      <w:r w:rsidR="00376D5A" w:rsidRPr="00E106BD">
        <w:t>subsection</w:t>
      </w:r>
      <w:r w:rsidR="00E106BD">
        <w:t> </w:t>
      </w:r>
      <w:r w:rsidR="00376D5A" w:rsidRPr="00E106BD">
        <w:t>16(4)</w:t>
      </w:r>
      <w:r w:rsidRPr="00E106BD">
        <w:t xml:space="preserve"> of the Regulations:</w:t>
      </w:r>
    </w:p>
    <w:p w:rsidR="00A869FA" w:rsidRPr="00E106BD" w:rsidRDefault="00A869FA" w:rsidP="004E4760">
      <w:pPr>
        <w:pStyle w:val="paragraph"/>
      </w:pPr>
      <w:r w:rsidRPr="00E106BD">
        <w:rPr>
          <w:szCs w:val="24"/>
        </w:rPr>
        <w:tab/>
        <w:t>(a)</w:t>
      </w:r>
      <w:r w:rsidRPr="00E106BD">
        <w:rPr>
          <w:szCs w:val="24"/>
        </w:rPr>
        <w:tab/>
      </w:r>
      <w:r w:rsidR="00E106BD">
        <w:rPr>
          <w:szCs w:val="24"/>
        </w:rPr>
        <w:t>subsection (</w:t>
      </w:r>
      <w:r w:rsidRPr="00E106BD">
        <w:rPr>
          <w:szCs w:val="24"/>
        </w:rPr>
        <w:t>3) of this section;</w:t>
      </w:r>
    </w:p>
    <w:p w:rsidR="00A869FA" w:rsidRPr="00E106BD" w:rsidRDefault="00A869FA" w:rsidP="004E4760">
      <w:pPr>
        <w:pStyle w:val="paragraph"/>
      </w:pPr>
      <w:r w:rsidRPr="00E106BD">
        <w:tab/>
        <w:t>(b)</w:t>
      </w:r>
      <w:r w:rsidRPr="00E106BD">
        <w:tab/>
        <w:t>subsection</w:t>
      </w:r>
      <w:r w:rsidR="00E106BD">
        <w:t> </w:t>
      </w:r>
      <w:r w:rsidRPr="00E106BD">
        <w:t xml:space="preserve">52(3) of the </w:t>
      </w:r>
      <w:r w:rsidRPr="00E106BD">
        <w:rPr>
          <w:i/>
        </w:rPr>
        <w:t>National Health (Highly specialised drugs program for public hospitals) Special Arrangements Instrument 2010</w:t>
      </w:r>
      <w:r w:rsidRPr="00E106BD">
        <w:t>.</w:t>
      </w:r>
    </w:p>
    <w:p w:rsidR="00A869FA" w:rsidRPr="00E106BD" w:rsidRDefault="00A869FA" w:rsidP="004E4760">
      <w:pPr>
        <w:pStyle w:val="subsection"/>
      </w:pPr>
      <w:r w:rsidRPr="00E106BD">
        <w:rPr>
          <w:color w:val="000000"/>
          <w:szCs w:val="24"/>
        </w:rPr>
        <w:tab/>
      </w:r>
      <w:r w:rsidRPr="00E106BD">
        <w:rPr>
          <w:szCs w:val="24"/>
        </w:rPr>
        <w:t>(5)</w:t>
      </w:r>
      <w:r w:rsidRPr="00E106BD">
        <w:rPr>
          <w:szCs w:val="24"/>
        </w:rPr>
        <w:tab/>
        <w:t xml:space="preserve">The approval may be subject to any conditions the </w:t>
      </w:r>
      <w:r w:rsidR="00376D5A" w:rsidRPr="00E106BD">
        <w:rPr>
          <w:szCs w:val="24"/>
        </w:rPr>
        <w:t>Secretary</w:t>
      </w:r>
      <w:r w:rsidR="00356F7D" w:rsidRPr="00E106BD">
        <w:rPr>
          <w:szCs w:val="24"/>
        </w:rPr>
        <w:t xml:space="preserve"> </w:t>
      </w:r>
      <w:r w:rsidRPr="00E106BD">
        <w:rPr>
          <w:szCs w:val="24"/>
        </w:rPr>
        <w:t>determines.</w:t>
      </w:r>
    </w:p>
    <w:p w:rsidR="00A869FA" w:rsidRPr="00E106BD" w:rsidRDefault="00A869FA" w:rsidP="004E4760">
      <w:pPr>
        <w:pStyle w:val="subsection"/>
      </w:pPr>
      <w:r w:rsidRPr="00E106BD">
        <w:tab/>
        <w:t>(6)</w:t>
      </w:r>
      <w:r w:rsidRPr="00E106BD">
        <w:tab/>
        <w:t xml:space="preserve">The </w:t>
      </w:r>
      <w:r w:rsidR="00376D5A" w:rsidRPr="00E106BD">
        <w:t>Secretary</w:t>
      </w:r>
      <w:r w:rsidRPr="00E106BD">
        <w:t xml:space="preserve"> must, in writing, notify the hospital authority of his or her decision on the hospital authority’s application.</w:t>
      </w:r>
    </w:p>
    <w:p w:rsidR="00A869FA" w:rsidRPr="00E106BD" w:rsidRDefault="00A869FA" w:rsidP="004E4760">
      <w:pPr>
        <w:pStyle w:val="subsection"/>
      </w:pPr>
      <w:r w:rsidRPr="00E106BD">
        <w:tab/>
        <w:t>(7)</w:t>
      </w:r>
      <w:r w:rsidRPr="00E106BD">
        <w:tab/>
        <w:t xml:space="preserve">The </w:t>
      </w:r>
      <w:r w:rsidR="00376D5A" w:rsidRPr="00E106BD">
        <w:t>Secretary</w:t>
      </w:r>
      <w:r w:rsidR="00356F7D" w:rsidRPr="00E106BD">
        <w:t xml:space="preserve"> </w:t>
      </w:r>
      <w:r w:rsidRPr="00E106BD">
        <w:t>may, at any time, by notice in writing to the hospital authority, vary, suspend or revoke the approval.</w:t>
      </w:r>
    </w:p>
    <w:p w:rsidR="00A869FA" w:rsidRPr="00E106BD" w:rsidRDefault="00295F4A" w:rsidP="004E4760">
      <w:pPr>
        <w:pStyle w:val="notetext"/>
      </w:pPr>
      <w:r w:rsidRPr="00E106BD">
        <w:rPr>
          <w:iCs/>
          <w:color w:val="000000"/>
        </w:rPr>
        <w:t>Note:</w:t>
      </w:r>
      <w:r w:rsidRPr="00E106BD">
        <w:rPr>
          <w:iCs/>
          <w:color w:val="000000"/>
        </w:rPr>
        <w:tab/>
      </w:r>
      <w:r w:rsidR="00A869FA" w:rsidRPr="00E106BD">
        <w:rPr>
          <w:color w:val="000000"/>
        </w:rPr>
        <w:t xml:space="preserve">An approval under this </w:t>
      </w:r>
      <w:r w:rsidRPr="00E106BD">
        <w:rPr>
          <w:color w:val="000000"/>
        </w:rPr>
        <w:t>Part</w:t>
      </w:r>
      <w:r w:rsidR="00D41F19" w:rsidRPr="00E106BD">
        <w:rPr>
          <w:color w:val="000000"/>
        </w:rPr>
        <w:t xml:space="preserve"> </w:t>
      </w:r>
      <w:r w:rsidR="00A869FA" w:rsidRPr="00E106BD">
        <w:rPr>
          <w:color w:val="000000"/>
        </w:rPr>
        <w:t>may only be made for a hospital authority for a public hospital and does not constitute an approval under section</w:t>
      </w:r>
      <w:r w:rsidR="00E106BD">
        <w:rPr>
          <w:color w:val="000000"/>
        </w:rPr>
        <w:t> </w:t>
      </w:r>
      <w:r w:rsidR="00A869FA" w:rsidRPr="00E106BD">
        <w:rPr>
          <w:color w:val="000000"/>
        </w:rPr>
        <w:t>94 of the Act.</w:t>
      </w:r>
    </w:p>
    <w:p w:rsidR="00A869FA" w:rsidRPr="00E106BD" w:rsidRDefault="00295F4A" w:rsidP="004E4760">
      <w:pPr>
        <w:pStyle w:val="ActHead2"/>
        <w:keepNext w:val="0"/>
        <w:keepLines w:val="0"/>
        <w:pageBreakBefore/>
        <w:rPr>
          <w:color w:val="000000"/>
        </w:rPr>
      </w:pPr>
      <w:bookmarkStart w:id="69" w:name="_Toc53558998"/>
      <w:r w:rsidRPr="00E106BD">
        <w:rPr>
          <w:rStyle w:val="CharPartNo"/>
        </w:rPr>
        <w:t>Part</w:t>
      </w:r>
      <w:r w:rsidR="00E106BD">
        <w:rPr>
          <w:rStyle w:val="CharPartNo"/>
        </w:rPr>
        <w:t> </w:t>
      </w:r>
      <w:r w:rsidR="00A869FA" w:rsidRPr="00E106BD">
        <w:rPr>
          <w:rStyle w:val="CharPartNo"/>
        </w:rPr>
        <w:t>9</w:t>
      </w:r>
      <w:r w:rsidRPr="00E106BD">
        <w:rPr>
          <w:color w:val="000000"/>
        </w:rPr>
        <w:t>—</w:t>
      </w:r>
      <w:r w:rsidR="00A869FA" w:rsidRPr="00E106BD">
        <w:rPr>
          <w:rStyle w:val="CharPartText"/>
        </w:rPr>
        <w:t>Transitional arrangements</w:t>
      </w:r>
      <w:bookmarkEnd w:id="69"/>
    </w:p>
    <w:p w:rsidR="00A869FA" w:rsidRPr="00E106BD" w:rsidRDefault="00295F4A" w:rsidP="004E4760">
      <w:pPr>
        <w:pStyle w:val="Header"/>
        <w:keepNext w:val="0"/>
        <w:keepLines w:val="0"/>
      </w:pPr>
      <w:r w:rsidRPr="00E106BD">
        <w:rPr>
          <w:rStyle w:val="CharDivNo"/>
        </w:rPr>
        <w:t xml:space="preserve"> </w:t>
      </w:r>
      <w:r w:rsidRPr="00E106BD">
        <w:rPr>
          <w:rStyle w:val="CharDivText"/>
        </w:rPr>
        <w:t xml:space="preserve"> </w:t>
      </w:r>
    </w:p>
    <w:p w:rsidR="00A869FA" w:rsidRPr="00E106BD" w:rsidRDefault="00A869FA" w:rsidP="004E4760">
      <w:pPr>
        <w:pStyle w:val="ActHead5"/>
        <w:keepNext w:val="0"/>
        <w:keepLines w:val="0"/>
      </w:pPr>
      <w:bookmarkStart w:id="70" w:name="_Toc53558999"/>
      <w:r w:rsidRPr="00E106BD">
        <w:rPr>
          <w:rStyle w:val="CharSectno"/>
        </w:rPr>
        <w:t>53</w:t>
      </w:r>
      <w:r w:rsidR="00295F4A" w:rsidRPr="00E106BD">
        <w:t xml:space="preserve">  </w:t>
      </w:r>
      <w:r w:rsidRPr="00E106BD">
        <w:t>Approvals of certain hospital authorities of public hospitals</w:t>
      </w:r>
      <w:bookmarkEnd w:id="70"/>
    </w:p>
    <w:p w:rsidR="00A869FA" w:rsidRPr="00E106BD" w:rsidRDefault="00A869FA" w:rsidP="004E4760">
      <w:pPr>
        <w:pStyle w:val="subsection"/>
      </w:pPr>
      <w:r w:rsidRPr="00E106BD">
        <w:rPr>
          <w:szCs w:val="24"/>
        </w:rPr>
        <w:tab/>
      </w:r>
      <w:r w:rsidRPr="00E106BD">
        <w:rPr>
          <w:szCs w:val="24"/>
        </w:rPr>
        <w:tab/>
        <w:t xml:space="preserve">Despite the revocation of the </w:t>
      </w:r>
      <w:r w:rsidRPr="00E106BD">
        <w:rPr>
          <w:i/>
          <w:szCs w:val="24"/>
        </w:rPr>
        <w:t>National Health (Highly specialised drugs program for public hospitals) Special Arrangements Instrument 2010 (PB</w:t>
      </w:r>
      <w:r w:rsidR="00D41F19" w:rsidRPr="00E106BD">
        <w:rPr>
          <w:i/>
          <w:szCs w:val="24"/>
        </w:rPr>
        <w:t xml:space="preserve"> </w:t>
      </w:r>
      <w:r w:rsidRPr="00E106BD">
        <w:rPr>
          <w:i/>
          <w:szCs w:val="24"/>
        </w:rPr>
        <w:t>63 of 2010)</w:t>
      </w:r>
      <w:r w:rsidRPr="00E106BD">
        <w:rPr>
          <w:szCs w:val="24"/>
        </w:rPr>
        <w:t>, an approval that was in force under subsection</w:t>
      </w:r>
      <w:r w:rsidR="00E106BD">
        <w:rPr>
          <w:szCs w:val="24"/>
        </w:rPr>
        <w:t> </w:t>
      </w:r>
      <w:r w:rsidRPr="00E106BD">
        <w:rPr>
          <w:szCs w:val="24"/>
        </w:rPr>
        <w:t>52(2) of that Instrument immediately before the commencement of this section continues in force under this Special Arrangement as if it were an approval under subsection</w:t>
      </w:r>
      <w:r w:rsidR="00E106BD">
        <w:rPr>
          <w:szCs w:val="24"/>
        </w:rPr>
        <w:t> </w:t>
      </w:r>
      <w:r w:rsidRPr="00E106BD">
        <w:rPr>
          <w:szCs w:val="24"/>
        </w:rPr>
        <w:t>52(2) of this Special Arrangement.</w:t>
      </w:r>
    </w:p>
    <w:p w:rsidR="00F6651B" w:rsidRPr="00E106BD" w:rsidRDefault="00F6651B" w:rsidP="004E4760">
      <w:pPr>
        <w:pStyle w:val="ActHead5"/>
        <w:keepNext w:val="0"/>
        <w:keepLines w:val="0"/>
      </w:pPr>
      <w:bookmarkStart w:id="71" w:name="_Toc53559000"/>
      <w:r w:rsidRPr="00E106BD">
        <w:rPr>
          <w:rStyle w:val="CharSectno"/>
        </w:rPr>
        <w:t>54</w:t>
      </w:r>
      <w:r w:rsidRPr="00E106BD">
        <w:t xml:space="preserve">  Transitional arrangements for existing public hospital medication chart prescribing and paperless claiming</w:t>
      </w:r>
      <w:bookmarkEnd w:id="71"/>
    </w:p>
    <w:p w:rsidR="00F6651B" w:rsidRPr="00E106BD" w:rsidRDefault="00F6651B" w:rsidP="004E4760">
      <w:pPr>
        <w:pStyle w:val="subsection"/>
        <w:rPr>
          <w:szCs w:val="24"/>
        </w:rPr>
      </w:pPr>
      <w:r w:rsidRPr="00E106BD">
        <w:rPr>
          <w:szCs w:val="24"/>
        </w:rPr>
        <w:tab/>
        <w:t>(1)</w:t>
      </w:r>
      <w:r w:rsidRPr="00E106BD">
        <w:rPr>
          <w:szCs w:val="24"/>
        </w:rPr>
        <w:tab/>
        <w:t>An eligible medical practitioner at a public hospital may prescribe a HSD pharmaceutical benefit that has a non</w:t>
      </w:r>
      <w:r w:rsidR="00E106BD">
        <w:rPr>
          <w:szCs w:val="24"/>
        </w:rPr>
        <w:noBreakHyphen/>
      </w:r>
      <w:r w:rsidRPr="00E106BD">
        <w:rPr>
          <w:szCs w:val="24"/>
        </w:rPr>
        <w:t xml:space="preserve">CAR drug under this Special Arrangement, before 1 April 2017, by following the requirements for prescribing from a medication chart in the </w:t>
      </w:r>
      <w:r w:rsidRPr="00E106BD">
        <w:rPr>
          <w:i/>
          <w:szCs w:val="24"/>
        </w:rPr>
        <w:t>National Health (Highly specialised drugs program for hospitals) Special Arrangement 2010</w:t>
      </w:r>
      <w:r w:rsidRPr="00E106BD">
        <w:rPr>
          <w:szCs w:val="24"/>
        </w:rPr>
        <w:t xml:space="preserve"> as in force immediately before 1 April 2015. </w:t>
      </w:r>
    </w:p>
    <w:p w:rsidR="00F6651B" w:rsidRPr="00E106BD" w:rsidRDefault="00F6651B" w:rsidP="004E4760">
      <w:pPr>
        <w:pStyle w:val="subsection"/>
        <w:rPr>
          <w:szCs w:val="24"/>
        </w:rPr>
      </w:pPr>
      <w:r w:rsidRPr="00E106BD">
        <w:rPr>
          <w:szCs w:val="24"/>
        </w:rPr>
        <w:tab/>
        <w:t>(2)</w:t>
      </w:r>
      <w:r w:rsidRPr="00E106BD">
        <w:rPr>
          <w:szCs w:val="24"/>
        </w:rPr>
        <w:tab/>
        <w:t xml:space="preserve">An approved hospital authority for a public hospital can supply a HSD pharmaceutical benefit prescribed under </w:t>
      </w:r>
      <w:r w:rsidR="00E106BD">
        <w:rPr>
          <w:szCs w:val="24"/>
        </w:rPr>
        <w:t>subsection (</w:t>
      </w:r>
      <w:r w:rsidRPr="00E106BD">
        <w:rPr>
          <w:szCs w:val="24"/>
        </w:rPr>
        <w:t>1).</w:t>
      </w:r>
    </w:p>
    <w:p w:rsidR="00F6651B" w:rsidRPr="00E106BD" w:rsidRDefault="00F6651B" w:rsidP="004E4760">
      <w:pPr>
        <w:pStyle w:val="subsection"/>
        <w:rPr>
          <w:szCs w:val="24"/>
        </w:rPr>
      </w:pPr>
      <w:r w:rsidRPr="00E106BD">
        <w:rPr>
          <w:szCs w:val="24"/>
        </w:rPr>
        <w:tab/>
        <w:t>(3)</w:t>
      </w:r>
      <w:r w:rsidRPr="00E106BD">
        <w:rPr>
          <w:szCs w:val="24"/>
        </w:rPr>
        <w:tab/>
        <w:t xml:space="preserve">The requirements for prescribing, supplying and claiming from a medication chart set out in the </w:t>
      </w:r>
      <w:r w:rsidRPr="00E106BD">
        <w:rPr>
          <w:i/>
          <w:szCs w:val="24"/>
        </w:rPr>
        <w:t>National Health (Highly specialised drugs program for hospitals) Special Arrangement 2010</w:t>
      </w:r>
      <w:r w:rsidRPr="00E106BD">
        <w:rPr>
          <w:szCs w:val="24"/>
        </w:rPr>
        <w:t xml:space="preserve"> as in force immediately before 1 April 2015, continue to apply in relation to a medication chart prepared under </w:t>
      </w:r>
      <w:r w:rsidR="00E106BD">
        <w:rPr>
          <w:szCs w:val="24"/>
        </w:rPr>
        <w:t>subsection (</w:t>
      </w:r>
      <w:r w:rsidRPr="00E106BD">
        <w:rPr>
          <w:szCs w:val="24"/>
        </w:rPr>
        <w:t>1).</w:t>
      </w:r>
    </w:p>
    <w:p w:rsidR="00F6651B" w:rsidRPr="00E106BD" w:rsidRDefault="00F6651B" w:rsidP="004E4760">
      <w:pPr>
        <w:pStyle w:val="subsection"/>
        <w:rPr>
          <w:szCs w:val="24"/>
        </w:rPr>
      </w:pPr>
      <w:r w:rsidRPr="00E106BD">
        <w:rPr>
          <w:szCs w:val="24"/>
        </w:rPr>
        <w:tab/>
        <w:t>(4)</w:t>
      </w:r>
      <w:r w:rsidRPr="00E106BD">
        <w:rPr>
          <w:szCs w:val="24"/>
        </w:rPr>
        <w:tab/>
        <w:t xml:space="preserve">However, this section does not apply if the public hospital referred to in </w:t>
      </w:r>
      <w:r w:rsidR="00E106BD">
        <w:rPr>
          <w:szCs w:val="24"/>
        </w:rPr>
        <w:t>subsections (</w:t>
      </w:r>
      <w:r w:rsidRPr="00E106BD">
        <w:rPr>
          <w:szCs w:val="24"/>
        </w:rPr>
        <w:t>1) and (2) is a listed approved hospital under regulation</w:t>
      </w:r>
      <w:r w:rsidR="00E106BD">
        <w:rPr>
          <w:szCs w:val="24"/>
        </w:rPr>
        <w:t> </w:t>
      </w:r>
      <w:r w:rsidRPr="00E106BD">
        <w:rPr>
          <w:szCs w:val="24"/>
        </w:rPr>
        <w:t xml:space="preserve">59 of </w:t>
      </w:r>
      <w:r w:rsidR="00376D5A" w:rsidRPr="00E106BD">
        <w:t xml:space="preserve">the </w:t>
      </w:r>
      <w:r w:rsidR="00376D5A" w:rsidRPr="00E106BD">
        <w:rPr>
          <w:i/>
        </w:rPr>
        <w:t>National Health (Pharmaceutical Benefits) Regulations</w:t>
      </w:r>
      <w:r w:rsidR="00E106BD">
        <w:rPr>
          <w:i/>
        </w:rPr>
        <w:t> </w:t>
      </w:r>
      <w:r w:rsidR="00376D5A" w:rsidRPr="00E106BD">
        <w:rPr>
          <w:i/>
        </w:rPr>
        <w:t>1960</w:t>
      </w:r>
      <w:r w:rsidR="00376D5A" w:rsidRPr="00E106BD">
        <w:t xml:space="preserve"> as in force immediately before the commencement of the Regulations</w:t>
      </w:r>
      <w:r w:rsidRPr="00E106BD">
        <w:rPr>
          <w:szCs w:val="24"/>
        </w:rPr>
        <w:t xml:space="preserve">. </w:t>
      </w:r>
    </w:p>
    <w:p w:rsidR="00F6651B" w:rsidRPr="00E106BD" w:rsidRDefault="00F6651B" w:rsidP="004E4760">
      <w:pPr>
        <w:pStyle w:val="subsection"/>
        <w:rPr>
          <w:szCs w:val="24"/>
        </w:rPr>
      </w:pPr>
      <w:r w:rsidRPr="00E106BD">
        <w:rPr>
          <w:szCs w:val="24"/>
        </w:rPr>
        <w:tab/>
        <w:t>(5)</w:t>
      </w:r>
      <w:r w:rsidRPr="00E106BD">
        <w:rPr>
          <w:szCs w:val="24"/>
        </w:rPr>
        <w:tab/>
        <w:t>However, if this section applies, the supply certification referred to in subrule 5(1A) of the rules made under subsections</w:t>
      </w:r>
      <w:r w:rsidR="00E106BD">
        <w:rPr>
          <w:szCs w:val="24"/>
        </w:rPr>
        <w:t> </w:t>
      </w:r>
      <w:r w:rsidRPr="00E106BD">
        <w:rPr>
          <w:szCs w:val="24"/>
        </w:rPr>
        <w:t>98AC(4) and 99AAA(8) of the Act is allowed, and then required, as indicated in transi</w:t>
      </w:r>
      <w:r w:rsidR="00133E98" w:rsidRPr="00E106BD">
        <w:rPr>
          <w:szCs w:val="24"/>
        </w:rPr>
        <w:t>tional rule</w:t>
      </w:r>
      <w:r w:rsidR="00E106BD">
        <w:rPr>
          <w:szCs w:val="24"/>
        </w:rPr>
        <w:t> </w:t>
      </w:r>
      <w:r w:rsidR="00133E98" w:rsidRPr="00E106BD">
        <w:rPr>
          <w:szCs w:val="24"/>
        </w:rPr>
        <w:t>12 of those rules.</w:t>
      </w:r>
    </w:p>
    <w:p w:rsidR="00F6651B" w:rsidRPr="00E106BD" w:rsidRDefault="00F6651B" w:rsidP="004E4760">
      <w:pPr>
        <w:pStyle w:val="ActHead5"/>
        <w:keepNext w:val="0"/>
        <w:keepLines w:val="0"/>
      </w:pPr>
      <w:bookmarkStart w:id="72" w:name="_Toc53559001"/>
      <w:r w:rsidRPr="00E106BD">
        <w:rPr>
          <w:rStyle w:val="CharSectno"/>
        </w:rPr>
        <w:t>55</w:t>
      </w:r>
      <w:r w:rsidRPr="00E106BD">
        <w:t xml:space="preserve"> </w:t>
      </w:r>
      <w:r w:rsidR="000B4161" w:rsidRPr="00E106BD">
        <w:t xml:space="preserve"> </w:t>
      </w:r>
      <w:r w:rsidRPr="00E106BD">
        <w:t>Transitional arrangements for existing non</w:t>
      </w:r>
      <w:r w:rsidR="00E106BD">
        <w:noBreakHyphen/>
      </w:r>
      <w:r w:rsidRPr="00E106BD">
        <w:t>medication chart public hospital paperless claiming</w:t>
      </w:r>
      <w:bookmarkEnd w:id="72"/>
    </w:p>
    <w:p w:rsidR="00F6651B" w:rsidRPr="00E106BD" w:rsidRDefault="00F6651B" w:rsidP="004E4760">
      <w:pPr>
        <w:pStyle w:val="subsection"/>
      </w:pPr>
      <w:r w:rsidRPr="00E106BD">
        <w:tab/>
      </w:r>
      <w:r w:rsidRPr="00E106BD">
        <w:rPr>
          <w:lang w:eastAsia="en-US"/>
        </w:rPr>
        <w:t>(</w:t>
      </w:r>
      <w:r w:rsidRPr="00E106BD">
        <w:t>1)</w:t>
      </w:r>
      <w:r w:rsidRPr="00E106BD">
        <w:tab/>
        <w:t>An approved hospital authority for a public hospital may supply a HSD pharmaceutical benefit that has a non</w:t>
      </w:r>
      <w:r w:rsidR="00E106BD">
        <w:noBreakHyphen/>
      </w:r>
      <w:r w:rsidRPr="00E106BD">
        <w:t>CAR drug before 1 April 2017, from a prescription other than a medication chart, in accordance with Part</w:t>
      </w:r>
      <w:r w:rsidR="00E106BD">
        <w:t> </w:t>
      </w:r>
      <w:r w:rsidRPr="00E106BD">
        <w:t>4, Division</w:t>
      </w:r>
      <w:r w:rsidR="00E106BD">
        <w:t> </w:t>
      </w:r>
      <w:r w:rsidRPr="00E106BD">
        <w:t>2, Subdivision</w:t>
      </w:r>
      <w:r w:rsidR="00E106BD">
        <w:t> </w:t>
      </w:r>
      <w:r w:rsidRPr="00E106BD">
        <w:t xml:space="preserve">2 of the </w:t>
      </w:r>
      <w:r w:rsidRPr="00E106BD">
        <w:rPr>
          <w:i/>
        </w:rPr>
        <w:t>National Health (Highly specialised drugs program for hospitals) Special Arrangement 2010</w:t>
      </w:r>
      <w:r w:rsidRPr="00E106BD">
        <w:t xml:space="preserve"> as in force immediately before 1 April 2015. </w:t>
      </w:r>
    </w:p>
    <w:p w:rsidR="00F6651B" w:rsidRPr="00E106BD" w:rsidRDefault="00F6651B" w:rsidP="004E4760">
      <w:pPr>
        <w:pStyle w:val="subsection"/>
      </w:pPr>
      <w:r w:rsidRPr="00E106BD">
        <w:rPr>
          <w:szCs w:val="24"/>
        </w:rPr>
        <w:tab/>
        <w:t>(2)</w:t>
      </w:r>
      <w:r w:rsidRPr="00E106BD">
        <w:rPr>
          <w:szCs w:val="24"/>
        </w:rPr>
        <w:tab/>
        <w:t>However, if this section applies, the supply certification referred to in subrule 5(1A) of the rules made under subsections</w:t>
      </w:r>
      <w:r w:rsidR="00E106BD">
        <w:rPr>
          <w:szCs w:val="24"/>
        </w:rPr>
        <w:t> </w:t>
      </w:r>
      <w:r w:rsidRPr="00E106BD">
        <w:rPr>
          <w:szCs w:val="24"/>
        </w:rPr>
        <w:t>98AC(4) and 99AAA(8) of the Act is allowed, and then required, as indicated in transitional rule</w:t>
      </w:r>
      <w:r w:rsidR="00E106BD">
        <w:rPr>
          <w:szCs w:val="24"/>
        </w:rPr>
        <w:t> </w:t>
      </w:r>
      <w:r w:rsidRPr="00E106BD">
        <w:rPr>
          <w:szCs w:val="24"/>
        </w:rPr>
        <w:t>12 of those rules.</w:t>
      </w:r>
    </w:p>
    <w:p w:rsidR="007F7FF0" w:rsidRPr="00E106BD" w:rsidRDefault="007F7FF0" w:rsidP="00E84137">
      <w:pPr>
        <w:pStyle w:val="ActHead5"/>
        <w:keepNext w:val="0"/>
        <w:keepLines w:val="0"/>
      </w:pPr>
      <w:bookmarkStart w:id="73" w:name="_Toc53559002"/>
      <w:r w:rsidRPr="00E106BD">
        <w:rPr>
          <w:rStyle w:val="CharSectno"/>
        </w:rPr>
        <w:t>56</w:t>
      </w:r>
      <w:r w:rsidRPr="00E106BD">
        <w:t xml:space="preserve">  Transitional arrangements for repeat prescriptions</w:t>
      </w:r>
      <w:bookmarkEnd w:id="73"/>
    </w:p>
    <w:p w:rsidR="006B3554" w:rsidRPr="00E106BD" w:rsidRDefault="006B3554" w:rsidP="006B3554">
      <w:pPr>
        <w:pStyle w:val="subsection"/>
        <w:rPr>
          <w:szCs w:val="24"/>
        </w:rPr>
      </w:pPr>
      <w:r w:rsidRPr="00E106BD">
        <w:rPr>
          <w:szCs w:val="24"/>
        </w:rPr>
        <w:tab/>
        <w:t>(1)</w:t>
      </w:r>
      <w:r w:rsidRPr="00E106BD">
        <w:rPr>
          <w:szCs w:val="24"/>
        </w:rPr>
        <w:tab/>
        <w:t>Where an authorised prescriber has issued a repeat prescription prior to 1 July 2015, the new arrangements apply to the supply of the repeat pharmaceutical benefits.</w:t>
      </w:r>
    </w:p>
    <w:p w:rsidR="006B3554" w:rsidRPr="00E106BD" w:rsidRDefault="006B3554" w:rsidP="006B3554">
      <w:pPr>
        <w:pStyle w:val="subsection"/>
      </w:pPr>
      <w:r w:rsidRPr="00E106BD">
        <w:rPr>
          <w:szCs w:val="24"/>
        </w:rPr>
        <w:tab/>
        <w:t>(2)</w:t>
      </w:r>
      <w:r w:rsidRPr="00E106BD">
        <w:rPr>
          <w:szCs w:val="24"/>
        </w:rPr>
        <w:tab/>
      </w:r>
      <w:r w:rsidRPr="00E106BD">
        <w:t xml:space="preserve">In this section </w:t>
      </w:r>
      <w:r w:rsidRPr="00E106BD">
        <w:rPr>
          <w:b/>
          <w:i/>
        </w:rPr>
        <w:t>new arrangements</w:t>
      </w:r>
      <w:r w:rsidRPr="00E106BD">
        <w:t xml:space="preserve"> mean the </w:t>
      </w:r>
      <w:r w:rsidRPr="00E106BD">
        <w:rPr>
          <w:i/>
        </w:rPr>
        <w:t>National Health (Highly specialised drugs program) Special Arrangement 2010</w:t>
      </w:r>
      <w:r w:rsidRPr="00E106BD">
        <w:t xml:space="preserve"> as in force on 1 July 2015.</w:t>
      </w:r>
    </w:p>
    <w:p w:rsidR="001B0025" w:rsidRPr="00E106BD" w:rsidRDefault="001B0025" w:rsidP="00270777">
      <w:pPr>
        <w:sectPr w:rsidR="001B0025" w:rsidRPr="00E106BD" w:rsidSect="00AF69B5">
          <w:headerReference w:type="even" r:id="rId22"/>
          <w:headerReference w:type="default" r:id="rId23"/>
          <w:footerReference w:type="even" r:id="rId24"/>
          <w:footerReference w:type="default" r:id="rId25"/>
          <w:headerReference w:type="first" r:id="rId26"/>
          <w:footerReference w:type="first" r:id="rId27"/>
          <w:pgSz w:w="11907" w:h="16839" w:code="9"/>
          <w:pgMar w:top="1440" w:right="1797" w:bottom="1440" w:left="1797" w:header="720" w:footer="709" w:gutter="0"/>
          <w:pgNumType w:start="1"/>
          <w:cols w:space="708"/>
          <w:docGrid w:linePitch="360"/>
        </w:sectPr>
      </w:pPr>
      <w:bookmarkStart w:id="74" w:name="OPCSB_BodyPrincipleA4"/>
    </w:p>
    <w:p w:rsidR="009A56D1" w:rsidRPr="00E106BD" w:rsidRDefault="00295F4A" w:rsidP="004E4760">
      <w:pPr>
        <w:pStyle w:val="ActHead1"/>
        <w:keepNext w:val="0"/>
        <w:keepLines w:val="0"/>
        <w:pageBreakBefore/>
        <w:spacing w:before="240"/>
        <w:ind w:left="0" w:firstLine="0"/>
      </w:pPr>
      <w:bookmarkStart w:id="75" w:name="_Toc53559003"/>
      <w:bookmarkEnd w:id="74"/>
      <w:r w:rsidRPr="00E106BD">
        <w:rPr>
          <w:rStyle w:val="CharChapNo"/>
        </w:rPr>
        <w:t>Schedule</w:t>
      </w:r>
      <w:r w:rsidR="00E106BD">
        <w:rPr>
          <w:rStyle w:val="CharChapNo"/>
        </w:rPr>
        <w:t> </w:t>
      </w:r>
      <w:r w:rsidR="009A56D1" w:rsidRPr="00E106BD">
        <w:rPr>
          <w:rStyle w:val="CharChapNo"/>
        </w:rPr>
        <w:t>1</w:t>
      </w:r>
      <w:r w:rsidRPr="00E106BD">
        <w:t>—</w:t>
      </w:r>
      <w:r w:rsidR="009A56D1" w:rsidRPr="00E106BD">
        <w:rPr>
          <w:rStyle w:val="CharChapText"/>
        </w:rPr>
        <w:t>Pharmaceutical benefits covered by this Special Arrangement and related information</w:t>
      </w:r>
      <w:bookmarkEnd w:id="75"/>
    </w:p>
    <w:p w:rsidR="009A56D1" w:rsidRPr="00E106BD" w:rsidRDefault="009A56D1" w:rsidP="004E4760">
      <w:pPr>
        <w:pStyle w:val="notemargin"/>
      </w:pPr>
      <w:r w:rsidRPr="00E106BD">
        <w:t>(sections</w:t>
      </w:r>
      <w:r w:rsidR="00E106BD">
        <w:t> </w:t>
      </w:r>
      <w:r w:rsidRPr="00E106BD">
        <w:t>5, 7, 8, 9, 10, 14, 15, 16 and 25)</w:t>
      </w:r>
    </w:p>
    <w:p w:rsidR="00A564DF" w:rsidRPr="00E106BD" w:rsidRDefault="00295F4A" w:rsidP="004E4760">
      <w:pPr>
        <w:pStyle w:val="Header"/>
        <w:keepNext w:val="0"/>
        <w:keepLines w:val="0"/>
      </w:pPr>
      <w:r w:rsidRPr="00E106BD">
        <w:rPr>
          <w:rStyle w:val="CharPartNo"/>
        </w:rPr>
        <w:t xml:space="preserve"> </w:t>
      </w:r>
      <w:r w:rsidRPr="00E106BD">
        <w:rPr>
          <w:rStyle w:val="CharPartText"/>
        </w:rPr>
        <w:t xml:space="preserve"> </w:t>
      </w:r>
    </w:p>
    <w:p w:rsidR="009A56D1" w:rsidRPr="00E106BD" w:rsidRDefault="009A56D1" w:rsidP="004E4760"/>
    <w:tbl>
      <w:tblPr>
        <w:tblW w:w="4707" w:type="pct"/>
        <w:tblCellSpacing w:w="22" w:type="dxa"/>
        <w:tblInd w:w="-70" w:type="dxa"/>
        <w:tblBorders>
          <w:bottom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12"/>
        <w:gridCol w:w="2421"/>
        <w:gridCol w:w="965"/>
        <w:gridCol w:w="987"/>
        <w:gridCol w:w="599"/>
        <w:gridCol w:w="1246"/>
        <w:gridCol w:w="1113"/>
        <w:gridCol w:w="912"/>
        <w:gridCol w:w="793"/>
        <w:gridCol w:w="856"/>
      </w:tblGrid>
      <w:tr w:rsidR="00990B01" w:rsidRPr="00E106BD" w:rsidTr="00802FC7">
        <w:trPr>
          <w:cantSplit/>
          <w:trHeight w:val="1386"/>
          <w:tblHeader/>
          <w:tblCellSpacing w:w="22" w:type="dxa"/>
        </w:trPr>
        <w:tc>
          <w:tcPr>
            <w:tcW w:w="1050"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Listed Drug</w:t>
            </w:r>
          </w:p>
        </w:tc>
        <w:tc>
          <w:tcPr>
            <w:tcW w:w="943"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Form</w:t>
            </w:r>
          </w:p>
        </w:tc>
        <w:tc>
          <w:tcPr>
            <w:tcW w:w="365"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Manner of Administration</w:t>
            </w:r>
          </w:p>
        </w:tc>
        <w:tc>
          <w:tcPr>
            <w:tcW w:w="374"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Brand</w:t>
            </w:r>
          </w:p>
        </w:tc>
        <w:tc>
          <w:tcPr>
            <w:tcW w:w="220"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Responsible Person</w:t>
            </w:r>
          </w:p>
        </w:tc>
        <w:tc>
          <w:tcPr>
            <w:tcW w:w="477"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Circumstances</w:t>
            </w:r>
          </w:p>
        </w:tc>
        <w:tc>
          <w:tcPr>
            <w:tcW w:w="424"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Purposes</w:t>
            </w:r>
          </w:p>
        </w:tc>
        <w:tc>
          <w:tcPr>
            <w:tcW w:w="344"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Maximum Quantity</w:t>
            </w:r>
          </w:p>
        </w:tc>
        <w:tc>
          <w:tcPr>
            <w:tcW w:w="297"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Number of Repeats</w:t>
            </w:r>
          </w:p>
        </w:tc>
        <w:tc>
          <w:tcPr>
            <w:tcW w:w="313"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Section</w:t>
            </w:r>
            <w:r w:rsidR="00E106BD">
              <w:rPr>
                <w:rFonts w:ascii="Arial" w:hAnsi="Arial" w:cs="Arial"/>
                <w:b/>
                <w:sz w:val="16"/>
                <w:szCs w:val="16"/>
              </w:rPr>
              <w:t> </w:t>
            </w:r>
            <w:r w:rsidRPr="00E106BD">
              <w:rPr>
                <w:rFonts w:ascii="Arial" w:hAnsi="Arial" w:cs="Arial"/>
                <w:b/>
                <w:sz w:val="16"/>
                <w:szCs w:val="16"/>
              </w:rPr>
              <w:t>100 only</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Abacavir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300 mg (as sulfate)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Ziagen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rsidP="009B6241">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Oral solution 20 mg (as sulfate) per mL, 240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Ziagen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rsidP="009B6241">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Abacavir with Lamivudine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abacavir 600 mg (as hydrochloride) with lamivudine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Abacavir/Lamivudine GH 600/300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GQ</w:t>
            </w:r>
          </w:p>
        </w:tc>
        <w:tc>
          <w:tcPr>
            <w:tcW w:w="477" w:type="pct"/>
          </w:tcPr>
          <w:p w:rsidR="00990B01" w:rsidRPr="00E106BD" w:rsidRDefault="00990B01" w:rsidP="009B6241">
            <w:pPr>
              <w:rPr>
                <w:rFonts w:ascii="Arial" w:hAnsi="Arial" w:cs="Arial"/>
                <w:sz w:val="16"/>
                <w:szCs w:val="16"/>
              </w:rPr>
            </w:pPr>
            <w:r w:rsidRPr="00E106BD">
              <w:rPr>
                <w:rFonts w:ascii="Arial" w:hAnsi="Arial" w:cs="Arial"/>
                <w:sz w:val="16"/>
                <w:szCs w:val="16"/>
              </w:rPr>
              <w:t>C4527 C4528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A56C3B">
            <w:pPr>
              <w:rPr>
                <w:rFonts w:ascii="Arial" w:hAnsi="Arial" w:cs="Arial"/>
                <w:sz w:val="16"/>
                <w:szCs w:val="16"/>
              </w:rPr>
            </w:pPr>
            <w:r w:rsidRPr="00E106BD">
              <w:rPr>
                <w:rFonts w:ascii="Arial" w:hAnsi="Arial" w:cs="Arial"/>
                <w:sz w:val="16"/>
                <w:szCs w:val="16"/>
              </w:rPr>
              <w:t>Tablet containing abacavir 600 mg (as sulfate) with lamivudine 300 mg</w:t>
            </w:r>
          </w:p>
        </w:tc>
        <w:tc>
          <w:tcPr>
            <w:tcW w:w="365" w:type="pct"/>
          </w:tcPr>
          <w:p w:rsidR="00990B01" w:rsidRPr="00E106BD" w:rsidRDefault="00990B01" w:rsidP="00A56C3B">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ABACAVIR/LAMIVUDINE 600/300 SUN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RA</w:t>
            </w:r>
          </w:p>
        </w:tc>
        <w:tc>
          <w:tcPr>
            <w:tcW w:w="477" w:type="pct"/>
          </w:tcPr>
          <w:p w:rsidR="00990B01" w:rsidRPr="00E106BD" w:rsidRDefault="00990B01" w:rsidP="009B6241">
            <w:pPr>
              <w:rPr>
                <w:rFonts w:ascii="Arial" w:hAnsi="Arial" w:cs="Arial"/>
                <w:sz w:val="16"/>
                <w:szCs w:val="16"/>
              </w:rPr>
            </w:pPr>
            <w:r w:rsidRPr="00E106BD">
              <w:rPr>
                <w:rFonts w:ascii="Arial" w:hAnsi="Arial" w:cs="Arial"/>
                <w:sz w:val="16"/>
                <w:szCs w:val="16"/>
              </w:rPr>
              <w:t>C4527 C4528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Abacavir/</w:t>
            </w:r>
            <w:r w:rsidRPr="00E106BD">
              <w:rPr>
                <w:rFonts w:ascii="Arial" w:hAnsi="Arial" w:cs="Arial"/>
                <w:sz w:val="16"/>
                <w:szCs w:val="16"/>
              </w:rPr>
              <w:br/>
              <w:t>Lamivudine Mylan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77" w:type="pct"/>
          </w:tcPr>
          <w:p w:rsidR="00990B01" w:rsidRPr="00E106BD" w:rsidRDefault="00990B01" w:rsidP="009B6241">
            <w:pPr>
              <w:rPr>
                <w:rFonts w:ascii="Arial" w:hAnsi="Arial" w:cs="Arial"/>
                <w:sz w:val="16"/>
                <w:szCs w:val="16"/>
              </w:rPr>
            </w:pPr>
            <w:r w:rsidRPr="00E106BD">
              <w:rPr>
                <w:rFonts w:ascii="Arial" w:hAnsi="Arial" w:cs="Arial"/>
                <w:sz w:val="16"/>
                <w:szCs w:val="16"/>
              </w:rPr>
              <w:t>C4527 C4528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Kivexa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 xml:space="preserve">C4527 C4528 </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Abacavir with Lamivudine and Zidovudine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abacavir 300 mg (as sulfate) with lamivudine 150 mg and zidovudine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Trizivir</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 xml:space="preserve">C4480 C4495 </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Abatacept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I.V. infusion 250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Orencia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77" w:type="pct"/>
          </w:tcPr>
          <w:p w:rsidR="00990B01" w:rsidRPr="00E106BD" w:rsidRDefault="00990B01" w:rsidP="00FD4A20">
            <w:pPr>
              <w:rPr>
                <w:rFonts w:ascii="Arial" w:hAnsi="Arial" w:cs="Arial"/>
                <w:sz w:val="16"/>
                <w:szCs w:val="16"/>
              </w:rPr>
            </w:pPr>
            <w:r w:rsidRPr="00E106BD">
              <w:rPr>
                <w:rFonts w:ascii="Arial" w:hAnsi="Arial" w:cs="Arial"/>
                <w:sz w:val="16"/>
                <w:szCs w:val="16"/>
              </w:rPr>
              <w:t>C8627 C8638 C8655 C8688 C8748 C8759</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Adalimumab</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 mg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Humira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VE</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C9384 C9417 </w:t>
            </w:r>
            <w:r w:rsidR="00CD385C" w:rsidRPr="00DA6B50">
              <w:rPr>
                <w:rFonts w:ascii="Arial" w:hAnsi="Arial" w:cs="Arial"/>
                <w:sz w:val="16"/>
                <w:szCs w:val="16"/>
              </w:rPr>
              <w:t>C10582 C10583 C10600 C10619</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803B48">
            <w:pPr>
              <w:keepNext/>
              <w:keepLines/>
              <w:rPr>
                <w:rFonts w:ascii="Arial" w:hAnsi="Arial" w:cs="Arial"/>
                <w:sz w:val="16"/>
                <w:szCs w:val="16"/>
              </w:rPr>
            </w:pPr>
          </w:p>
        </w:tc>
        <w:tc>
          <w:tcPr>
            <w:tcW w:w="943"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Injection 40 mg in 0.8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Humira</w:t>
            </w:r>
          </w:p>
        </w:tc>
        <w:tc>
          <w:tcPr>
            <w:tcW w:w="220"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VE</w:t>
            </w:r>
          </w:p>
        </w:tc>
        <w:tc>
          <w:tcPr>
            <w:tcW w:w="477"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 xml:space="preserve">C9384 C9417 </w:t>
            </w:r>
            <w:r w:rsidR="00DA6B50" w:rsidRPr="00DA6B50">
              <w:rPr>
                <w:rFonts w:ascii="Arial" w:hAnsi="Arial" w:cs="Arial"/>
                <w:sz w:val="16"/>
                <w:szCs w:val="16"/>
              </w:rPr>
              <w:t>C10582 C10583 C10600 C10619</w:t>
            </w:r>
          </w:p>
        </w:tc>
        <w:tc>
          <w:tcPr>
            <w:tcW w:w="424" w:type="pct"/>
          </w:tcPr>
          <w:p w:rsidR="00990B01" w:rsidRPr="00E106BD" w:rsidRDefault="00990B01" w:rsidP="00803B48">
            <w:pPr>
              <w:keepNext/>
              <w:keepLines/>
              <w:rPr>
                <w:rFonts w:ascii="Arial" w:hAnsi="Arial" w:cs="Arial"/>
                <w:sz w:val="16"/>
                <w:szCs w:val="16"/>
              </w:rPr>
            </w:pPr>
          </w:p>
        </w:tc>
        <w:tc>
          <w:tcPr>
            <w:tcW w:w="344" w:type="pct"/>
          </w:tcPr>
          <w:p w:rsidR="00990B01" w:rsidRPr="00E106BD" w:rsidRDefault="00990B01" w:rsidP="00803B48">
            <w:pPr>
              <w:keepNext/>
              <w:keepLines/>
              <w:rPr>
                <w:sz w:val="16"/>
                <w:szCs w:val="16"/>
              </w:rPr>
            </w:pPr>
            <w:r w:rsidRPr="00E106BD">
              <w:rPr>
                <w:rFonts w:ascii="Arial" w:hAnsi="Arial" w:cs="Arial"/>
                <w:sz w:val="16"/>
                <w:szCs w:val="16"/>
              </w:rPr>
              <w:t>See Note 1</w:t>
            </w:r>
          </w:p>
        </w:tc>
        <w:tc>
          <w:tcPr>
            <w:tcW w:w="297" w:type="pct"/>
          </w:tcPr>
          <w:p w:rsidR="00990B01" w:rsidRPr="00E106BD" w:rsidRDefault="00990B01" w:rsidP="00803B48">
            <w:pPr>
              <w:keepNext/>
              <w:keepLines/>
              <w:rPr>
                <w:sz w:val="16"/>
                <w:szCs w:val="16"/>
              </w:rPr>
            </w:pPr>
            <w:r w:rsidRPr="00E106BD">
              <w:rPr>
                <w:rFonts w:ascii="Arial" w:hAnsi="Arial" w:cs="Arial"/>
                <w:sz w:val="16"/>
                <w:szCs w:val="16"/>
              </w:rPr>
              <w:t>See Note 2</w:t>
            </w:r>
          </w:p>
        </w:tc>
        <w:tc>
          <w:tcPr>
            <w:tcW w:w="313"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 mg in 0.8 mL pre</w:t>
            </w:r>
            <w:r w:rsidR="00E106BD">
              <w:rPr>
                <w:rFonts w:ascii="Arial" w:hAnsi="Arial" w:cs="Arial"/>
                <w:sz w:val="16"/>
                <w:szCs w:val="16"/>
              </w:rPr>
              <w:noBreakHyphen/>
            </w:r>
            <w:r w:rsidRPr="00E106BD">
              <w:rPr>
                <w:rFonts w:ascii="Arial" w:hAnsi="Arial" w:cs="Arial"/>
                <w:sz w:val="16"/>
                <w:szCs w:val="16"/>
              </w:rPr>
              <w:t>filled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Humira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VE</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C9384 C9417 </w:t>
            </w:r>
            <w:r w:rsidR="00DA6B50" w:rsidRPr="00DA6B50">
              <w:rPr>
                <w:rFonts w:ascii="Arial" w:hAnsi="Arial" w:cs="Arial"/>
                <w:sz w:val="16"/>
                <w:szCs w:val="16"/>
              </w:rPr>
              <w:t>C10582 C10583 C10600 C10619</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Adefovir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adefovir dipivoxil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APO</w:t>
            </w:r>
            <w:r w:rsidR="00E106BD">
              <w:rPr>
                <w:rFonts w:ascii="Arial" w:hAnsi="Arial" w:cs="Arial"/>
                <w:sz w:val="16"/>
                <w:szCs w:val="16"/>
              </w:rPr>
              <w:noBreakHyphen/>
            </w:r>
            <w:r w:rsidRPr="00E106BD">
              <w:rPr>
                <w:rFonts w:ascii="Arial" w:hAnsi="Arial" w:cs="Arial"/>
                <w:sz w:val="16"/>
                <w:szCs w:val="16"/>
              </w:rPr>
              <w:t>Adefovir</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TX</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C4490 C4510</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CD64E9"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Alemtuzumab</w:t>
            </w:r>
          </w:p>
        </w:tc>
        <w:tc>
          <w:tcPr>
            <w:tcW w:w="943"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Solution concentrate for I.V. infusion 12 mg in 1.2 mL</w:t>
            </w:r>
          </w:p>
        </w:tc>
        <w:tc>
          <w:tcPr>
            <w:tcW w:w="365"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Injection</w:t>
            </w:r>
          </w:p>
        </w:tc>
        <w:tc>
          <w:tcPr>
            <w:tcW w:w="374"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Lemtrada</w:t>
            </w:r>
          </w:p>
        </w:tc>
        <w:tc>
          <w:tcPr>
            <w:tcW w:w="220"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GZ</w:t>
            </w:r>
          </w:p>
        </w:tc>
        <w:tc>
          <w:tcPr>
            <w:tcW w:w="477" w:type="pct"/>
            <w:tcBorders>
              <w:top w:val="nil"/>
              <w:bottom w:val="nil"/>
            </w:tcBorders>
          </w:tcPr>
          <w:p w:rsidR="00990B01" w:rsidRPr="00E106BD" w:rsidDel="00CD64E9" w:rsidRDefault="00990B01" w:rsidP="00110B3E">
            <w:pPr>
              <w:rPr>
                <w:rFonts w:ascii="Arial" w:hAnsi="Arial" w:cs="Arial"/>
                <w:sz w:val="16"/>
                <w:szCs w:val="16"/>
              </w:rPr>
            </w:pPr>
            <w:r w:rsidRPr="00E106BD">
              <w:rPr>
                <w:rFonts w:ascii="Arial" w:hAnsi="Arial" w:cs="Arial"/>
                <w:sz w:val="16"/>
                <w:szCs w:val="16"/>
              </w:rPr>
              <w:t>C6847 C7714 C9589 C9636</w:t>
            </w:r>
          </w:p>
        </w:tc>
        <w:tc>
          <w:tcPr>
            <w:tcW w:w="424" w:type="pct"/>
            <w:tcBorders>
              <w:top w:val="nil"/>
              <w:bottom w:val="nil"/>
            </w:tcBorders>
          </w:tcPr>
          <w:p w:rsidR="00990B01" w:rsidRPr="00E106BD" w:rsidDel="00CD64E9" w:rsidRDefault="00990B01">
            <w:pPr>
              <w:rPr>
                <w:rFonts w:ascii="Arial" w:hAnsi="Arial" w:cs="Arial"/>
                <w:sz w:val="16"/>
                <w:szCs w:val="16"/>
              </w:rPr>
            </w:pPr>
            <w:r w:rsidRPr="00E106BD">
              <w:rPr>
                <w:rFonts w:ascii="Arial" w:hAnsi="Arial" w:cs="Arial"/>
                <w:sz w:val="16"/>
                <w:szCs w:val="16"/>
              </w:rPr>
              <w:t>P6847 P9589</w:t>
            </w:r>
          </w:p>
        </w:tc>
        <w:tc>
          <w:tcPr>
            <w:tcW w:w="344"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3</w:t>
            </w:r>
          </w:p>
        </w:tc>
        <w:tc>
          <w:tcPr>
            <w:tcW w:w="297"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CD64E9"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Del="00CD64E9" w:rsidRDefault="00990B01" w:rsidP="004E4760">
            <w:pPr>
              <w:rPr>
                <w:rFonts w:ascii="Arial" w:hAnsi="Arial" w:cs="Arial"/>
                <w:sz w:val="16"/>
                <w:szCs w:val="16"/>
              </w:rPr>
            </w:pPr>
          </w:p>
        </w:tc>
        <w:tc>
          <w:tcPr>
            <w:tcW w:w="943" w:type="pct"/>
            <w:tcBorders>
              <w:top w:val="nil"/>
              <w:bottom w:val="nil"/>
            </w:tcBorders>
          </w:tcPr>
          <w:p w:rsidR="00990B01" w:rsidRPr="00E106BD" w:rsidDel="00CD64E9" w:rsidRDefault="00990B01" w:rsidP="004E4760">
            <w:pPr>
              <w:rPr>
                <w:rFonts w:ascii="Arial" w:hAnsi="Arial" w:cs="Arial"/>
                <w:sz w:val="16"/>
                <w:szCs w:val="16"/>
              </w:rPr>
            </w:pPr>
          </w:p>
        </w:tc>
        <w:tc>
          <w:tcPr>
            <w:tcW w:w="365" w:type="pct"/>
            <w:tcBorders>
              <w:top w:val="nil"/>
              <w:bottom w:val="nil"/>
            </w:tcBorders>
          </w:tcPr>
          <w:p w:rsidR="00990B01" w:rsidRPr="00E106BD" w:rsidDel="00CD64E9" w:rsidRDefault="00990B01" w:rsidP="004E4760">
            <w:pPr>
              <w:rPr>
                <w:rFonts w:ascii="Arial" w:hAnsi="Arial" w:cs="Arial"/>
                <w:sz w:val="16"/>
                <w:szCs w:val="16"/>
              </w:rPr>
            </w:pPr>
          </w:p>
        </w:tc>
        <w:tc>
          <w:tcPr>
            <w:tcW w:w="374" w:type="pct"/>
            <w:tcBorders>
              <w:top w:val="nil"/>
              <w:bottom w:val="nil"/>
            </w:tcBorders>
          </w:tcPr>
          <w:p w:rsidR="00990B01" w:rsidRPr="00E106BD" w:rsidDel="00CD64E9" w:rsidRDefault="00990B01" w:rsidP="004E4760">
            <w:pPr>
              <w:rPr>
                <w:rFonts w:ascii="Arial" w:hAnsi="Arial" w:cs="Arial"/>
                <w:sz w:val="16"/>
                <w:szCs w:val="16"/>
              </w:rPr>
            </w:pPr>
          </w:p>
        </w:tc>
        <w:tc>
          <w:tcPr>
            <w:tcW w:w="220" w:type="pct"/>
            <w:tcBorders>
              <w:top w:val="nil"/>
              <w:bottom w:val="nil"/>
            </w:tcBorders>
          </w:tcPr>
          <w:p w:rsidR="00990B01" w:rsidRPr="00E106BD" w:rsidDel="00CD64E9" w:rsidRDefault="00990B01" w:rsidP="004E4760">
            <w:pPr>
              <w:rPr>
                <w:rFonts w:ascii="Arial" w:hAnsi="Arial" w:cs="Arial"/>
                <w:sz w:val="16"/>
                <w:szCs w:val="16"/>
              </w:rPr>
            </w:pPr>
          </w:p>
        </w:tc>
        <w:tc>
          <w:tcPr>
            <w:tcW w:w="477" w:type="pct"/>
            <w:tcBorders>
              <w:top w:val="nil"/>
              <w:bottom w:val="nil"/>
            </w:tcBorders>
          </w:tcPr>
          <w:p w:rsidR="00990B01" w:rsidRPr="00E106BD" w:rsidDel="00CD64E9" w:rsidRDefault="00990B01">
            <w:pPr>
              <w:rPr>
                <w:rFonts w:ascii="Arial" w:hAnsi="Arial" w:cs="Arial"/>
                <w:sz w:val="16"/>
                <w:szCs w:val="16"/>
              </w:rPr>
            </w:pPr>
            <w:r w:rsidRPr="00E106BD">
              <w:rPr>
                <w:rFonts w:ascii="Arial" w:hAnsi="Arial" w:cs="Arial"/>
                <w:sz w:val="16"/>
                <w:szCs w:val="16"/>
              </w:rPr>
              <w:t>C6847 C7714 C9589 C9636</w:t>
            </w:r>
          </w:p>
        </w:tc>
        <w:tc>
          <w:tcPr>
            <w:tcW w:w="424" w:type="pct"/>
            <w:tcBorders>
              <w:top w:val="nil"/>
              <w:bottom w:val="nil"/>
            </w:tcBorders>
          </w:tcPr>
          <w:p w:rsidR="00990B01" w:rsidRPr="00E106BD" w:rsidDel="00CD64E9" w:rsidRDefault="00990B01">
            <w:pPr>
              <w:rPr>
                <w:rFonts w:ascii="Arial" w:hAnsi="Arial" w:cs="Arial"/>
                <w:sz w:val="16"/>
                <w:szCs w:val="16"/>
              </w:rPr>
            </w:pPr>
            <w:r w:rsidRPr="00E106BD">
              <w:rPr>
                <w:rFonts w:ascii="Arial" w:hAnsi="Arial" w:cs="Arial"/>
                <w:sz w:val="16"/>
                <w:szCs w:val="16"/>
              </w:rPr>
              <w:t>P7714 P9636</w:t>
            </w:r>
          </w:p>
        </w:tc>
        <w:tc>
          <w:tcPr>
            <w:tcW w:w="344"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5</w:t>
            </w:r>
          </w:p>
        </w:tc>
        <w:tc>
          <w:tcPr>
            <w:tcW w:w="297"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Ambrisentan</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Volibris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GK</w:t>
            </w:r>
          </w:p>
        </w:tc>
        <w:tc>
          <w:tcPr>
            <w:tcW w:w="477" w:type="pct"/>
          </w:tcPr>
          <w:p w:rsidR="00990B01" w:rsidRPr="00E106BD" w:rsidRDefault="00E9334A" w:rsidP="004E4760">
            <w:pPr>
              <w:rPr>
                <w:rFonts w:ascii="Arial" w:hAnsi="Arial" w:cs="Arial"/>
                <w:sz w:val="16"/>
                <w:szCs w:val="16"/>
              </w:rPr>
            </w:pPr>
            <w:r w:rsidRPr="00B71EB0">
              <w:rPr>
                <w:rFonts w:ascii="Arial" w:eastAsia="Arial" w:hAnsi="Arial" w:cs="Arial"/>
                <w:sz w:val="16"/>
                <w:szCs w:val="16"/>
                <w:lang w:val="en-US" w:eastAsia="zh-CN"/>
              </w:rPr>
              <w:t>C10228 C10236 C10285</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Volibris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GK</w:t>
            </w:r>
          </w:p>
        </w:tc>
        <w:tc>
          <w:tcPr>
            <w:tcW w:w="477" w:type="pct"/>
          </w:tcPr>
          <w:p w:rsidR="00990B01" w:rsidRPr="00E106BD" w:rsidRDefault="00E9334A" w:rsidP="004E4760">
            <w:pPr>
              <w:rPr>
                <w:rFonts w:ascii="Arial" w:hAnsi="Arial" w:cs="Arial"/>
                <w:sz w:val="16"/>
                <w:szCs w:val="16"/>
              </w:rPr>
            </w:pPr>
            <w:r w:rsidRPr="0093356C">
              <w:rPr>
                <w:rFonts w:ascii="Arial" w:eastAsia="Arial" w:hAnsi="Arial" w:cs="Arial"/>
                <w:sz w:val="16"/>
                <w:szCs w:val="16"/>
                <w:lang w:val="en-US" w:eastAsia="zh-CN"/>
              </w:rPr>
              <w:t>C10228 C10236 C10285</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Anakinra</w:t>
            </w:r>
          </w:p>
        </w:tc>
        <w:tc>
          <w:tcPr>
            <w:tcW w:w="943"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Injection 100 mg in 0.67 mL single use pre</w:t>
            </w:r>
            <w:r w:rsidR="00E106BD">
              <w:rPr>
                <w:rFonts w:ascii="Arial" w:eastAsia="Arial" w:hAnsi="Arial" w:cs="Arial"/>
                <w:sz w:val="16"/>
                <w:szCs w:val="16"/>
                <w:lang w:eastAsia="zh-CN"/>
              </w:rPr>
              <w:noBreakHyphen/>
            </w:r>
            <w:r w:rsidRPr="00E106BD">
              <w:rPr>
                <w:rFonts w:ascii="Arial" w:eastAsia="Arial" w:hAnsi="Arial" w:cs="Arial"/>
                <w:sz w:val="16"/>
                <w:szCs w:val="16"/>
                <w:lang w:eastAsia="zh-CN"/>
              </w:rPr>
              <w:t>filled syringe</w:t>
            </w:r>
          </w:p>
        </w:tc>
        <w:tc>
          <w:tcPr>
            <w:tcW w:w="365"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Injection</w:t>
            </w:r>
          </w:p>
        </w:tc>
        <w:tc>
          <w:tcPr>
            <w:tcW w:w="374"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Kineret</w:t>
            </w:r>
          </w:p>
        </w:tc>
        <w:tc>
          <w:tcPr>
            <w:tcW w:w="220"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FK</w:t>
            </w:r>
          </w:p>
        </w:tc>
        <w:tc>
          <w:tcPr>
            <w:tcW w:w="477"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C5450</w:t>
            </w:r>
          </w:p>
        </w:tc>
        <w:tc>
          <w:tcPr>
            <w:tcW w:w="424" w:type="pct"/>
            <w:vAlign w:val="center"/>
          </w:tcPr>
          <w:p w:rsidR="00990B01" w:rsidRPr="00E106BD" w:rsidRDefault="00990B01" w:rsidP="004E4760">
            <w:pPr>
              <w:rPr>
                <w:rFonts w:ascii="Arial" w:hAnsi="Arial" w:cs="Arial"/>
                <w:sz w:val="16"/>
                <w:szCs w:val="16"/>
              </w:rPr>
            </w:pPr>
          </w:p>
        </w:tc>
        <w:tc>
          <w:tcPr>
            <w:tcW w:w="344"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28</w:t>
            </w:r>
          </w:p>
        </w:tc>
        <w:tc>
          <w:tcPr>
            <w:tcW w:w="297"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5</w:t>
            </w:r>
          </w:p>
        </w:tc>
        <w:tc>
          <w:tcPr>
            <w:tcW w:w="313"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D</w:t>
            </w:r>
          </w:p>
        </w:tc>
      </w:tr>
      <w:tr w:rsidR="00587B01" w:rsidRPr="00E106BD" w:rsidDel="00864925" w:rsidTr="00802FC7">
        <w:tblPrEx>
          <w:tblBorders>
            <w:top w:val="single" w:sz="4" w:space="0" w:color="auto"/>
          </w:tblBorders>
        </w:tblPrEx>
        <w:trPr>
          <w:cantSplit/>
          <w:tblCellSpacing w:w="22" w:type="dxa"/>
        </w:trPr>
        <w:tc>
          <w:tcPr>
            <w:tcW w:w="1050" w:type="pct"/>
          </w:tcPr>
          <w:p w:rsidR="00587B01" w:rsidRPr="00E106BD" w:rsidDel="00864925" w:rsidRDefault="00587B01" w:rsidP="004E4760">
            <w:pPr>
              <w:rPr>
                <w:rFonts w:ascii="Arial" w:eastAsia="Arial" w:hAnsi="Arial" w:cs="Arial"/>
                <w:sz w:val="16"/>
                <w:szCs w:val="16"/>
                <w:lang w:eastAsia="zh-CN"/>
              </w:rPr>
            </w:pPr>
            <w:r w:rsidRPr="00802FC7">
              <w:rPr>
                <w:rFonts w:ascii="Arial" w:hAnsi="Arial" w:cs="Arial"/>
                <w:sz w:val="16"/>
                <w:szCs w:val="16"/>
              </w:rPr>
              <w:t>Apomorphine</w:t>
            </w:r>
          </w:p>
        </w:tc>
        <w:tc>
          <w:tcPr>
            <w:tcW w:w="943" w:type="pct"/>
          </w:tcPr>
          <w:p w:rsidR="00587B01" w:rsidRPr="00E106BD" w:rsidDel="00864925" w:rsidRDefault="00587B01" w:rsidP="004E4760">
            <w:pPr>
              <w:rPr>
                <w:rFonts w:ascii="Arial" w:hAnsi="Arial" w:cs="Arial"/>
                <w:sz w:val="16"/>
                <w:szCs w:val="16"/>
              </w:rPr>
            </w:pPr>
            <w:r w:rsidRPr="00C3581E">
              <w:rPr>
                <w:rFonts w:ascii="Arial" w:hAnsi="Arial" w:cs="Arial"/>
                <w:sz w:val="16"/>
                <w:szCs w:val="16"/>
              </w:rPr>
              <w:t>Injection containing apomorphine hydrochloride hemihydrate 20 mg in 2 mL</w:t>
            </w:r>
          </w:p>
        </w:tc>
        <w:tc>
          <w:tcPr>
            <w:tcW w:w="365" w:type="pct"/>
          </w:tcPr>
          <w:p w:rsidR="00587B01" w:rsidRPr="00E106BD" w:rsidDel="00864925" w:rsidRDefault="00587B01" w:rsidP="004E4760">
            <w:pPr>
              <w:rPr>
                <w:rFonts w:ascii="Arial" w:hAnsi="Arial" w:cs="Arial"/>
                <w:sz w:val="16"/>
                <w:szCs w:val="16"/>
              </w:rPr>
            </w:pPr>
            <w:r w:rsidRPr="00C3581E">
              <w:rPr>
                <w:rFonts w:ascii="Arial" w:hAnsi="Arial" w:cs="Arial"/>
                <w:sz w:val="16"/>
                <w:szCs w:val="16"/>
              </w:rPr>
              <w:t>Injection</w:t>
            </w:r>
          </w:p>
        </w:tc>
        <w:tc>
          <w:tcPr>
            <w:tcW w:w="374" w:type="pct"/>
          </w:tcPr>
          <w:p w:rsidR="00587B01" w:rsidRPr="00E106BD" w:rsidDel="00864925" w:rsidRDefault="00587B01" w:rsidP="000D5299">
            <w:pPr>
              <w:keepNext/>
              <w:keepLines/>
              <w:rPr>
                <w:rFonts w:ascii="Arial" w:hAnsi="Arial" w:cs="Arial"/>
                <w:sz w:val="16"/>
                <w:szCs w:val="16"/>
              </w:rPr>
            </w:pPr>
            <w:r w:rsidRPr="00C3581E">
              <w:rPr>
                <w:rFonts w:ascii="Arial" w:hAnsi="Arial" w:cs="Arial"/>
                <w:sz w:val="16"/>
                <w:szCs w:val="16"/>
              </w:rPr>
              <w:t>Movapo</w:t>
            </w:r>
          </w:p>
        </w:tc>
        <w:tc>
          <w:tcPr>
            <w:tcW w:w="220" w:type="pct"/>
          </w:tcPr>
          <w:p w:rsidR="00587B01" w:rsidRPr="00E106BD" w:rsidDel="00864925" w:rsidRDefault="00587B01" w:rsidP="000D5299">
            <w:pPr>
              <w:keepNext/>
              <w:keepLines/>
              <w:rPr>
                <w:rFonts w:ascii="Arial" w:hAnsi="Arial" w:cs="Arial"/>
                <w:sz w:val="16"/>
                <w:szCs w:val="16"/>
              </w:rPr>
            </w:pPr>
            <w:r w:rsidRPr="00C3581E">
              <w:rPr>
                <w:rFonts w:ascii="Arial" w:hAnsi="Arial" w:cs="Arial"/>
                <w:sz w:val="16"/>
                <w:szCs w:val="16"/>
              </w:rPr>
              <w:t>TD</w:t>
            </w:r>
          </w:p>
        </w:tc>
        <w:tc>
          <w:tcPr>
            <w:tcW w:w="477" w:type="pct"/>
          </w:tcPr>
          <w:p w:rsidR="00587B01" w:rsidRPr="00E106BD" w:rsidDel="00864925" w:rsidRDefault="00587B01">
            <w:pPr>
              <w:rPr>
                <w:rFonts w:ascii="Arial" w:hAnsi="Arial" w:cs="Arial"/>
                <w:sz w:val="16"/>
                <w:szCs w:val="16"/>
              </w:rPr>
            </w:pPr>
            <w:r w:rsidRPr="00C3581E">
              <w:rPr>
                <w:rFonts w:ascii="Arial" w:hAnsi="Arial" w:cs="Arial"/>
                <w:sz w:val="16"/>
                <w:szCs w:val="16"/>
              </w:rPr>
              <w:t>C4833 C9561</w:t>
            </w:r>
          </w:p>
        </w:tc>
        <w:tc>
          <w:tcPr>
            <w:tcW w:w="424" w:type="pct"/>
          </w:tcPr>
          <w:p w:rsidR="00587B01" w:rsidRPr="00E106BD" w:rsidDel="00864925" w:rsidRDefault="00587B01" w:rsidP="004E4760">
            <w:pPr>
              <w:rPr>
                <w:rFonts w:ascii="Arial" w:eastAsia="Arial" w:hAnsi="Arial" w:cs="Arial"/>
                <w:sz w:val="16"/>
                <w:szCs w:val="16"/>
                <w:lang w:eastAsia="zh-CN"/>
              </w:rPr>
            </w:pPr>
          </w:p>
        </w:tc>
        <w:tc>
          <w:tcPr>
            <w:tcW w:w="344" w:type="pct"/>
          </w:tcPr>
          <w:p w:rsidR="00587B01" w:rsidRPr="00E106BD" w:rsidDel="00864925" w:rsidRDefault="00587B01" w:rsidP="000D5299">
            <w:pPr>
              <w:rPr>
                <w:rFonts w:ascii="Arial" w:hAnsi="Arial" w:cs="Arial"/>
                <w:sz w:val="16"/>
                <w:szCs w:val="16"/>
              </w:rPr>
            </w:pPr>
            <w:r w:rsidRPr="00C3581E">
              <w:rPr>
                <w:rFonts w:ascii="Arial" w:hAnsi="Arial" w:cs="Arial"/>
                <w:sz w:val="16"/>
              </w:rPr>
              <w:t>360</w:t>
            </w:r>
          </w:p>
        </w:tc>
        <w:tc>
          <w:tcPr>
            <w:tcW w:w="297" w:type="pct"/>
          </w:tcPr>
          <w:p w:rsidR="00587B01" w:rsidRPr="00E106BD" w:rsidDel="00864925" w:rsidRDefault="00587B01" w:rsidP="000D5299">
            <w:pPr>
              <w:rPr>
                <w:rFonts w:ascii="Arial" w:hAnsi="Arial" w:cs="Arial"/>
                <w:sz w:val="16"/>
                <w:szCs w:val="16"/>
              </w:rPr>
            </w:pPr>
            <w:r w:rsidRPr="00C3581E">
              <w:rPr>
                <w:rFonts w:ascii="Arial" w:hAnsi="Arial" w:cs="Arial"/>
                <w:sz w:val="16"/>
              </w:rPr>
              <w:t>5</w:t>
            </w:r>
          </w:p>
        </w:tc>
        <w:tc>
          <w:tcPr>
            <w:tcW w:w="313" w:type="pct"/>
          </w:tcPr>
          <w:p w:rsidR="00587B01" w:rsidRPr="00E106BD" w:rsidDel="00864925" w:rsidRDefault="00587B01" w:rsidP="000D5299">
            <w:pPr>
              <w:rPr>
                <w:rFonts w:ascii="Arial" w:hAnsi="Arial" w:cs="Arial"/>
                <w:sz w:val="16"/>
                <w:szCs w:val="16"/>
              </w:rPr>
            </w:pPr>
            <w:r>
              <w:rPr>
                <w:rFonts w:ascii="Arial" w:hAnsi="Arial" w:cs="Arial"/>
                <w:sz w:val="16"/>
                <w:szCs w:val="16"/>
              </w:rPr>
              <w:t>PB</w:t>
            </w:r>
          </w:p>
        </w:tc>
      </w:tr>
      <w:tr w:rsidR="00587B01" w:rsidRPr="00E106BD" w:rsidDel="00864925" w:rsidTr="00802FC7">
        <w:tblPrEx>
          <w:tblBorders>
            <w:top w:val="single" w:sz="4" w:space="0" w:color="auto"/>
          </w:tblBorders>
        </w:tblPrEx>
        <w:trPr>
          <w:cantSplit/>
          <w:tblCellSpacing w:w="22" w:type="dxa"/>
        </w:trPr>
        <w:tc>
          <w:tcPr>
            <w:tcW w:w="1050" w:type="pct"/>
          </w:tcPr>
          <w:p w:rsidR="00587B01" w:rsidRPr="00E106BD" w:rsidDel="00864925" w:rsidRDefault="00587B01" w:rsidP="004E4760">
            <w:pPr>
              <w:rPr>
                <w:rFonts w:ascii="Arial" w:eastAsia="Arial" w:hAnsi="Arial" w:cs="Arial"/>
                <w:sz w:val="16"/>
                <w:szCs w:val="16"/>
                <w:lang w:eastAsia="zh-CN"/>
              </w:rPr>
            </w:pPr>
          </w:p>
        </w:tc>
        <w:tc>
          <w:tcPr>
            <w:tcW w:w="943" w:type="pct"/>
          </w:tcPr>
          <w:p w:rsidR="00587B01" w:rsidRPr="00E106BD" w:rsidDel="00864925" w:rsidRDefault="00587B01" w:rsidP="004E4760">
            <w:pPr>
              <w:rPr>
                <w:rFonts w:ascii="Arial" w:hAnsi="Arial" w:cs="Arial"/>
                <w:sz w:val="16"/>
                <w:szCs w:val="16"/>
              </w:rPr>
            </w:pPr>
            <w:r w:rsidRPr="00C3581E">
              <w:rPr>
                <w:rFonts w:ascii="Arial" w:hAnsi="Arial" w:cs="Arial"/>
                <w:sz w:val="16"/>
                <w:szCs w:val="16"/>
              </w:rPr>
              <w:t>Injection containing apomorphine hydrochloride hemihydrate 50 mg in 5 mL</w:t>
            </w:r>
          </w:p>
        </w:tc>
        <w:tc>
          <w:tcPr>
            <w:tcW w:w="365" w:type="pct"/>
          </w:tcPr>
          <w:p w:rsidR="00587B01" w:rsidRPr="00E106BD" w:rsidDel="00864925" w:rsidRDefault="00587B01" w:rsidP="004E4760">
            <w:pPr>
              <w:rPr>
                <w:rFonts w:ascii="Arial" w:hAnsi="Arial" w:cs="Arial"/>
                <w:sz w:val="16"/>
                <w:szCs w:val="16"/>
              </w:rPr>
            </w:pPr>
            <w:r w:rsidRPr="00C3581E">
              <w:rPr>
                <w:rFonts w:ascii="Arial" w:hAnsi="Arial" w:cs="Arial"/>
                <w:sz w:val="16"/>
                <w:szCs w:val="16"/>
              </w:rPr>
              <w:t>Injection</w:t>
            </w:r>
          </w:p>
        </w:tc>
        <w:tc>
          <w:tcPr>
            <w:tcW w:w="374" w:type="pct"/>
          </w:tcPr>
          <w:p w:rsidR="00587B01" w:rsidRPr="00E106BD" w:rsidDel="00864925" w:rsidRDefault="00587B01" w:rsidP="000D5299">
            <w:pPr>
              <w:keepNext/>
              <w:keepLines/>
              <w:rPr>
                <w:rFonts w:ascii="Arial" w:hAnsi="Arial" w:cs="Arial"/>
                <w:sz w:val="16"/>
                <w:szCs w:val="16"/>
              </w:rPr>
            </w:pPr>
            <w:r w:rsidRPr="00C3581E">
              <w:rPr>
                <w:rFonts w:ascii="Arial" w:hAnsi="Arial" w:cs="Arial"/>
                <w:sz w:val="16"/>
                <w:szCs w:val="16"/>
              </w:rPr>
              <w:t>Movapo</w:t>
            </w:r>
          </w:p>
        </w:tc>
        <w:tc>
          <w:tcPr>
            <w:tcW w:w="220" w:type="pct"/>
          </w:tcPr>
          <w:p w:rsidR="00587B01" w:rsidRPr="00E106BD" w:rsidDel="00864925" w:rsidRDefault="00587B01" w:rsidP="000D5299">
            <w:pPr>
              <w:keepNext/>
              <w:keepLines/>
              <w:rPr>
                <w:rFonts w:ascii="Arial" w:hAnsi="Arial" w:cs="Arial"/>
                <w:sz w:val="16"/>
                <w:szCs w:val="16"/>
              </w:rPr>
            </w:pPr>
            <w:r w:rsidRPr="00C3581E">
              <w:rPr>
                <w:rFonts w:ascii="Arial" w:hAnsi="Arial" w:cs="Arial"/>
                <w:sz w:val="16"/>
                <w:szCs w:val="16"/>
              </w:rPr>
              <w:t>TD</w:t>
            </w:r>
          </w:p>
        </w:tc>
        <w:tc>
          <w:tcPr>
            <w:tcW w:w="477" w:type="pct"/>
          </w:tcPr>
          <w:p w:rsidR="00587B01" w:rsidRPr="00E106BD" w:rsidDel="00864925" w:rsidRDefault="00587B01">
            <w:pPr>
              <w:rPr>
                <w:rFonts w:ascii="Arial" w:hAnsi="Arial" w:cs="Arial"/>
                <w:sz w:val="16"/>
                <w:szCs w:val="16"/>
              </w:rPr>
            </w:pPr>
            <w:r w:rsidRPr="00C3581E">
              <w:rPr>
                <w:rFonts w:ascii="Arial" w:hAnsi="Arial" w:cs="Arial"/>
                <w:sz w:val="16"/>
                <w:szCs w:val="16"/>
              </w:rPr>
              <w:t>C4833 C9561</w:t>
            </w:r>
          </w:p>
        </w:tc>
        <w:tc>
          <w:tcPr>
            <w:tcW w:w="424" w:type="pct"/>
          </w:tcPr>
          <w:p w:rsidR="00587B01" w:rsidRPr="00E106BD" w:rsidDel="00864925" w:rsidRDefault="00587B01" w:rsidP="004E4760">
            <w:pPr>
              <w:rPr>
                <w:rFonts w:ascii="Arial" w:eastAsia="Arial" w:hAnsi="Arial" w:cs="Arial"/>
                <w:sz w:val="16"/>
                <w:szCs w:val="16"/>
                <w:lang w:eastAsia="zh-CN"/>
              </w:rPr>
            </w:pPr>
          </w:p>
        </w:tc>
        <w:tc>
          <w:tcPr>
            <w:tcW w:w="344" w:type="pct"/>
          </w:tcPr>
          <w:p w:rsidR="00587B01" w:rsidRPr="00E106BD" w:rsidDel="00864925" w:rsidRDefault="00587B01" w:rsidP="000D5299">
            <w:pPr>
              <w:rPr>
                <w:rFonts w:ascii="Arial" w:hAnsi="Arial" w:cs="Arial"/>
                <w:sz w:val="16"/>
                <w:szCs w:val="16"/>
              </w:rPr>
            </w:pPr>
            <w:r w:rsidRPr="00C3581E">
              <w:rPr>
                <w:rFonts w:ascii="Arial" w:hAnsi="Arial" w:cs="Arial"/>
                <w:sz w:val="16"/>
              </w:rPr>
              <w:t>180</w:t>
            </w:r>
          </w:p>
        </w:tc>
        <w:tc>
          <w:tcPr>
            <w:tcW w:w="297" w:type="pct"/>
          </w:tcPr>
          <w:p w:rsidR="00587B01" w:rsidRPr="00E106BD" w:rsidDel="00864925" w:rsidRDefault="00587B01" w:rsidP="000D5299">
            <w:pPr>
              <w:rPr>
                <w:rFonts w:ascii="Arial" w:hAnsi="Arial" w:cs="Arial"/>
                <w:sz w:val="16"/>
                <w:szCs w:val="16"/>
              </w:rPr>
            </w:pPr>
            <w:r w:rsidRPr="00C3581E">
              <w:rPr>
                <w:rFonts w:ascii="Arial" w:hAnsi="Arial" w:cs="Arial"/>
                <w:sz w:val="16"/>
              </w:rPr>
              <w:t>5</w:t>
            </w:r>
          </w:p>
        </w:tc>
        <w:tc>
          <w:tcPr>
            <w:tcW w:w="313" w:type="pct"/>
          </w:tcPr>
          <w:p w:rsidR="00587B01" w:rsidRPr="00E106BD" w:rsidDel="00864925" w:rsidRDefault="00587B01" w:rsidP="000D5299">
            <w:pPr>
              <w:rPr>
                <w:rFonts w:ascii="Arial" w:hAnsi="Arial" w:cs="Arial"/>
                <w:sz w:val="16"/>
                <w:szCs w:val="16"/>
              </w:rPr>
            </w:pPr>
            <w:r>
              <w:rPr>
                <w:rFonts w:ascii="Arial" w:hAnsi="Arial" w:cs="Arial"/>
                <w:sz w:val="16"/>
                <w:szCs w:val="16"/>
              </w:rPr>
              <w:t>PB</w:t>
            </w:r>
          </w:p>
        </w:tc>
      </w:tr>
      <w:tr w:rsidR="00587B01" w:rsidRPr="00E106BD" w:rsidDel="00864925" w:rsidTr="00802FC7">
        <w:tblPrEx>
          <w:tblBorders>
            <w:top w:val="single" w:sz="4" w:space="0" w:color="auto"/>
          </w:tblBorders>
        </w:tblPrEx>
        <w:trPr>
          <w:cantSplit/>
          <w:tblCellSpacing w:w="22" w:type="dxa"/>
        </w:trPr>
        <w:tc>
          <w:tcPr>
            <w:tcW w:w="1050" w:type="pct"/>
          </w:tcPr>
          <w:p w:rsidR="00587B01" w:rsidRPr="00E106BD" w:rsidDel="00864925" w:rsidRDefault="00587B01" w:rsidP="004E4760">
            <w:pPr>
              <w:rPr>
                <w:rFonts w:ascii="Arial" w:eastAsia="Arial" w:hAnsi="Arial" w:cs="Arial"/>
                <w:sz w:val="16"/>
                <w:szCs w:val="16"/>
                <w:lang w:eastAsia="zh-CN"/>
              </w:rPr>
            </w:pPr>
          </w:p>
        </w:tc>
        <w:tc>
          <w:tcPr>
            <w:tcW w:w="943" w:type="pct"/>
          </w:tcPr>
          <w:p w:rsidR="00587B01" w:rsidRPr="00E106BD" w:rsidDel="00864925" w:rsidRDefault="00587B01" w:rsidP="004E4760">
            <w:pPr>
              <w:rPr>
                <w:rFonts w:ascii="Arial" w:hAnsi="Arial" w:cs="Arial"/>
                <w:sz w:val="16"/>
                <w:szCs w:val="16"/>
              </w:rPr>
            </w:pPr>
            <w:r w:rsidRPr="00C3581E">
              <w:rPr>
                <w:rFonts w:ascii="Arial" w:hAnsi="Arial" w:cs="Arial"/>
                <w:sz w:val="16"/>
                <w:szCs w:val="16"/>
              </w:rPr>
              <w:t>Injection containing apomorphine hydrochloride hemihydrate 100 mg in 20 mL</w:t>
            </w:r>
          </w:p>
        </w:tc>
        <w:tc>
          <w:tcPr>
            <w:tcW w:w="365" w:type="pct"/>
          </w:tcPr>
          <w:p w:rsidR="00587B01" w:rsidRPr="00E106BD" w:rsidDel="00864925" w:rsidRDefault="00587B01" w:rsidP="004E4760">
            <w:pPr>
              <w:rPr>
                <w:rFonts w:ascii="Arial" w:hAnsi="Arial" w:cs="Arial"/>
                <w:sz w:val="16"/>
                <w:szCs w:val="16"/>
              </w:rPr>
            </w:pPr>
            <w:r w:rsidRPr="00C3581E">
              <w:rPr>
                <w:rFonts w:ascii="Arial" w:hAnsi="Arial" w:cs="Arial"/>
                <w:sz w:val="16"/>
                <w:szCs w:val="16"/>
              </w:rPr>
              <w:t>Injection</w:t>
            </w:r>
          </w:p>
        </w:tc>
        <w:tc>
          <w:tcPr>
            <w:tcW w:w="374" w:type="pct"/>
          </w:tcPr>
          <w:p w:rsidR="00587B01" w:rsidRPr="00E106BD" w:rsidDel="00864925" w:rsidRDefault="00587B01" w:rsidP="000D5299">
            <w:pPr>
              <w:keepNext/>
              <w:keepLines/>
              <w:rPr>
                <w:rFonts w:ascii="Arial" w:hAnsi="Arial" w:cs="Arial"/>
                <w:sz w:val="16"/>
                <w:szCs w:val="16"/>
              </w:rPr>
            </w:pPr>
            <w:r w:rsidRPr="00C3581E">
              <w:rPr>
                <w:rFonts w:ascii="Arial" w:hAnsi="Arial" w:cs="Arial"/>
                <w:sz w:val="16"/>
                <w:szCs w:val="16"/>
              </w:rPr>
              <w:t>Apomine Solution for Infusion</w:t>
            </w:r>
          </w:p>
        </w:tc>
        <w:tc>
          <w:tcPr>
            <w:tcW w:w="220" w:type="pct"/>
          </w:tcPr>
          <w:p w:rsidR="00587B01" w:rsidRPr="00E106BD" w:rsidDel="00864925" w:rsidRDefault="00587B01" w:rsidP="000D5299">
            <w:pPr>
              <w:keepNext/>
              <w:keepLines/>
              <w:rPr>
                <w:rFonts w:ascii="Arial" w:hAnsi="Arial" w:cs="Arial"/>
                <w:sz w:val="16"/>
                <w:szCs w:val="16"/>
              </w:rPr>
            </w:pPr>
            <w:r w:rsidRPr="00C3581E">
              <w:rPr>
                <w:rFonts w:ascii="Arial" w:hAnsi="Arial" w:cs="Arial"/>
                <w:sz w:val="16"/>
                <w:szCs w:val="16"/>
              </w:rPr>
              <w:t>PF</w:t>
            </w:r>
          </w:p>
        </w:tc>
        <w:tc>
          <w:tcPr>
            <w:tcW w:w="477" w:type="pct"/>
          </w:tcPr>
          <w:p w:rsidR="00587B01" w:rsidRPr="00E106BD" w:rsidDel="00864925" w:rsidRDefault="00587B01" w:rsidP="000D5299">
            <w:pPr>
              <w:rPr>
                <w:rFonts w:ascii="Arial" w:hAnsi="Arial" w:cs="Arial"/>
                <w:sz w:val="16"/>
                <w:szCs w:val="16"/>
              </w:rPr>
            </w:pPr>
            <w:r w:rsidRPr="00C3581E">
              <w:rPr>
                <w:rFonts w:ascii="Arial" w:hAnsi="Arial" w:cs="Arial"/>
                <w:sz w:val="16"/>
                <w:szCs w:val="16"/>
              </w:rPr>
              <w:t>C10830 C10863</w:t>
            </w:r>
          </w:p>
        </w:tc>
        <w:tc>
          <w:tcPr>
            <w:tcW w:w="424" w:type="pct"/>
          </w:tcPr>
          <w:p w:rsidR="00587B01" w:rsidRPr="00E106BD" w:rsidDel="00864925" w:rsidRDefault="00587B01" w:rsidP="004E4760">
            <w:pPr>
              <w:rPr>
                <w:rFonts w:ascii="Arial" w:eastAsia="Arial" w:hAnsi="Arial" w:cs="Arial"/>
                <w:sz w:val="16"/>
                <w:szCs w:val="16"/>
                <w:lang w:eastAsia="zh-CN"/>
              </w:rPr>
            </w:pPr>
          </w:p>
        </w:tc>
        <w:tc>
          <w:tcPr>
            <w:tcW w:w="344" w:type="pct"/>
          </w:tcPr>
          <w:p w:rsidR="00587B01" w:rsidRPr="00E106BD" w:rsidDel="00864925" w:rsidRDefault="00587B01" w:rsidP="000D5299">
            <w:pPr>
              <w:rPr>
                <w:rFonts w:ascii="Arial" w:hAnsi="Arial" w:cs="Arial"/>
                <w:sz w:val="16"/>
                <w:szCs w:val="16"/>
              </w:rPr>
            </w:pPr>
            <w:r w:rsidRPr="00C3581E">
              <w:rPr>
                <w:rFonts w:ascii="Arial" w:hAnsi="Arial" w:cs="Arial"/>
                <w:sz w:val="16"/>
              </w:rPr>
              <w:t>90</w:t>
            </w:r>
          </w:p>
        </w:tc>
        <w:tc>
          <w:tcPr>
            <w:tcW w:w="297" w:type="pct"/>
          </w:tcPr>
          <w:p w:rsidR="00587B01" w:rsidRPr="00E106BD" w:rsidDel="00864925" w:rsidRDefault="00587B01" w:rsidP="000D5299">
            <w:pPr>
              <w:rPr>
                <w:rFonts w:ascii="Arial" w:hAnsi="Arial" w:cs="Arial"/>
                <w:sz w:val="16"/>
                <w:szCs w:val="16"/>
              </w:rPr>
            </w:pPr>
            <w:r w:rsidRPr="00C3581E">
              <w:rPr>
                <w:rFonts w:ascii="Arial" w:hAnsi="Arial" w:cs="Arial"/>
                <w:sz w:val="16"/>
              </w:rPr>
              <w:t>5</w:t>
            </w:r>
          </w:p>
        </w:tc>
        <w:tc>
          <w:tcPr>
            <w:tcW w:w="313" w:type="pct"/>
          </w:tcPr>
          <w:p w:rsidR="00587B01" w:rsidRPr="00E106BD" w:rsidDel="00864925" w:rsidRDefault="00587B01" w:rsidP="000D5299">
            <w:pPr>
              <w:rPr>
                <w:rFonts w:ascii="Arial" w:hAnsi="Arial" w:cs="Arial"/>
                <w:sz w:val="16"/>
                <w:szCs w:val="16"/>
              </w:rPr>
            </w:pPr>
            <w:r>
              <w:rPr>
                <w:rFonts w:ascii="Arial" w:hAnsi="Arial" w:cs="Arial"/>
                <w:sz w:val="16"/>
                <w:szCs w:val="16"/>
              </w:rPr>
              <w:t>C</w:t>
            </w:r>
          </w:p>
        </w:tc>
      </w:tr>
      <w:tr w:rsidR="00587B01" w:rsidRPr="00E106BD" w:rsidDel="00864925" w:rsidTr="00802FC7">
        <w:tblPrEx>
          <w:tblBorders>
            <w:top w:val="single" w:sz="4" w:space="0" w:color="auto"/>
          </w:tblBorders>
        </w:tblPrEx>
        <w:trPr>
          <w:cantSplit/>
          <w:tblCellSpacing w:w="22" w:type="dxa"/>
        </w:trPr>
        <w:tc>
          <w:tcPr>
            <w:tcW w:w="1050" w:type="pct"/>
          </w:tcPr>
          <w:p w:rsidR="00587B01" w:rsidRPr="00E106BD" w:rsidDel="00864925" w:rsidRDefault="00587B01" w:rsidP="004E4760">
            <w:pPr>
              <w:rPr>
                <w:rFonts w:ascii="Arial" w:eastAsia="Arial" w:hAnsi="Arial" w:cs="Arial"/>
                <w:sz w:val="16"/>
                <w:szCs w:val="16"/>
                <w:lang w:eastAsia="zh-CN"/>
              </w:rPr>
            </w:pPr>
          </w:p>
        </w:tc>
        <w:tc>
          <w:tcPr>
            <w:tcW w:w="943" w:type="pct"/>
          </w:tcPr>
          <w:p w:rsidR="00587B01" w:rsidRPr="00E106BD" w:rsidRDefault="00587B01" w:rsidP="004E4760">
            <w:pPr>
              <w:rPr>
                <w:rFonts w:ascii="Arial" w:hAnsi="Arial" w:cs="Arial"/>
                <w:sz w:val="16"/>
                <w:szCs w:val="16"/>
              </w:rPr>
            </w:pPr>
            <w:r w:rsidRPr="00C3581E">
              <w:rPr>
                <w:rFonts w:ascii="Arial" w:hAnsi="Arial" w:cs="Arial"/>
                <w:sz w:val="16"/>
                <w:szCs w:val="16"/>
              </w:rPr>
              <w:t>Solution for subcutaneous infusion containing apomorphine hydrochloride hemihydrate 50 mg in 10 mL pre-filled syringe</w:t>
            </w:r>
          </w:p>
        </w:tc>
        <w:tc>
          <w:tcPr>
            <w:tcW w:w="365" w:type="pct"/>
          </w:tcPr>
          <w:p w:rsidR="00587B01" w:rsidRPr="00E106BD" w:rsidRDefault="00587B01" w:rsidP="004E4760">
            <w:pPr>
              <w:rPr>
                <w:rFonts w:ascii="Arial" w:hAnsi="Arial" w:cs="Arial"/>
                <w:sz w:val="16"/>
                <w:szCs w:val="16"/>
              </w:rPr>
            </w:pPr>
            <w:r w:rsidRPr="00C3581E">
              <w:rPr>
                <w:rFonts w:ascii="Arial" w:hAnsi="Arial" w:cs="Arial"/>
                <w:sz w:val="16"/>
                <w:szCs w:val="16"/>
              </w:rPr>
              <w:t>Injection</w:t>
            </w:r>
          </w:p>
        </w:tc>
        <w:tc>
          <w:tcPr>
            <w:tcW w:w="374" w:type="pct"/>
          </w:tcPr>
          <w:p w:rsidR="00587B01" w:rsidRPr="00E106BD" w:rsidRDefault="00587B01" w:rsidP="000D5299">
            <w:pPr>
              <w:keepNext/>
              <w:keepLines/>
              <w:rPr>
                <w:rFonts w:ascii="Arial" w:hAnsi="Arial" w:cs="Arial"/>
                <w:sz w:val="16"/>
                <w:szCs w:val="16"/>
              </w:rPr>
            </w:pPr>
            <w:r w:rsidRPr="00E106BD">
              <w:rPr>
                <w:rFonts w:ascii="Arial" w:hAnsi="Arial" w:cs="Arial"/>
                <w:sz w:val="16"/>
                <w:szCs w:val="16"/>
              </w:rPr>
              <w:t>Movapo PFS</w:t>
            </w:r>
          </w:p>
        </w:tc>
        <w:tc>
          <w:tcPr>
            <w:tcW w:w="220" w:type="pct"/>
          </w:tcPr>
          <w:p w:rsidR="00587B01" w:rsidRPr="00E106BD" w:rsidRDefault="00587B01" w:rsidP="000D5299">
            <w:pPr>
              <w:keepNext/>
              <w:keepLines/>
              <w:rPr>
                <w:rFonts w:ascii="Arial" w:hAnsi="Arial" w:cs="Arial"/>
                <w:sz w:val="16"/>
                <w:szCs w:val="16"/>
              </w:rPr>
            </w:pPr>
            <w:r w:rsidRPr="00E106BD">
              <w:rPr>
                <w:rFonts w:ascii="Arial" w:hAnsi="Arial" w:cs="Arial"/>
                <w:sz w:val="16"/>
                <w:szCs w:val="16"/>
              </w:rPr>
              <w:t>TD</w:t>
            </w:r>
          </w:p>
        </w:tc>
        <w:tc>
          <w:tcPr>
            <w:tcW w:w="477" w:type="pct"/>
          </w:tcPr>
          <w:p w:rsidR="00587B01" w:rsidRPr="00E106BD" w:rsidRDefault="00587B01">
            <w:pPr>
              <w:rPr>
                <w:rFonts w:ascii="Arial" w:hAnsi="Arial" w:cs="Arial"/>
                <w:sz w:val="16"/>
                <w:szCs w:val="16"/>
              </w:rPr>
            </w:pPr>
            <w:r w:rsidRPr="00E106BD">
              <w:rPr>
                <w:rFonts w:ascii="Arial" w:hAnsi="Arial" w:cs="Arial"/>
                <w:sz w:val="16"/>
                <w:szCs w:val="16"/>
              </w:rPr>
              <w:t>C4833 C9561</w:t>
            </w:r>
          </w:p>
        </w:tc>
        <w:tc>
          <w:tcPr>
            <w:tcW w:w="424" w:type="pct"/>
          </w:tcPr>
          <w:p w:rsidR="00587B01" w:rsidRPr="00E106BD" w:rsidDel="00864925" w:rsidRDefault="00587B01" w:rsidP="004E4760">
            <w:pPr>
              <w:rPr>
                <w:rFonts w:ascii="Arial" w:eastAsia="Arial" w:hAnsi="Arial" w:cs="Arial"/>
                <w:sz w:val="16"/>
                <w:szCs w:val="16"/>
                <w:lang w:eastAsia="zh-CN"/>
              </w:rPr>
            </w:pPr>
          </w:p>
        </w:tc>
        <w:tc>
          <w:tcPr>
            <w:tcW w:w="344" w:type="pct"/>
          </w:tcPr>
          <w:p w:rsidR="00587B01" w:rsidRPr="00E106BD" w:rsidRDefault="00587B01" w:rsidP="000D5299">
            <w:pPr>
              <w:rPr>
                <w:rFonts w:ascii="Arial" w:hAnsi="Arial" w:cs="Arial"/>
                <w:sz w:val="16"/>
                <w:szCs w:val="16"/>
              </w:rPr>
            </w:pPr>
            <w:r w:rsidRPr="00C3581E">
              <w:rPr>
                <w:rFonts w:ascii="Arial" w:hAnsi="Arial" w:cs="Arial"/>
                <w:sz w:val="16"/>
              </w:rPr>
              <w:t>180</w:t>
            </w:r>
          </w:p>
        </w:tc>
        <w:tc>
          <w:tcPr>
            <w:tcW w:w="297" w:type="pct"/>
          </w:tcPr>
          <w:p w:rsidR="00587B01" w:rsidRPr="00E106BD" w:rsidRDefault="00587B01" w:rsidP="000D5299">
            <w:pPr>
              <w:rPr>
                <w:rFonts w:ascii="Arial" w:hAnsi="Arial" w:cs="Arial"/>
                <w:sz w:val="16"/>
                <w:szCs w:val="16"/>
              </w:rPr>
            </w:pPr>
            <w:r w:rsidRPr="00C3581E">
              <w:rPr>
                <w:rFonts w:ascii="Arial" w:hAnsi="Arial" w:cs="Arial"/>
                <w:sz w:val="16"/>
              </w:rPr>
              <w:t>5</w:t>
            </w:r>
          </w:p>
        </w:tc>
        <w:tc>
          <w:tcPr>
            <w:tcW w:w="313" w:type="pct"/>
          </w:tcPr>
          <w:p w:rsidR="00587B01" w:rsidRPr="00E106BD" w:rsidRDefault="00587B01" w:rsidP="000D5299">
            <w:pPr>
              <w:rPr>
                <w:rFonts w:ascii="Arial" w:hAnsi="Arial" w:cs="Arial"/>
                <w:sz w:val="16"/>
                <w:szCs w:val="16"/>
              </w:rPr>
            </w:pPr>
            <w:r>
              <w:rPr>
                <w:rFonts w:ascii="Arial" w:hAnsi="Arial" w:cs="Arial"/>
                <w:sz w:val="16"/>
                <w:szCs w:val="16"/>
              </w:rPr>
              <w:t>PB</w:t>
            </w:r>
          </w:p>
        </w:tc>
      </w:tr>
      <w:tr w:rsidR="00587B01" w:rsidRPr="00E106BD" w:rsidDel="00864925" w:rsidTr="00802FC7">
        <w:tblPrEx>
          <w:tblBorders>
            <w:top w:val="single" w:sz="4" w:space="0" w:color="auto"/>
          </w:tblBorders>
        </w:tblPrEx>
        <w:trPr>
          <w:cantSplit/>
          <w:tblCellSpacing w:w="22" w:type="dxa"/>
        </w:trPr>
        <w:tc>
          <w:tcPr>
            <w:tcW w:w="1050" w:type="pct"/>
          </w:tcPr>
          <w:p w:rsidR="00587B01" w:rsidRPr="00E106BD" w:rsidDel="00864925" w:rsidRDefault="00587B01" w:rsidP="004E4760">
            <w:pPr>
              <w:rPr>
                <w:rFonts w:ascii="Arial" w:eastAsia="Arial" w:hAnsi="Arial" w:cs="Arial"/>
                <w:sz w:val="16"/>
                <w:szCs w:val="16"/>
                <w:lang w:eastAsia="zh-CN"/>
              </w:rPr>
            </w:pPr>
          </w:p>
        </w:tc>
        <w:tc>
          <w:tcPr>
            <w:tcW w:w="943" w:type="pct"/>
          </w:tcPr>
          <w:p w:rsidR="00587B01" w:rsidRPr="00E106BD" w:rsidRDefault="00587B01" w:rsidP="004E4760">
            <w:pPr>
              <w:rPr>
                <w:rFonts w:ascii="Arial" w:hAnsi="Arial" w:cs="Arial"/>
                <w:sz w:val="16"/>
                <w:szCs w:val="16"/>
              </w:rPr>
            </w:pPr>
            <w:r w:rsidRPr="00C3581E">
              <w:rPr>
                <w:rFonts w:ascii="Arial" w:hAnsi="Arial" w:cs="Arial"/>
                <w:sz w:val="16"/>
                <w:szCs w:val="16"/>
              </w:rPr>
              <w:t>Solution for subcutaneous injection containing apomorphine hydrochloride 30 mg in 3 mL pre-filled pen</w:t>
            </w:r>
          </w:p>
        </w:tc>
        <w:tc>
          <w:tcPr>
            <w:tcW w:w="365" w:type="pct"/>
          </w:tcPr>
          <w:p w:rsidR="00587B01" w:rsidRPr="00E106BD" w:rsidRDefault="00587B01" w:rsidP="004E4760">
            <w:pPr>
              <w:rPr>
                <w:rFonts w:ascii="Arial" w:hAnsi="Arial" w:cs="Arial"/>
                <w:sz w:val="16"/>
                <w:szCs w:val="16"/>
              </w:rPr>
            </w:pPr>
            <w:r w:rsidRPr="00C3581E">
              <w:rPr>
                <w:rFonts w:ascii="Arial" w:hAnsi="Arial" w:cs="Arial"/>
                <w:sz w:val="16"/>
                <w:szCs w:val="16"/>
              </w:rPr>
              <w:t>Injection</w:t>
            </w:r>
          </w:p>
        </w:tc>
        <w:tc>
          <w:tcPr>
            <w:tcW w:w="374" w:type="pct"/>
          </w:tcPr>
          <w:p w:rsidR="00587B01" w:rsidRPr="00E106BD" w:rsidRDefault="00587B01" w:rsidP="000D5299">
            <w:pPr>
              <w:keepNext/>
              <w:keepLines/>
              <w:rPr>
                <w:rFonts w:ascii="Arial" w:hAnsi="Arial" w:cs="Arial"/>
                <w:sz w:val="16"/>
                <w:szCs w:val="16"/>
              </w:rPr>
            </w:pPr>
            <w:r w:rsidRPr="00C3581E">
              <w:rPr>
                <w:rFonts w:ascii="Arial" w:hAnsi="Arial" w:cs="Arial"/>
                <w:sz w:val="16"/>
                <w:szCs w:val="16"/>
              </w:rPr>
              <w:t>Apomine Intermittent</w:t>
            </w:r>
          </w:p>
        </w:tc>
        <w:tc>
          <w:tcPr>
            <w:tcW w:w="220" w:type="pct"/>
          </w:tcPr>
          <w:p w:rsidR="00587B01" w:rsidRPr="00E106BD" w:rsidRDefault="00587B01" w:rsidP="000D5299">
            <w:pPr>
              <w:keepNext/>
              <w:keepLines/>
              <w:rPr>
                <w:rFonts w:ascii="Arial" w:hAnsi="Arial" w:cs="Arial"/>
                <w:sz w:val="16"/>
                <w:szCs w:val="16"/>
              </w:rPr>
            </w:pPr>
            <w:r w:rsidRPr="00C3581E">
              <w:rPr>
                <w:rFonts w:ascii="Arial" w:hAnsi="Arial" w:cs="Arial"/>
                <w:sz w:val="16"/>
                <w:szCs w:val="16"/>
              </w:rPr>
              <w:t>PF</w:t>
            </w:r>
          </w:p>
        </w:tc>
        <w:tc>
          <w:tcPr>
            <w:tcW w:w="477" w:type="pct"/>
          </w:tcPr>
          <w:p w:rsidR="00587B01" w:rsidRPr="00E106BD" w:rsidRDefault="00587B01">
            <w:pPr>
              <w:rPr>
                <w:rFonts w:ascii="Arial" w:hAnsi="Arial" w:cs="Arial"/>
                <w:sz w:val="16"/>
                <w:szCs w:val="16"/>
              </w:rPr>
            </w:pPr>
            <w:r w:rsidRPr="00C3581E">
              <w:rPr>
                <w:rFonts w:ascii="Arial" w:hAnsi="Arial" w:cs="Arial"/>
                <w:sz w:val="16"/>
                <w:szCs w:val="16"/>
              </w:rPr>
              <w:t>C10830 C10863</w:t>
            </w:r>
          </w:p>
        </w:tc>
        <w:tc>
          <w:tcPr>
            <w:tcW w:w="424" w:type="pct"/>
          </w:tcPr>
          <w:p w:rsidR="00587B01" w:rsidRPr="00E106BD" w:rsidDel="00864925" w:rsidRDefault="00587B01" w:rsidP="004E4760">
            <w:pPr>
              <w:rPr>
                <w:rFonts w:ascii="Arial" w:eastAsia="Arial" w:hAnsi="Arial" w:cs="Arial"/>
                <w:sz w:val="16"/>
                <w:szCs w:val="16"/>
                <w:lang w:eastAsia="zh-CN"/>
              </w:rPr>
            </w:pPr>
          </w:p>
        </w:tc>
        <w:tc>
          <w:tcPr>
            <w:tcW w:w="344" w:type="pct"/>
          </w:tcPr>
          <w:p w:rsidR="00587B01" w:rsidRPr="00E106BD" w:rsidRDefault="00587B01" w:rsidP="000D5299">
            <w:pPr>
              <w:rPr>
                <w:rFonts w:ascii="Arial" w:hAnsi="Arial" w:cs="Arial"/>
                <w:sz w:val="16"/>
                <w:szCs w:val="16"/>
              </w:rPr>
            </w:pPr>
            <w:r w:rsidRPr="00C3581E">
              <w:rPr>
                <w:rFonts w:ascii="Arial" w:hAnsi="Arial" w:cs="Arial"/>
                <w:sz w:val="16"/>
              </w:rPr>
              <w:t>100</w:t>
            </w:r>
          </w:p>
        </w:tc>
        <w:tc>
          <w:tcPr>
            <w:tcW w:w="297" w:type="pct"/>
          </w:tcPr>
          <w:p w:rsidR="00587B01" w:rsidRPr="00E106BD" w:rsidRDefault="00587B01" w:rsidP="000D5299">
            <w:pPr>
              <w:rPr>
                <w:rFonts w:ascii="Arial" w:hAnsi="Arial" w:cs="Arial"/>
                <w:sz w:val="16"/>
                <w:szCs w:val="16"/>
              </w:rPr>
            </w:pPr>
            <w:r w:rsidRPr="00C3581E">
              <w:rPr>
                <w:rFonts w:ascii="Arial" w:hAnsi="Arial" w:cs="Arial"/>
                <w:sz w:val="16"/>
              </w:rPr>
              <w:t>5</w:t>
            </w:r>
          </w:p>
        </w:tc>
        <w:tc>
          <w:tcPr>
            <w:tcW w:w="313" w:type="pct"/>
          </w:tcPr>
          <w:p w:rsidR="00587B01" w:rsidRPr="00E106BD" w:rsidRDefault="00587B01" w:rsidP="000D5299">
            <w:pPr>
              <w:rPr>
                <w:rFonts w:ascii="Arial" w:hAnsi="Arial" w:cs="Arial"/>
                <w:sz w:val="16"/>
                <w:szCs w:val="16"/>
              </w:rPr>
            </w:pPr>
            <w:r>
              <w:rPr>
                <w:rFonts w:ascii="Arial" w:hAnsi="Arial" w:cs="Arial"/>
                <w:sz w:val="16"/>
                <w:szCs w:val="16"/>
              </w:rPr>
              <w:t>C</w:t>
            </w:r>
          </w:p>
        </w:tc>
      </w:tr>
      <w:tr w:rsidR="00587B01" w:rsidRPr="00E106BD" w:rsidDel="00864925" w:rsidTr="00802FC7">
        <w:tblPrEx>
          <w:tblBorders>
            <w:top w:val="single" w:sz="4" w:space="0" w:color="auto"/>
          </w:tblBorders>
        </w:tblPrEx>
        <w:trPr>
          <w:cantSplit/>
          <w:tblCellSpacing w:w="22" w:type="dxa"/>
        </w:trPr>
        <w:tc>
          <w:tcPr>
            <w:tcW w:w="1050" w:type="pct"/>
          </w:tcPr>
          <w:p w:rsidR="00587B01" w:rsidRPr="00E106BD" w:rsidDel="00864925" w:rsidRDefault="00587B01" w:rsidP="004E4760">
            <w:pPr>
              <w:rPr>
                <w:rFonts w:ascii="Arial" w:eastAsia="Arial" w:hAnsi="Arial" w:cs="Arial"/>
                <w:sz w:val="16"/>
                <w:szCs w:val="16"/>
                <w:lang w:eastAsia="zh-CN"/>
              </w:rPr>
            </w:pPr>
          </w:p>
        </w:tc>
        <w:tc>
          <w:tcPr>
            <w:tcW w:w="943" w:type="pct"/>
          </w:tcPr>
          <w:p w:rsidR="00587B01" w:rsidRPr="00C3581E" w:rsidRDefault="00587B01" w:rsidP="004E4760">
            <w:pPr>
              <w:rPr>
                <w:rFonts w:ascii="Arial" w:hAnsi="Arial" w:cs="Arial"/>
                <w:sz w:val="16"/>
                <w:szCs w:val="16"/>
              </w:rPr>
            </w:pPr>
          </w:p>
        </w:tc>
        <w:tc>
          <w:tcPr>
            <w:tcW w:w="365" w:type="pct"/>
          </w:tcPr>
          <w:p w:rsidR="00587B01" w:rsidRPr="00C3581E" w:rsidRDefault="00587B01" w:rsidP="004E4760">
            <w:pPr>
              <w:rPr>
                <w:rFonts w:ascii="Arial" w:hAnsi="Arial" w:cs="Arial"/>
                <w:sz w:val="16"/>
                <w:szCs w:val="16"/>
              </w:rPr>
            </w:pPr>
          </w:p>
        </w:tc>
        <w:tc>
          <w:tcPr>
            <w:tcW w:w="374" w:type="pct"/>
          </w:tcPr>
          <w:p w:rsidR="00587B01" w:rsidRPr="00C3581E" w:rsidRDefault="00587B01" w:rsidP="000D5299">
            <w:pPr>
              <w:keepNext/>
              <w:keepLines/>
              <w:rPr>
                <w:rFonts w:ascii="Arial" w:hAnsi="Arial" w:cs="Arial"/>
                <w:sz w:val="16"/>
                <w:szCs w:val="16"/>
              </w:rPr>
            </w:pPr>
            <w:r w:rsidRPr="00C3581E">
              <w:rPr>
                <w:rFonts w:ascii="Arial" w:hAnsi="Arial" w:cs="Arial"/>
                <w:sz w:val="16"/>
                <w:szCs w:val="16"/>
              </w:rPr>
              <w:t>Movapo Pen</w:t>
            </w:r>
          </w:p>
        </w:tc>
        <w:tc>
          <w:tcPr>
            <w:tcW w:w="220" w:type="pct"/>
          </w:tcPr>
          <w:p w:rsidR="00587B01" w:rsidRPr="00E106BD" w:rsidRDefault="00587B01" w:rsidP="000D5299">
            <w:pPr>
              <w:keepNext/>
              <w:keepLines/>
              <w:rPr>
                <w:rFonts w:ascii="Arial" w:hAnsi="Arial" w:cs="Arial"/>
                <w:sz w:val="16"/>
                <w:szCs w:val="16"/>
              </w:rPr>
            </w:pPr>
            <w:r w:rsidRPr="00C3581E">
              <w:rPr>
                <w:rFonts w:ascii="Arial" w:hAnsi="Arial" w:cs="Arial"/>
                <w:sz w:val="16"/>
                <w:szCs w:val="16"/>
              </w:rPr>
              <w:t>TD</w:t>
            </w:r>
          </w:p>
        </w:tc>
        <w:tc>
          <w:tcPr>
            <w:tcW w:w="477" w:type="pct"/>
          </w:tcPr>
          <w:p w:rsidR="00587B01" w:rsidRPr="00E106BD" w:rsidRDefault="00587B01">
            <w:pPr>
              <w:rPr>
                <w:rFonts w:ascii="Arial" w:hAnsi="Arial" w:cs="Arial"/>
                <w:sz w:val="16"/>
                <w:szCs w:val="16"/>
              </w:rPr>
            </w:pPr>
            <w:r w:rsidRPr="00C3581E">
              <w:rPr>
                <w:rFonts w:ascii="Arial" w:hAnsi="Arial" w:cs="Arial"/>
                <w:sz w:val="16"/>
                <w:szCs w:val="16"/>
              </w:rPr>
              <w:t>C10830 C10863</w:t>
            </w:r>
          </w:p>
        </w:tc>
        <w:tc>
          <w:tcPr>
            <w:tcW w:w="424" w:type="pct"/>
          </w:tcPr>
          <w:p w:rsidR="00587B01" w:rsidRPr="00E106BD" w:rsidDel="00864925" w:rsidRDefault="00587B01" w:rsidP="004E4760">
            <w:pPr>
              <w:rPr>
                <w:rFonts w:ascii="Arial" w:eastAsia="Arial" w:hAnsi="Arial" w:cs="Arial"/>
                <w:sz w:val="16"/>
                <w:szCs w:val="16"/>
                <w:lang w:eastAsia="zh-CN"/>
              </w:rPr>
            </w:pPr>
          </w:p>
        </w:tc>
        <w:tc>
          <w:tcPr>
            <w:tcW w:w="344" w:type="pct"/>
          </w:tcPr>
          <w:p w:rsidR="00587B01" w:rsidRPr="00E106BD" w:rsidRDefault="00587B01" w:rsidP="000D5299">
            <w:pPr>
              <w:rPr>
                <w:rFonts w:ascii="Arial" w:hAnsi="Arial" w:cs="Arial"/>
                <w:sz w:val="16"/>
                <w:szCs w:val="16"/>
              </w:rPr>
            </w:pPr>
            <w:r w:rsidRPr="00C3581E">
              <w:rPr>
                <w:rFonts w:ascii="Arial" w:hAnsi="Arial" w:cs="Arial"/>
                <w:sz w:val="16"/>
              </w:rPr>
              <w:t>100</w:t>
            </w:r>
          </w:p>
        </w:tc>
        <w:tc>
          <w:tcPr>
            <w:tcW w:w="297" w:type="pct"/>
          </w:tcPr>
          <w:p w:rsidR="00587B01" w:rsidRPr="00E106BD" w:rsidRDefault="00587B01" w:rsidP="000D5299">
            <w:pPr>
              <w:rPr>
                <w:rFonts w:ascii="Arial" w:hAnsi="Arial" w:cs="Arial"/>
                <w:sz w:val="16"/>
                <w:szCs w:val="16"/>
              </w:rPr>
            </w:pPr>
            <w:r w:rsidRPr="00C3581E">
              <w:rPr>
                <w:rFonts w:ascii="Arial" w:hAnsi="Arial" w:cs="Arial"/>
                <w:sz w:val="16"/>
              </w:rPr>
              <w:t>5</w:t>
            </w:r>
          </w:p>
        </w:tc>
        <w:tc>
          <w:tcPr>
            <w:tcW w:w="313" w:type="pct"/>
          </w:tcPr>
          <w:p w:rsidR="00587B01" w:rsidRPr="00E106BD" w:rsidRDefault="00587B01" w:rsidP="000D5299">
            <w:pPr>
              <w:rPr>
                <w:rFonts w:ascii="Arial" w:hAnsi="Arial" w:cs="Arial"/>
                <w:sz w:val="16"/>
                <w:szCs w:val="16"/>
              </w:rPr>
            </w:pPr>
            <w:r>
              <w:rPr>
                <w:rFonts w:ascii="Arial" w:hAnsi="Arial" w:cs="Arial"/>
                <w:sz w:val="16"/>
                <w:szCs w:val="16"/>
              </w:rPr>
              <w:t>C</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Atazanavir</w:t>
            </w: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Capsule 200 mg (as sulfate)</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Atazanavir Mylan</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AF</w:t>
            </w:r>
          </w:p>
        </w:tc>
        <w:tc>
          <w:tcPr>
            <w:tcW w:w="47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RDefault="00990B01" w:rsidP="00A34E33">
            <w:pPr>
              <w:keepNext/>
              <w:rPr>
                <w:rFonts w:ascii="Arial" w:hAnsi="Arial" w:cs="Arial"/>
                <w:sz w:val="16"/>
                <w:szCs w:val="16"/>
              </w:rPr>
            </w:pPr>
          </w:p>
        </w:tc>
        <w:tc>
          <w:tcPr>
            <w:tcW w:w="365" w:type="pct"/>
          </w:tcPr>
          <w:p w:rsidR="00990B01" w:rsidRPr="00E106BD" w:rsidRDefault="00990B01" w:rsidP="00A34E33">
            <w:pPr>
              <w:keepNext/>
              <w:rPr>
                <w:rFonts w:ascii="Arial" w:hAnsi="Arial" w:cs="Arial"/>
                <w:sz w:val="16"/>
                <w:szCs w:val="16"/>
              </w:rPr>
            </w:pP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Reyataz</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BQ</w:t>
            </w:r>
          </w:p>
        </w:tc>
        <w:tc>
          <w:tcPr>
            <w:tcW w:w="47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Del="00E63E2F" w:rsidRDefault="00990B01" w:rsidP="00A34E33">
            <w:pPr>
              <w:keepNext/>
              <w:rPr>
                <w:rFonts w:ascii="Arial" w:hAnsi="Arial" w:cs="Arial"/>
                <w:sz w:val="16"/>
                <w:szCs w:val="16"/>
              </w:rPr>
            </w:pPr>
            <w:r w:rsidRPr="00E106BD">
              <w:rPr>
                <w:rFonts w:ascii="Arial" w:hAnsi="Arial" w:cs="Arial"/>
                <w:sz w:val="16"/>
                <w:szCs w:val="16"/>
              </w:rPr>
              <w:t>Capsule 300 mg (as sulfate)</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Atazanavir Mylan</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AF</w:t>
            </w:r>
          </w:p>
        </w:tc>
        <w:tc>
          <w:tcPr>
            <w:tcW w:w="47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Reyataz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77" w:type="pct"/>
          </w:tcPr>
          <w:p w:rsidR="00990B01" w:rsidRPr="00E106BD" w:rsidRDefault="00990B01" w:rsidP="00F42904">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Atazanavir with cobicistat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300 mg atazanavir and 150 mg cobicistat</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Evotaz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77" w:type="pct"/>
          </w:tcPr>
          <w:p w:rsidR="00990B01" w:rsidRPr="00E106BD" w:rsidRDefault="00990B01" w:rsidP="00F42904">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Azacitidine</w:t>
            </w: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Powder for injection 100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Azacitidine Accord</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OC</w:t>
            </w:r>
          </w:p>
        </w:tc>
        <w:tc>
          <w:tcPr>
            <w:tcW w:w="47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AZACITIDINE DR.REDDY’S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RI</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Azacitidine Juno</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JO</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Azacitidine</w:t>
            </w:r>
            <w:r w:rsidR="00E106BD">
              <w:rPr>
                <w:rFonts w:ascii="Arial" w:hAnsi="Arial" w:cs="Arial"/>
                <w:sz w:val="16"/>
                <w:szCs w:val="16"/>
              </w:rPr>
              <w:noBreakHyphen/>
            </w:r>
            <w:r w:rsidRPr="00E106BD">
              <w:rPr>
                <w:rFonts w:ascii="Arial" w:hAnsi="Arial" w:cs="Arial"/>
                <w:sz w:val="16"/>
                <w:szCs w:val="16"/>
              </w:rPr>
              <w:t>Teva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TB</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Azadine</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RZ</w:t>
            </w:r>
          </w:p>
        </w:tc>
        <w:tc>
          <w:tcPr>
            <w:tcW w:w="47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Celazadine</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JU</w:t>
            </w:r>
          </w:p>
        </w:tc>
        <w:tc>
          <w:tcPr>
            <w:tcW w:w="47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Vidaza</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CJ</w:t>
            </w:r>
          </w:p>
        </w:tc>
        <w:tc>
          <w:tcPr>
            <w:tcW w:w="47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Azithromycin</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600 mg (as dihydrate)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Zithromax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C6356 C9604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16</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0E2FEC"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Baclofen</w:t>
            </w:r>
          </w:p>
        </w:tc>
        <w:tc>
          <w:tcPr>
            <w:tcW w:w="943"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Intrathecal injection 10 mg in 5 mL</w:t>
            </w:r>
          </w:p>
        </w:tc>
        <w:tc>
          <w:tcPr>
            <w:tcW w:w="365"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Injection</w:t>
            </w: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Bacthecal</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DZ</w:t>
            </w:r>
          </w:p>
        </w:tc>
        <w:tc>
          <w:tcPr>
            <w:tcW w:w="477" w:type="pct"/>
            <w:tcBorders>
              <w:top w:val="nil"/>
              <w:bottom w:val="nil"/>
            </w:tcBorders>
          </w:tcPr>
          <w:p w:rsidR="00990B01" w:rsidRPr="00E106BD" w:rsidRDefault="00990B01">
            <w:pPr>
              <w:rPr>
                <w:rFonts w:ascii="Arial" w:hAnsi="Arial" w:cs="Arial"/>
                <w:sz w:val="16"/>
                <w:szCs w:val="16"/>
              </w:rPr>
            </w:pPr>
            <w:r w:rsidRPr="00E106BD">
              <w:rPr>
                <w:rFonts w:ascii="Arial" w:hAnsi="Arial" w:cs="Arial"/>
                <w:sz w:val="16"/>
                <w:szCs w:val="16"/>
              </w:rPr>
              <w:t>C6911 C6925 C6939 C6940 C9488 C9489 C9524 C9637</w:t>
            </w:r>
          </w:p>
        </w:tc>
        <w:tc>
          <w:tcPr>
            <w:tcW w:w="424" w:type="pct"/>
            <w:tcBorders>
              <w:top w:val="nil"/>
              <w:bottom w:val="nil"/>
            </w:tcBorders>
          </w:tcPr>
          <w:p w:rsidR="00990B01" w:rsidRPr="00E106BD" w:rsidDel="000E2FEC"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0E2FEC"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p>
        </w:tc>
        <w:tc>
          <w:tcPr>
            <w:tcW w:w="943" w:type="pct"/>
            <w:tcBorders>
              <w:top w:val="nil"/>
              <w:bottom w:val="nil"/>
            </w:tcBorders>
          </w:tcPr>
          <w:p w:rsidR="00990B01" w:rsidRPr="00E106BD" w:rsidDel="000E2FEC" w:rsidRDefault="00990B01" w:rsidP="004E4760">
            <w:pPr>
              <w:rPr>
                <w:rFonts w:ascii="Arial" w:hAnsi="Arial" w:cs="Arial"/>
                <w:sz w:val="16"/>
                <w:szCs w:val="16"/>
              </w:rPr>
            </w:pPr>
          </w:p>
        </w:tc>
        <w:tc>
          <w:tcPr>
            <w:tcW w:w="365" w:type="pct"/>
            <w:tcBorders>
              <w:top w:val="nil"/>
              <w:bottom w:val="nil"/>
            </w:tcBorders>
          </w:tcPr>
          <w:p w:rsidR="00990B01" w:rsidRPr="00E106BD" w:rsidDel="000E2FEC" w:rsidRDefault="00990B01" w:rsidP="004E4760">
            <w:pPr>
              <w:rPr>
                <w:rFonts w:ascii="Arial" w:hAnsi="Arial" w:cs="Arial"/>
                <w:sz w:val="16"/>
                <w:szCs w:val="16"/>
              </w:rPr>
            </w:pP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Lioresal Intrathecal</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Borders>
              <w:top w:val="nil"/>
              <w:bottom w:val="nil"/>
            </w:tcBorders>
          </w:tcPr>
          <w:p w:rsidR="00990B01" w:rsidRPr="00E106BD" w:rsidRDefault="00990B01">
            <w:pPr>
              <w:rPr>
                <w:rFonts w:ascii="Arial" w:hAnsi="Arial" w:cs="Arial"/>
                <w:sz w:val="16"/>
                <w:szCs w:val="16"/>
              </w:rPr>
            </w:pPr>
            <w:r w:rsidRPr="00E106BD">
              <w:rPr>
                <w:rFonts w:ascii="Arial" w:hAnsi="Arial" w:cs="Arial"/>
                <w:sz w:val="16"/>
                <w:szCs w:val="16"/>
              </w:rPr>
              <w:t>C6911 C6925 C6939 C6940 C9488 C9489 C9524 C9637</w:t>
            </w:r>
          </w:p>
        </w:tc>
        <w:tc>
          <w:tcPr>
            <w:tcW w:w="424" w:type="pct"/>
            <w:tcBorders>
              <w:top w:val="nil"/>
              <w:bottom w:val="nil"/>
            </w:tcBorders>
          </w:tcPr>
          <w:p w:rsidR="00990B01" w:rsidRPr="00E106BD" w:rsidDel="000E2FEC"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0E2FEC"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p>
        </w:tc>
        <w:tc>
          <w:tcPr>
            <w:tcW w:w="943" w:type="pct"/>
            <w:tcBorders>
              <w:top w:val="nil"/>
              <w:bottom w:val="nil"/>
            </w:tcBorders>
          </w:tcPr>
          <w:p w:rsidR="00990B01" w:rsidRPr="00E106BD" w:rsidDel="000E2FEC" w:rsidRDefault="00990B01" w:rsidP="004E4760">
            <w:pPr>
              <w:rPr>
                <w:rFonts w:ascii="Arial" w:hAnsi="Arial" w:cs="Arial"/>
                <w:sz w:val="16"/>
                <w:szCs w:val="16"/>
              </w:rPr>
            </w:pPr>
          </w:p>
        </w:tc>
        <w:tc>
          <w:tcPr>
            <w:tcW w:w="365" w:type="pct"/>
            <w:tcBorders>
              <w:top w:val="nil"/>
              <w:bottom w:val="nil"/>
            </w:tcBorders>
          </w:tcPr>
          <w:p w:rsidR="00990B01" w:rsidRPr="00E106BD" w:rsidDel="000E2FEC" w:rsidRDefault="00990B01" w:rsidP="004E4760">
            <w:pPr>
              <w:rPr>
                <w:rFonts w:ascii="Arial" w:hAnsi="Arial" w:cs="Arial"/>
                <w:sz w:val="16"/>
                <w:szCs w:val="16"/>
              </w:rPr>
            </w:pP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Sintetica Baclofen Intrathecal</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BZ</w:t>
            </w:r>
          </w:p>
        </w:tc>
        <w:tc>
          <w:tcPr>
            <w:tcW w:w="477" w:type="pct"/>
            <w:tcBorders>
              <w:top w:val="nil"/>
              <w:bottom w:val="nil"/>
            </w:tcBorders>
          </w:tcPr>
          <w:p w:rsidR="00990B01" w:rsidRPr="00E106BD" w:rsidRDefault="00990B01">
            <w:pPr>
              <w:rPr>
                <w:rFonts w:ascii="Arial" w:hAnsi="Arial" w:cs="Arial"/>
                <w:sz w:val="16"/>
                <w:szCs w:val="16"/>
              </w:rPr>
            </w:pPr>
            <w:r w:rsidRPr="00E106BD">
              <w:rPr>
                <w:rFonts w:ascii="Arial" w:hAnsi="Arial" w:cs="Arial"/>
                <w:sz w:val="16"/>
                <w:szCs w:val="16"/>
              </w:rPr>
              <w:t>C6911 C6925 C6939 C6940 C9488 C9489 C9524 C9637</w:t>
            </w:r>
          </w:p>
        </w:tc>
        <w:tc>
          <w:tcPr>
            <w:tcW w:w="424" w:type="pct"/>
            <w:tcBorders>
              <w:top w:val="nil"/>
              <w:bottom w:val="nil"/>
            </w:tcBorders>
          </w:tcPr>
          <w:p w:rsidR="00990B01" w:rsidRPr="00E106BD" w:rsidDel="000E2FEC"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0E2FEC"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p>
        </w:tc>
        <w:tc>
          <w:tcPr>
            <w:tcW w:w="943"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Intrathecal injection 40 mg in 20 mL</w:t>
            </w:r>
          </w:p>
        </w:tc>
        <w:tc>
          <w:tcPr>
            <w:tcW w:w="365"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Injection</w:t>
            </w: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Sintetica Baclofen Intrathecal</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BZ</w:t>
            </w:r>
          </w:p>
        </w:tc>
        <w:tc>
          <w:tcPr>
            <w:tcW w:w="477" w:type="pct"/>
            <w:tcBorders>
              <w:top w:val="nil"/>
              <w:bottom w:val="nil"/>
            </w:tcBorders>
          </w:tcPr>
          <w:p w:rsidR="00990B01" w:rsidRPr="00E106BD" w:rsidRDefault="00990B01">
            <w:pPr>
              <w:rPr>
                <w:rFonts w:ascii="Arial" w:hAnsi="Arial" w:cs="Arial"/>
                <w:sz w:val="16"/>
                <w:szCs w:val="16"/>
              </w:rPr>
            </w:pPr>
            <w:r w:rsidRPr="00E106BD">
              <w:rPr>
                <w:rFonts w:ascii="Arial" w:hAnsi="Arial" w:cs="Arial"/>
                <w:sz w:val="16"/>
                <w:szCs w:val="16"/>
              </w:rPr>
              <w:t>C7134 C7148 C7152 C7153 C9525 C9562 C9606 C9638</w:t>
            </w:r>
          </w:p>
        </w:tc>
        <w:tc>
          <w:tcPr>
            <w:tcW w:w="424" w:type="pct"/>
            <w:tcBorders>
              <w:top w:val="nil"/>
              <w:bottom w:val="nil"/>
            </w:tcBorders>
          </w:tcPr>
          <w:p w:rsidR="00990B01" w:rsidRPr="00E106BD" w:rsidDel="000E2FEC"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8721E2" w:rsidRPr="00E106BD" w:rsidDel="000E2FEC" w:rsidTr="00802FC7">
        <w:tblPrEx>
          <w:tblBorders>
            <w:top w:val="single" w:sz="4" w:space="0" w:color="auto"/>
          </w:tblBorders>
        </w:tblPrEx>
        <w:trPr>
          <w:cantSplit/>
          <w:tblCellSpacing w:w="22" w:type="dxa"/>
        </w:trPr>
        <w:tc>
          <w:tcPr>
            <w:tcW w:w="1050" w:type="pct"/>
            <w:tcBorders>
              <w:top w:val="nil"/>
              <w:bottom w:val="nil"/>
            </w:tcBorders>
          </w:tcPr>
          <w:p w:rsidR="008721E2" w:rsidRPr="00E106BD" w:rsidDel="000E2FEC" w:rsidRDefault="008721E2" w:rsidP="004E4760">
            <w:pPr>
              <w:rPr>
                <w:rFonts w:ascii="Arial" w:hAnsi="Arial" w:cs="Arial"/>
                <w:sz w:val="16"/>
                <w:szCs w:val="16"/>
              </w:rPr>
            </w:pPr>
            <w:r w:rsidRPr="00E106BD">
              <w:rPr>
                <w:rFonts w:ascii="Arial" w:hAnsi="Arial"/>
                <w:sz w:val="16"/>
                <w:lang w:eastAsia="en-AU"/>
              </w:rPr>
              <w:t>Benralizumab</w:t>
            </w:r>
          </w:p>
        </w:tc>
        <w:tc>
          <w:tcPr>
            <w:tcW w:w="943"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Injection 30 mg in 1 mL single dose pre-filled pen</w:t>
            </w:r>
          </w:p>
        </w:tc>
        <w:tc>
          <w:tcPr>
            <w:tcW w:w="365"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Injection</w:t>
            </w:r>
          </w:p>
        </w:tc>
        <w:tc>
          <w:tcPr>
            <w:tcW w:w="374"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Fasenra Pen</w:t>
            </w:r>
          </w:p>
        </w:tc>
        <w:tc>
          <w:tcPr>
            <w:tcW w:w="220"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AP</w:t>
            </w:r>
          </w:p>
        </w:tc>
        <w:tc>
          <w:tcPr>
            <w:tcW w:w="477" w:type="pct"/>
            <w:tcBorders>
              <w:top w:val="nil"/>
              <w:bottom w:val="nil"/>
            </w:tcBorders>
          </w:tcPr>
          <w:p w:rsidR="008721E2" w:rsidRPr="00E106BD" w:rsidRDefault="008721E2">
            <w:pPr>
              <w:rPr>
                <w:rFonts w:ascii="Arial" w:hAnsi="Arial" w:cs="Arial"/>
                <w:sz w:val="16"/>
                <w:szCs w:val="16"/>
              </w:rPr>
            </w:pPr>
            <w:r w:rsidRPr="003A13C5">
              <w:rPr>
                <w:rFonts w:ascii="Arial" w:hAnsi="Arial" w:cs="Arial"/>
                <w:sz w:val="16"/>
              </w:rPr>
              <w:t>C9887 C10264 C10281 C10314</w:t>
            </w:r>
          </w:p>
        </w:tc>
        <w:tc>
          <w:tcPr>
            <w:tcW w:w="424" w:type="pct"/>
            <w:tcBorders>
              <w:top w:val="nil"/>
              <w:bottom w:val="nil"/>
            </w:tcBorders>
          </w:tcPr>
          <w:p w:rsidR="008721E2" w:rsidRPr="00E106BD" w:rsidDel="000E2FEC" w:rsidRDefault="008721E2" w:rsidP="004E4760">
            <w:pPr>
              <w:rPr>
                <w:rFonts w:ascii="Arial" w:hAnsi="Arial" w:cs="Arial"/>
                <w:sz w:val="16"/>
                <w:szCs w:val="16"/>
              </w:rPr>
            </w:pPr>
            <w:r w:rsidRPr="003A13C5">
              <w:rPr>
                <w:rFonts w:ascii="Arial" w:hAnsi="Arial" w:cs="Arial"/>
                <w:sz w:val="16"/>
              </w:rPr>
              <w:t>P9887</w:t>
            </w:r>
          </w:p>
        </w:tc>
        <w:tc>
          <w:tcPr>
            <w:tcW w:w="344"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1</w:t>
            </w:r>
          </w:p>
        </w:tc>
        <w:tc>
          <w:tcPr>
            <w:tcW w:w="297"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0</w:t>
            </w:r>
          </w:p>
        </w:tc>
        <w:tc>
          <w:tcPr>
            <w:tcW w:w="313"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szCs w:val="16"/>
              </w:rPr>
              <w:t>D</w:t>
            </w:r>
          </w:p>
        </w:tc>
      </w:tr>
      <w:tr w:rsidR="008721E2" w:rsidRPr="00E106BD" w:rsidDel="000E2FEC" w:rsidTr="00802FC7">
        <w:tblPrEx>
          <w:tblBorders>
            <w:top w:val="single" w:sz="4" w:space="0" w:color="auto"/>
          </w:tblBorders>
        </w:tblPrEx>
        <w:trPr>
          <w:cantSplit/>
          <w:tblCellSpacing w:w="22" w:type="dxa"/>
        </w:trPr>
        <w:tc>
          <w:tcPr>
            <w:tcW w:w="1050" w:type="pct"/>
            <w:tcBorders>
              <w:top w:val="nil"/>
              <w:bottom w:val="nil"/>
            </w:tcBorders>
          </w:tcPr>
          <w:p w:rsidR="008721E2" w:rsidRPr="00E106BD" w:rsidDel="000E2FEC" w:rsidRDefault="008721E2" w:rsidP="004E4760">
            <w:pPr>
              <w:rPr>
                <w:rFonts w:ascii="Arial" w:hAnsi="Arial" w:cs="Arial"/>
                <w:sz w:val="16"/>
                <w:szCs w:val="16"/>
              </w:rPr>
            </w:pPr>
          </w:p>
        </w:tc>
        <w:tc>
          <w:tcPr>
            <w:tcW w:w="943" w:type="pct"/>
            <w:tcBorders>
              <w:top w:val="nil"/>
              <w:bottom w:val="nil"/>
            </w:tcBorders>
          </w:tcPr>
          <w:p w:rsidR="008721E2" w:rsidRPr="00E106BD" w:rsidRDefault="008721E2" w:rsidP="004E4760">
            <w:pPr>
              <w:rPr>
                <w:rFonts w:ascii="Arial" w:hAnsi="Arial" w:cs="Arial"/>
                <w:sz w:val="16"/>
                <w:szCs w:val="16"/>
              </w:rPr>
            </w:pPr>
          </w:p>
        </w:tc>
        <w:tc>
          <w:tcPr>
            <w:tcW w:w="365" w:type="pct"/>
            <w:tcBorders>
              <w:top w:val="nil"/>
              <w:bottom w:val="nil"/>
            </w:tcBorders>
          </w:tcPr>
          <w:p w:rsidR="008721E2" w:rsidRPr="00E106BD" w:rsidRDefault="008721E2" w:rsidP="004E4760">
            <w:pPr>
              <w:rPr>
                <w:rFonts w:ascii="Arial" w:hAnsi="Arial" w:cs="Arial"/>
                <w:sz w:val="16"/>
                <w:szCs w:val="16"/>
              </w:rPr>
            </w:pPr>
          </w:p>
        </w:tc>
        <w:tc>
          <w:tcPr>
            <w:tcW w:w="374" w:type="pct"/>
            <w:tcBorders>
              <w:top w:val="nil"/>
              <w:bottom w:val="nil"/>
            </w:tcBorders>
          </w:tcPr>
          <w:p w:rsidR="008721E2" w:rsidRPr="00E106BD" w:rsidRDefault="008721E2" w:rsidP="004E4760">
            <w:pPr>
              <w:rPr>
                <w:rFonts w:ascii="Arial" w:hAnsi="Arial" w:cs="Arial"/>
                <w:sz w:val="16"/>
                <w:szCs w:val="16"/>
              </w:rPr>
            </w:pPr>
          </w:p>
        </w:tc>
        <w:tc>
          <w:tcPr>
            <w:tcW w:w="220" w:type="pct"/>
            <w:tcBorders>
              <w:top w:val="nil"/>
              <w:bottom w:val="nil"/>
            </w:tcBorders>
          </w:tcPr>
          <w:p w:rsidR="008721E2" w:rsidRPr="00E106BD" w:rsidRDefault="008721E2" w:rsidP="004E4760">
            <w:pPr>
              <w:rPr>
                <w:rFonts w:ascii="Arial" w:hAnsi="Arial" w:cs="Arial"/>
                <w:sz w:val="16"/>
                <w:szCs w:val="16"/>
              </w:rPr>
            </w:pPr>
          </w:p>
        </w:tc>
        <w:tc>
          <w:tcPr>
            <w:tcW w:w="477" w:type="pct"/>
            <w:tcBorders>
              <w:top w:val="nil"/>
              <w:bottom w:val="nil"/>
            </w:tcBorders>
          </w:tcPr>
          <w:p w:rsidR="008721E2" w:rsidRPr="00E106BD" w:rsidRDefault="008721E2">
            <w:pPr>
              <w:rPr>
                <w:rFonts w:ascii="Arial" w:hAnsi="Arial" w:cs="Arial"/>
                <w:sz w:val="16"/>
                <w:szCs w:val="16"/>
              </w:rPr>
            </w:pPr>
            <w:r w:rsidRPr="003A13C5">
              <w:rPr>
                <w:rFonts w:ascii="Arial" w:hAnsi="Arial" w:cs="Arial"/>
                <w:sz w:val="16"/>
              </w:rPr>
              <w:t>C9887 C10264 C10281 C10314</w:t>
            </w:r>
          </w:p>
        </w:tc>
        <w:tc>
          <w:tcPr>
            <w:tcW w:w="424" w:type="pct"/>
            <w:tcBorders>
              <w:top w:val="nil"/>
              <w:bottom w:val="nil"/>
            </w:tcBorders>
          </w:tcPr>
          <w:p w:rsidR="008721E2" w:rsidRPr="00E106BD" w:rsidDel="000E2FEC" w:rsidRDefault="008721E2" w:rsidP="004E4760">
            <w:pPr>
              <w:rPr>
                <w:rFonts w:ascii="Arial" w:hAnsi="Arial" w:cs="Arial"/>
                <w:sz w:val="16"/>
                <w:szCs w:val="16"/>
              </w:rPr>
            </w:pPr>
            <w:r w:rsidRPr="003A13C5">
              <w:rPr>
                <w:rFonts w:ascii="Arial" w:hAnsi="Arial" w:cs="Arial"/>
                <w:sz w:val="16"/>
              </w:rPr>
              <w:t>P10281</w:t>
            </w:r>
          </w:p>
        </w:tc>
        <w:tc>
          <w:tcPr>
            <w:tcW w:w="344"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1</w:t>
            </w:r>
          </w:p>
        </w:tc>
        <w:tc>
          <w:tcPr>
            <w:tcW w:w="297"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2</w:t>
            </w:r>
          </w:p>
        </w:tc>
        <w:tc>
          <w:tcPr>
            <w:tcW w:w="313"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szCs w:val="16"/>
              </w:rPr>
              <w:t>D</w:t>
            </w:r>
          </w:p>
        </w:tc>
      </w:tr>
      <w:tr w:rsidR="008721E2" w:rsidRPr="00E106BD" w:rsidDel="000E2FEC" w:rsidTr="00802FC7">
        <w:tblPrEx>
          <w:tblBorders>
            <w:top w:val="single" w:sz="4" w:space="0" w:color="auto"/>
          </w:tblBorders>
        </w:tblPrEx>
        <w:trPr>
          <w:cantSplit/>
          <w:tblCellSpacing w:w="22" w:type="dxa"/>
        </w:trPr>
        <w:tc>
          <w:tcPr>
            <w:tcW w:w="1050" w:type="pct"/>
            <w:tcBorders>
              <w:top w:val="nil"/>
              <w:bottom w:val="nil"/>
            </w:tcBorders>
          </w:tcPr>
          <w:p w:rsidR="008721E2" w:rsidRPr="00E106BD" w:rsidDel="000E2FEC" w:rsidRDefault="008721E2" w:rsidP="004E4760">
            <w:pPr>
              <w:rPr>
                <w:rFonts w:ascii="Arial" w:hAnsi="Arial" w:cs="Arial"/>
                <w:sz w:val="16"/>
                <w:szCs w:val="16"/>
              </w:rPr>
            </w:pPr>
          </w:p>
        </w:tc>
        <w:tc>
          <w:tcPr>
            <w:tcW w:w="943" w:type="pct"/>
            <w:tcBorders>
              <w:top w:val="nil"/>
              <w:bottom w:val="nil"/>
            </w:tcBorders>
          </w:tcPr>
          <w:p w:rsidR="008721E2" w:rsidRPr="00E106BD" w:rsidRDefault="008721E2" w:rsidP="004E4760">
            <w:pPr>
              <w:rPr>
                <w:rFonts w:ascii="Arial" w:hAnsi="Arial" w:cs="Arial"/>
                <w:sz w:val="16"/>
                <w:szCs w:val="16"/>
              </w:rPr>
            </w:pPr>
          </w:p>
        </w:tc>
        <w:tc>
          <w:tcPr>
            <w:tcW w:w="365" w:type="pct"/>
            <w:tcBorders>
              <w:top w:val="nil"/>
              <w:bottom w:val="nil"/>
            </w:tcBorders>
          </w:tcPr>
          <w:p w:rsidR="008721E2" w:rsidRPr="00E106BD" w:rsidRDefault="008721E2" w:rsidP="004E4760">
            <w:pPr>
              <w:rPr>
                <w:rFonts w:ascii="Arial" w:hAnsi="Arial" w:cs="Arial"/>
                <w:sz w:val="16"/>
                <w:szCs w:val="16"/>
              </w:rPr>
            </w:pPr>
          </w:p>
        </w:tc>
        <w:tc>
          <w:tcPr>
            <w:tcW w:w="374" w:type="pct"/>
            <w:tcBorders>
              <w:top w:val="nil"/>
              <w:bottom w:val="nil"/>
            </w:tcBorders>
          </w:tcPr>
          <w:p w:rsidR="008721E2" w:rsidRPr="00E106BD" w:rsidRDefault="008721E2" w:rsidP="004E4760">
            <w:pPr>
              <w:rPr>
                <w:rFonts w:ascii="Arial" w:hAnsi="Arial" w:cs="Arial"/>
                <w:sz w:val="16"/>
                <w:szCs w:val="16"/>
              </w:rPr>
            </w:pPr>
          </w:p>
        </w:tc>
        <w:tc>
          <w:tcPr>
            <w:tcW w:w="220" w:type="pct"/>
            <w:tcBorders>
              <w:top w:val="nil"/>
              <w:bottom w:val="nil"/>
            </w:tcBorders>
          </w:tcPr>
          <w:p w:rsidR="008721E2" w:rsidRPr="00E106BD" w:rsidRDefault="008721E2" w:rsidP="004E4760">
            <w:pPr>
              <w:rPr>
                <w:rFonts w:ascii="Arial" w:hAnsi="Arial" w:cs="Arial"/>
                <w:sz w:val="16"/>
                <w:szCs w:val="16"/>
              </w:rPr>
            </w:pPr>
          </w:p>
        </w:tc>
        <w:tc>
          <w:tcPr>
            <w:tcW w:w="477" w:type="pct"/>
            <w:tcBorders>
              <w:top w:val="nil"/>
              <w:bottom w:val="nil"/>
            </w:tcBorders>
          </w:tcPr>
          <w:p w:rsidR="008721E2" w:rsidRPr="00E106BD" w:rsidRDefault="008721E2">
            <w:pPr>
              <w:rPr>
                <w:rFonts w:ascii="Arial" w:hAnsi="Arial" w:cs="Arial"/>
                <w:sz w:val="16"/>
                <w:szCs w:val="16"/>
              </w:rPr>
            </w:pPr>
            <w:r w:rsidRPr="003A13C5">
              <w:rPr>
                <w:rFonts w:ascii="Arial" w:hAnsi="Arial" w:cs="Arial"/>
                <w:sz w:val="16"/>
              </w:rPr>
              <w:t>C9887 C10264 C10281 C10314</w:t>
            </w:r>
          </w:p>
        </w:tc>
        <w:tc>
          <w:tcPr>
            <w:tcW w:w="424" w:type="pct"/>
            <w:tcBorders>
              <w:top w:val="nil"/>
              <w:bottom w:val="nil"/>
            </w:tcBorders>
          </w:tcPr>
          <w:p w:rsidR="008721E2" w:rsidRPr="00E106BD" w:rsidDel="000E2FEC" w:rsidRDefault="008721E2" w:rsidP="004E4760">
            <w:pPr>
              <w:rPr>
                <w:rFonts w:ascii="Arial" w:hAnsi="Arial" w:cs="Arial"/>
                <w:sz w:val="16"/>
                <w:szCs w:val="16"/>
              </w:rPr>
            </w:pPr>
            <w:r w:rsidRPr="003A13C5">
              <w:rPr>
                <w:rFonts w:ascii="Arial" w:hAnsi="Arial" w:cs="Arial"/>
                <w:sz w:val="16"/>
              </w:rPr>
              <w:t>P10264 P10314</w:t>
            </w:r>
          </w:p>
        </w:tc>
        <w:tc>
          <w:tcPr>
            <w:tcW w:w="344"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1</w:t>
            </w:r>
          </w:p>
        </w:tc>
        <w:tc>
          <w:tcPr>
            <w:tcW w:w="297"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4</w:t>
            </w:r>
          </w:p>
        </w:tc>
        <w:tc>
          <w:tcPr>
            <w:tcW w:w="313"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szCs w:val="16"/>
              </w:rPr>
              <w:t>D</w:t>
            </w:r>
          </w:p>
        </w:tc>
      </w:tr>
      <w:tr w:rsidR="00990B01" w:rsidRPr="00E106BD" w:rsidDel="00313DA8"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Del="00313DA8" w:rsidRDefault="00990B01" w:rsidP="004E4760">
            <w:pPr>
              <w:rPr>
                <w:rFonts w:ascii="Arial" w:hAnsi="Arial" w:cs="Arial"/>
                <w:sz w:val="16"/>
                <w:szCs w:val="16"/>
              </w:rPr>
            </w:pPr>
          </w:p>
        </w:tc>
        <w:tc>
          <w:tcPr>
            <w:tcW w:w="943"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Injection 30 mg in 1 mL single dose pre</w:t>
            </w:r>
            <w:r w:rsidR="00E106BD">
              <w:rPr>
                <w:rFonts w:ascii="Arial" w:hAnsi="Arial"/>
                <w:sz w:val="16"/>
                <w:lang w:eastAsia="en-AU"/>
              </w:rPr>
              <w:noBreakHyphen/>
            </w:r>
            <w:r w:rsidRPr="00E106BD">
              <w:rPr>
                <w:rFonts w:ascii="Arial" w:hAnsi="Arial"/>
                <w:sz w:val="16"/>
                <w:lang w:eastAsia="en-AU"/>
              </w:rPr>
              <w:t>filled syringe</w:t>
            </w:r>
          </w:p>
        </w:tc>
        <w:tc>
          <w:tcPr>
            <w:tcW w:w="365"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Injection</w:t>
            </w:r>
          </w:p>
        </w:tc>
        <w:tc>
          <w:tcPr>
            <w:tcW w:w="37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Fasenra</w:t>
            </w:r>
          </w:p>
        </w:tc>
        <w:tc>
          <w:tcPr>
            <w:tcW w:w="220"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AP</w:t>
            </w:r>
          </w:p>
        </w:tc>
        <w:tc>
          <w:tcPr>
            <w:tcW w:w="477" w:type="pct"/>
            <w:tcBorders>
              <w:top w:val="nil"/>
              <w:bottom w:val="nil"/>
            </w:tcBorders>
          </w:tcPr>
          <w:p w:rsidR="00990B01" w:rsidRPr="00E106BD" w:rsidDel="00313DA8" w:rsidRDefault="00990B01" w:rsidP="00607286">
            <w:pPr>
              <w:rPr>
                <w:rFonts w:ascii="Arial" w:hAnsi="Arial" w:cs="Arial"/>
                <w:sz w:val="16"/>
                <w:szCs w:val="16"/>
              </w:rPr>
            </w:pPr>
            <w:r w:rsidRPr="00E106BD">
              <w:rPr>
                <w:rFonts w:ascii="Arial" w:hAnsi="Arial"/>
                <w:sz w:val="16"/>
                <w:lang w:eastAsia="en-AU"/>
              </w:rPr>
              <w:t>C9887</w:t>
            </w:r>
            <w:r w:rsidRPr="00E106BD">
              <w:t xml:space="preserve"> </w:t>
            </w:r>
            <w:r w:rsidRPr="00E106BD">
              <w:rPr>
                <w:rStyle w:val="charAmendmentKeyword"/>
                <w:b w:val="0"/>
                <w:sz w:val="16"/>
                <w:szCs w:val="16"/>
              </w:rPr>
              <w:t>C10264 C10281 C10314</w:t>
            </w:r>
          </w:p>
        </w:tc>
        <w:tc>
          <w:tcPr>
            <w:tcW w:w="42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P9887</w:t>
            </w:r>
          </w:p>
        </w:tc>
        <w:tc>
          <w:tcPr>
            <w:tcW w:w="34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1</w:t>
            </w:r>
          </w:p>
        </w:tc>
        <w:tc>
          <w:tcPr>
            <w:tcW w:w="297"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313DA8"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Del="00313DA8" w:rsidRDefault="00990B01" w:rsidP="004E4760">
            <w:pPr>
              <w:rPr>
                <w:rFonts w:ascii="Arial" w:hAnsi="Arial" w:cs="Arial"/>
                <w:sz w:val="16"/>
                <w:szCs w:val="16"/>
              </w:rPr>
            </w:pPr>
          </w:p>
        </w:tc>
        <w:tc>
          <w:tcPr>
            <w:tcW w:w="943" w:type="pct"/>
            <w:tcBorders>
              <w:top w:val="nil"/>
              <w:bottom w:val="nil"/>
            </w:tcBorders>
          </w:tcPr>
          <w:p w:rsidR="00990B01" w:rsidRPr="00E106BD" w:rsidDel="00313DA8" w:rsidRDefault="00990B01" w:rsidP="004E4760">
            <w:pPr>
              <w:rPr>
                <w:rFonts w:ascii="Arial" w:hAnsi="Arial" w:cs="Arial"/>
                <w:sz w:val="16"/>
                <w:szCs w:val="16"/>
              </w:rPr>
            </w:pPr>
          </w:p>
        </w:tc>
        <w:tc>
          <w:tcPr>
            <w:tcW w:w="365" w:type="pct"/>
            <w:tcBorders>
              <w:top w:val="nil"/>
              <w:bottom w:val="nil"/>
            </w:tcBorders>
          </w:tcPr>
          <w:p w:rsidR="00990B01" w:rsidRPr="00E106BD" w:rsidDel="00313DA8" w:rsidRDefault="00990B01" w:rsidP="004E4760">
            <w:pPr>
              <w:rPr>
                <w:rFonts w:ascii="Arial" w:hAnsi="Arial" w:cs="Arial"/>
                <w:sz w:val="16"/>
                <w:szCs w:val="16"/>
              </w:rPr>
            </w:pPr>
          </w:p>
        </w:tc>
        <w:tc>
          <w:tcPr>
            <w:tcW w:w="374" w:type="pct"/>
            <w:tcBorders>
              <w:top w:val="nil"/>
              <w:bottom w:val="nil"/>
            </w:tcBorders>
          </w:tcPr>
          <w:p w:rsidR="00990B01" w:rsidRPr="00E106BD" w:rsidDel="00313DA8" w:rsidRDefault="00990B01" w:rsidP="004E4760">
            <w:pPr>
              <w:rPr>
                <w:rFonts w:ascii="Arial" w:hAnsi="Arial" w:cs="Arial"/>
                <w:sz w:val="16"/>
                <w:szCs w:val="16"/>
              </w:rPr>
            </w:pPr>
          </w:p>
        </w:tc>
        <w:tc>
          <w:tcPr>
            <w:tcW w:w="220" w:type="pct"/>
            <w:tcBorders>
              <w:top w:val="nil"/>
              <w:bottom w:val="nil"/>
            </w:tcBorders>
          </w:tcPr>
          <w:p w:rsidR="00990B01" w:rsidRPr="00E106BD" w:rsidDel="00313DA8" w:rsidRDefault="00990B01" w:rsidP="004E4760">
            <w:pPr>
              <w:rPr>
                <w:rFonts w:ascii="Arial" w:hAnsi="Arial" w:cs="Arial"/>
                <w:sz w:val="16"/>
                <w:szCs w:val="16"/>
              </w:rPr>
            </w:pPr>
          </w:p>
        </w:tc>
        <w:tc>
          <w:tcPr>
            <w:tcW w:w="477" w:type="pct"/>
            <w:tcBorders>
              <w:top w:val="nil"/>
              <w:bottom w:val="nil"/>
            </w:tcBorders>
          </w:tcPr>
          <w:p w:rsidR="00990B01" w:rsidRPr="00E106BD" w:rsidDel="00313DA8" w:rsidRDefault="00990B01" w:rsidP="00607286">
            <w:pPr>
              <w:rPr>
                <w:rFonts w:ascii="Arial" w:hAnsi="Arial" w:cs="Arial"/>
                <w:sz w:val="16"/>
                <w:szCs w:val="16"/>
              </w:rPr>
            </w:pPr>
            <w:r w:rsidRPr="00E106BD">
              <w:rPr>
                <w:rFonts w:ascii="Arial" w:hAnsi="Arial"/>
                <w:sz w:val="16"/>
                <w:lang w:eastAsia="en-AU"/>
              </w:rPr>
              <w:t xml:space="preserve">C9887 </w:t>
            </w:r>
            <w:r w:rsidRPr="00E106BD">
              <w:rPr>
                <w:rStyle w:val="charAmendmentKeyword"/>
                <w:b w:val="0"/>
                <w:sz w:val="16"/>
                <w:szCs w:val="16"/>
              </w:rPr>
              <w:t>C10264 C10281 C10314</w:t>
            </w:r>
          </w:p>
        </w:tc>
        <w:tc>
          <w:tcPr>
            <w:tcW w:w="42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P</w:t>
            </w:r>
            <w:r w:rsidRPr="00E106BD">
              <w:rPr>
                <w:rStyle w:val="charAmendmentKeyword"/>
                <w:b w:val="0"/>
                <w:sz w:val="16"/>
                <w:szCs w:val="16"/>
              </w:rPr>
              <w:t>10281</w:t>
            </w:r>
          </w:p>
        </w:tc>
        <w:tc>
          <w:tcPr>
            <w:tcW w:w="34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1</w:t>
            </w:r>
          </w:p>
        </w:tc>
        <w:tc>
          <w:tcPr>
            <w:tcW w:w="297"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2</w:t>
            </w:r>
          </w:p>
        </w:tc>
        <w:tc>
          <w:tcPr>
            <w:tcW w:w="313"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313DA8"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Del="00313DA8" w:rsidRDefault="00990B01" w:rsidP="004E4760">
            <w:pPr>
              <w:rPr>
                <w:rFonts w:ascii="Arial" w:hAnsi="Arial" w:cs="Arial"/>
                <w:sz w:val="16"/>
                <w:szCs w:val="16"/>
              </w:rPr>
            </w:pPr>
          </w:p>
        </w:tc>
        <w:tc>
          <w:tcPr>
            <w:tcW w:w="943" w:type="pct"/>
            <w:tcBorders>
              <w:top w:val="nil"/>
              <w:bottom w:val="nil"/>
            </w:tcBorders>
          </w:tcPr>
          <w:p w:rsidR="00990B01" w:rsidRPr="00E106BD" w:rsidDel="00313DA8" w:rsidRDefault="00990B01" w:rsidP="004E4760">
            <w:pPr>
              <w:rPr>
                <w:rFonts w:ascii="Arial" w:hAnsi="Arial" w:cs="Arial"/>
                <w:sz w:val="16"/>
                <w:szCs w:val="16"/>
              </w:rPr>
            </w:pPr>
          </w:p>
        </w:tc>
        <w:tc>
          <w:tcPr>
            <w:tcW w:w="365" w:type="pct"/>
            <w:tcBorders>
              <w:top w:val="nil"/>
              <w:bottom w:val="nil"/>
            </w:tcBorders>
          </w:tcPr>
          <w:p w:rsidR="00990B01" w:rsidRPr="00E106BD" w:rsidDel="00313DA8" w:rsidRDefault="00990B01" w:rsidP="004E4760">
            <w:pPr>
              <w:rPr>
                <w:rFonts w:ascii="Arial" w:hAnsi="Arial" w:cs="Arial"/>
                <w:sz w:val="16"/>
                <w:szCs w:val="16"/>
              </w:rPr>
            </w:pPr>
          </w:p>
        </w:tc>
        <w:tc>
          <w:tcPr>
            <w:tcW w:w="374" w:type="pct"/>
            <w:tcBorders>
              <w:top w:val="nil"/>
              <w:bottom w:val="nil"/>
            </w:tcBorders>
          </w:tcPr>
          <w:p w:rsidR="00990B01" w:rsidRPr="00E106BD" w:rsidDel="00313DA8" w:rsidRDefault="00990B01" w:rsidP="004E4760">
            <w:pPr>
              <w:rPr>
                <w:rFonts w:ascii="Arial" w:hAnsi="Arial" w:cs="Arial"/>
                <w:sz w:val="16"/>
                <w:szCs w:val="16"/>
              </w:rPr>
            </w:pPr>
          </w:p>
        </w:tc>
        <w:tc>
          <w:tcPr>
            <w:tcW w:w="220" w:type="pct"/>
            <w:tcBorders>
              <w:top w:val="nil"/>
              <w:bottom w:val="nil"/>
            </w:tcBorders>
          </w:tcPr>
          <w:p w:rsidR="00990B01" w:rsidRPr="00E106BD" w:rsidDel="00313DA8" w:rsidRDefault="00990B01" w:rsidP="004E4760">
            <w:pPr>
              <w:rPr>
                <w:rFonts w:ascii="Arial" w:hAnsi="Arial" w:cs="Arial"/>
                <w:sz w:val="16"/>
                <w:szCs w:val="16"/>
              </w:rPr>
            </w:pPr>
          </w:p>
        </w:tc>
        <w:tc>
          <w:tcPr>
            <w:tcW w:w="477" w:type="pct"/>
            <w:tcBorders>
              <w:top w:val="nil"/>
              <w:bottom w:val="nil"/>
            </w:tcBorders>
          </w:tcPr>
          <w:p w:rsidR="00990B01" w:rsidRPr="00E106BD" w:rsidDel="00313DA8" w:rsidRDefault="00990B01" w:rsidP="00607286">
            <w:pPr>
              <w:rPr>
                <w:rFonts w:ascii="Arial" w:hAnsi="Arial" w:cs="Arial"/>
                <w:sz w:val="16"/>
                <w:szCs w:val="16"/>
              </w:rPr>
            </w:pPr>
            <w:r w:rsidRPr="00E106BD">
              <w:rPr>
                <w:rFonts w:ascii="Arial" w:hAnsi="Arial"/>
                <w:sz w:val="16"/>
                <w:lang w:eastAsia="en-AU"/>
              </w:rPr>
              <w:t xml:space="preserve">C9887 </w:t>
            </w:r>
            <w:r w:rsidRPr="00E106BD">
              <w:rPr>
                <w:rStyle w:val="charAmendmentKeyword"/>
                <w:b w:val="0"/>
                <w:sz w:val="16"/>
                <w:szCs w:val="16"/>
              </w:rPr>
              <w:t>C10264 C10281 C10314</w:t>
            </w:r>
          </w:p>
        </w:tc>
        <w:tc>
          <w:tcPr>
            <w:tcW w:w="42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P</w:t>
            </w:r>
            <w:r w:rsidRPr="00E106BD">
              <w:rPr>
                <w:rStyle w:val="charAmendmentKeyword"/>
                <w:b w:val="0"/>
                <w:sz w:val="16"/>
                <w:szCs w:val="16"/>
              </w:rPr>
              <w:t>10264 P10314</w:t>
            </w:r>
          </w:p>
        </w:tc>
        <w:tc>
          <w:tcPr>
            <w:tcW w:w="34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1</w:t>
            </w:r>
          </w:p>
        </w:tc>
        <w:tc>
          <w:tcPr>
            <w:tcW w:w="297"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4</w:t>
            </w:r>
          </w:p>
        </w:tc>
        <w:tc>
          <w:tcPr>
            <w:tcW w:w="313"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0E2FEC"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Bictegravir with emtricitabine with tenofovir alafenamide</w:t>
            </w:r>
          </w:p>
        </w:tc>
        <w:tc>
          <w:tcPr>
            <w:tcW w:w="94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Tablet containing bictegravir 50 mg with emtricitabine 200 mg with tenofovir alafenamide 25 mg</w:t>
            </w:r>
          </w:p>
        </w:tc>
        <w:tc>
          <w:tcPr>
            <w:tcW w:w="365"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Biktarvy</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GI</w:t>
            </w:r>
          </w:p>
        </w:tc>
        <w:tc>
          <w:tcPr>
            <w:tcW w:w="477" w:type="pct"/>
            <w:tcBorders>
              <w:top w:val="nil"/>
              <w:bottom w:val="nil"/>
            </w:tcBorders>
          </w:tcPr>
          <w:p w:rsidR="00990B01" w:rsidRPr="00E106BD" w:rsidRDefault="00990B01" w:rsidP="0067040B">
            <w:pPr>
              <w:rPr>
                <w:rFonts w:ascii="Arial" w:hAnsi="Arial" w:cs="Arial"/>
                <w:sz w:val="16"/>
                <w:szCs w:val="16"/>
              </w:rPr>
            </w:pPr>
            <w:r w:rsidRPr="00E106BD">
              <w:rPr>
                <w:rFonts w:ascii="Arial" w:hAnsi="Arial" w:cs="Arial"/>
                <w:sz w:val="16"/>
                <w:szCs w:val="16"/>
              </w:rPr>
              <w:t>C4470 C4522</w:t>
            </w:r>
          </w:p>
        </w:tc>
        <w:tc>
          <w:tcPr>
            <w:tcW w:w="424" w:type="pct"/>
            <w:tcBorders>
              <w:top w:val="nil"/>
              <w:bottom w:val="nil"/>
            </w:tcBorders>
          </w:tcPr>
          <w:p w:rsidR="00990B01" w:rsidRPr="00E106BD"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w:t>
            </w: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Tablet 62.5 mg (as monohydrate)</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APO</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GX</w:t>
            </w:r>
          </w:p>
        </w:tc>
        <w:tc>
          <w:tcPr>
            <w:tcW w:w="477" w:type="pct"/>
          </w:tcPr>
          <w:p w:rsidR="00990B01" w:rsidRPr="00E106BD" w:rsidDel="004B5277" w:rsidRDefault="00163E63" w:rsidP="00D95184">
            <w:pPr>
              <w:rPr>
                <w:rFonts w:ascii="Arial" w:hAnsi="Arial" w:cs="Arial"/>
                <w:sz w:val="16"/>
                <w:szCs w:val="16"/>
              </w:rPr>
            </w:pPr>
            <w:r w:rsidRPr="00B71EB0">
              <w:rPr>
                <w:rFonts w:ascii="Arial" w:eastAsia="Arial" w:hAnsi="Arial" w:cs="Arial"/>
                <w:sz w:val="16"/>
                <w:szCs w:val="16"/>
                <w:lang w:val="en-US" w:eastAsia="zh-CN"/>
              </w:rPr>
              <w:t>C10228 C10238 C10286 C10305</w:t>
            </w:r>
            <w:r w:rsidR="00802FC7">
              <w:rPr>
                <w:rFonts w:ascii="Arial" w:eastAsia="Arial" w:hAnsi="Arial" w:cs="Arial"/>
                <w:sz w:val="16"/>
                <w:szCs w:val="16"/>
                <w:lang w:val="en-US" w:eastAsia="zh-CN"/>
              </w:rPr>
              <w:t xml:space="preserve"> </w:t>
            </w:r>
            <w:r w:rsidR="00802FC7" w:rsidRPr="00802FC7">
              <w:rPr>
                <w:rFonts w:ascii="Arial" w:eastAsia="Arial" w:hAnsi="Arial" w:cs="Arial"/>
                <w:sz w:val="16"/>
                <w:szCs w:val="16"/>
                <w:lang w:val="en-US" w:eastAsia="zh-CN"/>
              </w:rPr>
              <w:t>C10722 C10724 C10725 C10728 C10795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BOSENTAN DR. REDDY</w:t>
            </w:r>
            <w:r w:rsidR="00A653CA">
              <w:rPr>
                <w:rFonts w:ascii="Arial" w:hAnsi="Arial" w:cs="Arial"/>
                <w:sz w:val="16"/>
                <w:szCs w:val="16"/>
              </w:rPr>
              <w:t>’</w:t>
            </w:r>
            <w:r w:rsidRPr="00E106BD">
              <w:rPr>
                <w:rFonts w:ascii="Arial" w:hAnsi="Arial" w:cs="Arial"/>
                <w:sz w:val="16"/>
                <w:szCs w:val="16"/>
              </w:rPr>
              <w:t>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RI</w:t>
            </w:r>
          </w:p>
        </w:tc>
        <w:tc>
          <w:tcPr>
            <w:tcW w:w="477" w:type="pct"/>
          </w:tcPr>
          <w:p w:rsidR="00990B01" w:rsidRPr="00E106BD" w:rsidRDefault="00802FC7" w:rsidP="00D95184">
            <w:pPr>
              <w:rPr>
                <w:rFonts w:ascii="Arial" w:hAnsi="Arial" w:cs="Arial"/>
                <w:sz w:val="16"/>
                <w:szCs w:val="16"/>
              </w:rPr>
            </w:pPr>
            <w:r w:rsidRPr="00B71EB0">
              <w:rPr>
                <w:rFonts w:ascii="Arial" w:eastAsia="Arial" w:hAnsi="Arial" w:cs="Arial"/>
                <w:sz w:val="16"/>
                <w:szCs w:val="16"/>
                <w:lang w:val="en-US" w:eastAsia="zh-CN"/>
              </w:rPr>
              <w:t>C10228 C10238 C10286 C10305</w:t>
            </w:r>
            <w:r>
              <w:rPr>
                <w:rFonts w:ascii="Arial" w:eastAsia="Arial" w:hAnsi="Arial" w:cs="Arial"/>
                <w:sz w:val="16"/>
                <w:szCs w:val="16"/>
                <w:lang w:val="en-US" w:eastAsia="zh-CN"/>
              </w:rPr>
              <w:t xml:space="preserve"> </w:t>
            </w:r>
            <w:r w:rsidRPr="00802FC7">
              <w:rPr>
                <w:rFonts w:ascii="Arial" w:eastAsia="Arial" w:hAnsi="Arial" w:cs="Arial"/>
                <w:sz w:val="16"/>
                <w:szCs w:val="16"/>
                <w:lang w:val="en-US" w:eastAsia="zh-CN"/>
              </w:rPr>
              <w:t>C10722 C10724 C10725 C10728 C10795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Mylan</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AF</w:t>
            </w:r>
          </w:p>
        </w:tc>
        <w:tc>
          <w:tcPr>
            <w:tcW w:w="477" w:type="pct"/>
          </w:tcPr>
          <w:p w:rsidR="00990B01" w:rsidRPr="00E106BD" w:rsidDel="004B5277" w:rsidRDefault="00802FC7" w:rsidP="00D95184">
            <w:pPr>
              <w:rPr>
                <w:rFonts w:ascii="Arial" w:hAnsi="Arial" w:cs="Arial"/>
                <w:sz w:val="16"/>
                <w:szCs w:val="16"/>
              </w:rPr>
            </w:pPr>
            <w:r w:rsidRPr="00B71EB0">
              <w:rPr>
                <w:rFonts w:ascii="Arial" w:eastAsia="Arial" w:hAnsi="Arial" w:cs="Arial"/>
                <w:sz w:val="16"/>
                <w:szCs w:val="16"/>
                <w:lang w:val="en-US" w:eastAsia="zh-CN"/>
              </w:rPr>
              <w:t>C10228 C10238 C10286 C10305</w:t>
            </w:r>
            <w:r>
              <w:rPr>
                <w:rFonts w:ascii="Arial" w:eastAsia="Arial" w:hAnsi="Arial" w:cs="Arial"/>
                <w:sz w:val="16"/>
                <w:szCs w:val="16"/>
                <w:lang w:val="en-US" w:eastAsia="zh-CN"/>
              </w:rPr>
              <w:t xml:space="preserve"> </w:t>
            </w:r>
            <w:r w:rsidRPr="00802FC7">
              <w:rPr>
                <w:rFonts w:ascii="Arial" w:eastAsia="Arial" w:hAnsi="Arial" w:cs="Arial"/>
                <w:sz w:val="16"/>
                <w:szCs w:val="16"/>
                <w:lang w:val="en-US" w:eastAsia="zh-CN"/>
              </w:rPr>
              <w:t>C10722 C10724 C10725 C10728 C10795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RBX</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RA</w:t>
            </w:r>
          </w:p>
        </w:tc>
        <w:tc>
          <w:tcPr>
            <w:tcW w:w="477" w:type="pct"/>
          </w:tcPr>
          <w:p w:rsidR="00990B01" w:rsidRPr="00E106BD" w:rsidDel="004B5277" w:rsidRDefault="00802FC7" w:rsidP="00D95184">
            <w:pPr>
              <w:rPr>
                <w:rFonts w:ascii="Arial" w:hAnsi="Arial" w:cs="Arial"/>
                <w:sz w:val="16"/>
                <w:szCs w:val="16"/>
              </w:rPr>
            </w:pPr>
            <w:r w:rsidRPr="00B71EB0">
              <w:rPr>
                <w:rFonts w:ascii="Arial" w:eastAsia="Arial" w:hAnsi="Arial" w:cs="Arial"/>
                <w:sz w:val="16"/>
                <w:szCs w:val="16"/>
                <w:lang w:val="en-US" w:eastAsia="zh-CN"/>
              </w:rPr>
              <w:t>C10228 C10238 C10286 C10305</w:t>
            </w:r>
            <w:r>
              <w:rPr>
                <w:rFonts w:ascii="Arial" w:eastAsia="Arial" w:hAnsi="Arial" w:cs="Arial"/>
                <w:sz w:val="16"/>
                <w:szCs w:val="16"/>
                <w:lang w:val="en-US" w:eastAsia="zh-CN"/>
              </w:rPr>
              <w:t xml:space="preserve"> </w:t>
            </w:r>
            <w:r w:rsidRPr="00802FC7">
              <w:rPr>
                <w:rFonts w:ascii="Arial" w:eastAsia="Arial" w:hAnsi="Arial" w:cs="Arial"/>
                <w:sz w:val="16"/>
                <w:szCs w:val="16"/>
                <w:lang w:val="en-US" w:eastAsia="zh-CN"/>
              </w:rPr>
              <w:t>C10722 C10724 C10725 C10728 C10795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Bosentan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802FC7" w:rsidP="00D95184">
            <w:pPr>
              <w:rPr>
                <w:rFonts w:ascii="Arial" w:hAnsi="Arial" w:cs="Arial"/>
                <w:sz w:val="16"/>
                <w:szCs w:val="16"/>
              </w:rPr>
            </w:pPr>
            <w:r w:rsidRPr="00B71EB0">
              <w:rPr>
                <w:rFonts w:ascii="Arial" w:eastAsia="Arial" w:hAnsi="Arial" w:cs="Arial"/>
                <w:sz w:val="16"/>
                <w:szCs w:val="16"/>
                <w:lang w:val="en-US" w:eastAsia="zh-CN"/>
              </w:rPr>
              <w:t>C10228 C10238 C10286 C10305</w:t>
            </w:r>
            <w:r>
              <w:rPr>
                <w:rFonts w:ascii="Arial" w:eastAsia="Arial" w:hAnsi="Arial" w:cs="Arial"/>
                <w:sz w:val="16"/>
                <w:szCs w:val="16"/>
                <w:lang w:val="en-US" w:eastAsia="zh-CN"/>
              </w:rPr>
              <w:t xml:space="preserve"> </w:t>
            </w:r>
            <w:r w:rsidRPr="00802FC7">
              <w:rPr>
                <w:rFonts w:ascii="Arial" w:eastAsia="Arial" w:hAnsi="Arial" w:cs="Arial"/>
                <w:sz w:val="16"/>
                <w:szCs w:val="16"/>
                <w:lang w:val="en-US" w:eastAsia="zh-CN"/>
              </w:rPr>
              <w:t>C10722 C10724 C10725 C10728 C10795</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BOSLEER</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RW</w:t>
            </w:r>
          </w:p>
        </w:tc>
        <w:tc>
          <w:tcPr>
            <w:tcW w:w="477" w:type="pct"/>
          </w:tcPr>
          <w:p w:rsidR="00990B01" w:rsidRPr="00E106BD" w:rsidDel="004B5277" w:rsidRDefault="00802FC7" w:rsidP="00D95184">
            <w:pPr>
              <w:rPr>
                <w:rFonts w:ascii="Arial" w:hAnsi="Arial" w:cs="Arial"/>
                <w:sz w:val="16"/>
                <w:szCs w:val="16"/>
              </w:rPr>
            </w:pPr>
            <w:r w:rsidRPr="00B71EB0">
              <w:rPr>
                <w:rFonts w:ascii="Arial" w:eastAsia="Arial" w:hAnsi="Arial" w:cs="Arial"/>
                <w:sz w:val="16"/>
                <w:szCs w:val="16"/>
                <w:lang w:val="en-US" w:eastAsia="zh-CN"/>
              </w:rPr>
              <w:t>C10228 C10238 C10286 C10305</w:t>
            </w:r>
            <w:r>
              <w:rPr>
                <w:rFonts w:ascii="Arial" w:eastAsia="Arial" w:hAnsi="Arial" w:cs="Arial"/>
                <w:sz w:val="16"/>
                <w:szCs w:val="16"/>
                <w:lang w:val="en-US" w:eastAsia="zh-CN"/>
              </w:rPr>
              <w:t xml:space="preserve"> </w:t>
            </w:r>
            <w:r w:rsidRPr="00802FC7">
              <w:rPr>
                <w:rFonts w:ascii="Arial" w:eastAsia="Arial" w:hAnsi="Arial" w:cs="Arial"/>
                <w:sz w:val="16"/>
                <w:szCs w:val="16"/>
                <w:lang w:val="en-US" w:eastAsia="zh-CN"/>
              </w:rPr>
              <w:t>C10722 C10724 C10725 C10728 C10795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Tracleer</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Del="004B5277" w:rsidRDefault="00802FC7" w:rsidP="00D95184">
            <w:pPr>
              <w:rPr>
                <w:rFonts w:ascii="Arial" w:hAnsi="Arial" w:cs="Arial"/>
                <w:sz w:val="16"/>
                <w:szCs w:val="16"/>
              </w:rPr>
            </w:pPr>
            <w:r w:rsidRPr="00B71EB0">
              <w:rPr>
                <w:rFonts w:ascii="Arial" w:eastAsia="Arial" w:hAnsi="Arial" w:cs="Arial"/>
                <w:sz w:val="16"/>
                <w:szCs w:val="16"/>
                <w:lang w:val="en-US" w:eastAsia="zh-CN"/>
              </w:rPr>
              <w:t>C10228 C10238 C10286 C10305</w:t>
            </w:r>
            <w:r>
              <w:rPr>
                <w:rFonts w:ascii="Arial" w:eastAsia="Arial" w:hAnsi="Arial" w:cs="Arial"/>
                <w:sz w:val="16"/>
                <w:szCs w:val="16"/>
                <w:lang w:val="en-US" w:eastAsia="zh-CN"/>
              </w:rPr>
              <w:t xml:space="preserve"> </w:t>
            </w:r>
            <w:r w:rsidRPr="00802FC7">
              <w:rPr>
                <w:rFonts w:ascii="Arial" w:eastAsia="Arial" w:hAnsi="Arial" w:cs="Arial"/>
                <w:sz w:val="16"/>
                <w:szCs w:val="16"/>
                <w:lang w:val="en-US" w:eastAsia="zh-CN"/>
              </w:rPr>
              <w:t>C10722 C10724 C10725 C10728 C10795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Tablet 125 mg (as monohydrate)</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APO</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GX</w:t>
            </w:r>
          </w:p>
        </w:tc>
        <w:tc>
          <w:tcPr>
            <w:tcW w:w="477"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r w:rsidR="00802FC7">
              <w:rPr>
                <w:rFonts w:ascii="Arial" w:hAnsi="Arial" w:cs="Arial"/>
                <w:sz w:val="16"/>
                <w:szCs w:val="16"/>
              </w:rPr>
              <w:t xml:space="preserve"> </w:t>
            </w:r>
            <w:r w:rsidR="00802FC7" w:rsidRPr="00025445">
              <w:rPr>
                <w:rFonts w:ascii="Arial" w:eastAsia="Arial" w:hAnsi="Arial" w:cs="Arial"/>
                <w:sz w:val="16"/>
                <w:szCs w:val="16"/>
                <w:lang w:val="en-US" w:eastAsia="zh-CN"/>
              </w:rPr>
              <w:t>C10722 C10724 C10725 C10728 C10795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BOSENTAN DR. REDDY</w:t>
            </w:r>
            <w:r w:rsidR="00A653CA">
              <w:rPr>
                <w:rFonts w:ascii="Arial" w:hAnsi="Arial" w:cs="Arial"/>
                <w:sz w:val="16"/>
                <w:szCs w:val="16"/>
              </w:rPr>
              <w:t>’</w:t>
            </w:r>
            <w:r w:rsidRPr="00E106BD">
              <w:rPr>
                <w:rFonts w:ascii="Arial" w:hAnsi="Arial" w:cs="Arial"/>
                <w:sz w:val="16"/>
                <w:szCs w:val="16"/>
              </w:rPr>
              <w:t>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RI</w:t>
            </w:r>
          </w:p>
        </w:tc>
        <w:tc>
          <w:tcPr>
            <w:tcW w:w="477" w:type="pct"/>
          </w:tcPr>
          <w:p w:rsidR="00990B01" w:rsidRPr="00E106BD" w:rsidRDefault="00802FC7" w:rsidP="00D95184">
            <w:pPr>
              <w:rPr>
                <w:rFonts w:ascii="Arial" w:hAnsi="Arial" w:cs="Arial"/>
                <w:sz w:val="16"/>
                <w:szCs w:val="16"/>
              </w:rPr>
            </w:pPr>
            <w:r>
              <w:rPr>
                <w:rFonts w:ascii="Arial" w:hAnsi="Arial" w:cs="Arial"/>
                <w:sz w:val="16"/>
                <w:szCs w:val="16"/>
              </w:rPr>
              <w:t xml:space="preserve">C10228 C10286 C10305 </w:t>
            </w:r>
            <w:r w:rsidRPr="00025445">
              <w:rPr>
                <w:rFonts w:ascii="Arial" w:eastAsia="Arial" w:hAnsi="Arial" w:cs="Arial"/>
                <w:sz w:val="16"/>
                <w:szCs w:val="16"/>
                <w:lang w:val="en-US" w:eastAsia="zh-CN"/>
              </w:rPr>
              <w:t>C10722 C10724 C10725 C10728 C10795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GH</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GQ</w:t>
            </w:r>
          </w:p>
        </w:tc>
        <w:tc>
          <w:tcPr>
            <w:tcW w:w="477" w:type="pct"/>
          </w:tcPr>
          <w:p w:rsidR="00990B01" w:rsidRPr="00E106BD" w:rsidDel="004B5277" w:rsidRDefault="00802FC7" w:rsidP="00D95184">
            <w:pPr>
              <w:rPr>
                <w:rFonts w:ascii="Arial" w:hAnsi="Arial" w:cs="Arial"/>
                <w:sz w:val="16"/>
                <w:szCs w:val="16"/>
              </w:rPr>
            </w:pPr>
            <w:r>
              <w:rPr>
                <w:rFonts w:ascii="Arial" w:hAnsi="Arial" w:cs="Arial"/>
                <w:sz w:val="16"/>
                <w:szCs w:val="16"/>
              </w:rPr>
              <w:t xml:space="preserve">C10228 C10286 C10305 </w:t>
            </w:r>
            <w:r w:rsidRPr="00025445">
              <w:rPr>
                <w:rFonts w:ascii="Arial" w:eastAsia="Arial" w:hAnsi="Arial" w:cs="Arial"/>
                <w:sz w:val="16"/>
                <w:szCs w:val="16"/>
                <w:lang w:val="en-US" w:eastAsia="zh-CN"/>
              </w:rPr>
              <w:t>C10722 C10724 C10725 C10728 C10795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Mylan</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AF</w:t>
            </w:r>
          </w:p>
        </w:tc>
        <w:tc>
          <w:tcPr>
            <w:tcW w:w="477" w:type="pct"/>
          </w:tcPr>
          <w:p w:rsidR="00990B01" w:rsidRPr="00E106BD" w:rsidDel="004B5277" w:rsidRDefault="00802FC7" w:rsidP="00D95184">
            <w:pPr>
              <w:rPr>
                <w:rFonts w:ascii="Arial" w:hAnsi="Arial" w:cs="Arial"/>
                <w:sz w:val="16"/>
                <w:szCs w:val="16"/>
              </w:rPr>
            </w:pPr>
            <w:r>
              <w:rPr>
                <w:rFonts w:ascii="Arial" w:hAnsi="Arial" w:cs="Arial"/>
                <w:sz w:val="16"/>
                <w:szCs w:val="16"/>
              </w:rPr>
              <w:t xml:space="preserve">C10228 C10286 C10305 </w:t>
            </w:r>
            <w:r w:rsidRPr="00025445">
              <w:rPr>
                <w:rFonts w:ascii="Arial" w:eastAsia="Arial" w:hAnsi="Arial" w:cs="Arial"/>
                <w:sz w:val="16"/>
                <w:szCs w:val="16"/>
                <w:lang w:val="en-US" w:eastAsia="zh-CN"/>
              </w:rPr>
              <w:t>C10722 C10724 C10725 C10728 C10795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RBX</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RA</w:t>
            </w:r>
          </w:p>
        </w:tc>
        <w:tc>
          <w:tcPr>
            <w:tcW w:w="477" w:type="pct"/>
          </w:tcPr>
          <w:p w:rsidR="00990B01" w:rsidRPr="00E106BD" w:rsidDel="004B5277" w:rsidRDefault="00802FC7" w:rsidP="00D95184">
            <w:pPr>
              <w:rPr>
                <w:rFonts w:ascii="Arial" w:hAnsi="Arial" w:cs="Arial"/>
                <w:sz w:val="16"/>
                <w:szCs w:val="16"/>
              </w:rPr>
            </w:pPr>
            <w:r>
              <w:rPr>
                <w:rFonts w:ascii="Arial" w:hAnsi="Arial" w:cs="Arial"/>
                <w:sz w:val="16"/>
                <w:szCs w:val="16"/>
              </w:rPr>
              <w:t xml:space="preserve">C10228 C10286 C10305 </w:t>
            </w:r>
            <w:r w:rsidRPr="00025445">
              <w:rPr>
                <w:rFonts w:ascii="Arial" w:eastAsia="Arial" w:hAnsi="Arial" w:cs="Arial"/>
                <w:sz w:val="16"/>
                <w:szCs w:val="16"/>
                <w:lang w:val="en-US" w:eastAsia="zh-CN"/>
              </w:rPr>
              <w:t>C10722 C10724 C10725 C10728 C10795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Sandoz</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Del="004B5277" w:rsidRDefault="00802FC7" w:rsidP="00D95184">
            <w:pPr>
              <w:rPr>
                <w:rFonts w:ascii="Arial" w:hAnsi="Arial" w:cs="Arial"/>
                <w:sz w:val="16"/>
                <w:szCs w:val="16"/>
              </w:rPr>
            </w:pPr>
            <w:r>
              <w:rPr>
                <w:rFonts w:ascii="Arial" w:hAnsi="Arial" w:cs="Arial"/>
                <w:sz w:val="16"/>
                <w:szCs w:val="16"/>
              </w:rPr>
              <w:t xml:space="preserve">C10228 C10286 C10305 </w:t>
            </w:r>
            <w:r w:rsidRPr="00025445">
              <w:rPr>
                <w:rFonts w:ascii="Arial" w:eastAsia="Arial" w:hAnsi="Arial" w:cs="Arial"/>
                <w:sz w:val="16"/>
                <w:szCs w:val="16"/>
                <w:lang w:val="en-US" w:eastAsia="zh-CN"/>
              </w:rPr>
              <w:t>C10722 C10724 C10725 C10728 C10795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BOSLEER</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RW</w:t>
            </w:r>
          </w:p>
        </w:tc>
        <w:tc>
          <w:tcPr>
            <w:tcW w:w="477" w:type="pct"/>
          </w:tcPr>
          <w:p w:rsidR="00990B01" w:rsidRPr="00E106BD" w:rsidDel="004B5277" w:rsidRDefault="00802FC7" w:rsidP="00D95184">
            <w:pPr>
              <w:rPr>
                <w:rFonts w:ascii="Arial" w:hAnsi="Arial" w:cs="Arial"/>
                <w:sz w:val="16"/>
                <w:szCs w:val="16"/>
              </w:rPr>
            </w:pPr>
            <w:r>
              <w:rPr>
                <w:rFonts w:ascii="Arial" w:hAnsi="Arial" w:cs="Arial"/>
                <w:sz w:val="16"/>
                <w:szCs w:val="16"/>
              </w:rPr>
              <w:t xml:space="preserve">C10228 C10286 C10305 </w:t>
            </w:r>
            <w:r w:rsidRPr="00025445">
              <w:rPr>
                <w:rFonts w:ascii="Arial" w:eastAsia="Arial" w:hAnsi="Arial" w:cs="Arial"/>
                <w:sz w:val="16"/>
                <w:szCs w:val="16"/>
                <w:lang w:val="en-US" w:eastAsia="zh-CN"/>
              </w:rPr>
              <w:t>C10722 C10724 C10725 C10728 C10795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Tracleer</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Del="004B5277" w:rsidRDefault="00802FC7" w:rsidP="00D95184">
            <w:pPr>
              <w:rPr>
                <w:rFonts w:ascii="Arial" w:hAnsi="Arial" w:cs="Arial"/>
                <w:sz w:val="16"/>
                <w:szCs w:val="16"/>
              </w:rPr>
            </w:pPr>
            <w:r>
              <w:rPr>
                <w:rFonts w:ascii="Arial" w:hAnsi="Arial" w:cs="Arial"/>
                <w:sz w:val="16"/>
                <w:szCs w:val="16"/>
              </w:rPr>
              <w:t xml:space="preserve">C10228 C10286 C10305 </w:t>
            </w:r>
            <w:r w:rsidRPr="00025445">
              <w:rPr>
                <w:rFonts w:ascii="Arial" w:eastAsia="Arial" w:hAnsi="Arial" w:cs="Arial"/>
                <w:sz w:val="16"/>
                <w:szCs w:val="16"/>
                <w:lang w:val="en-US" w:eastAsia="zh-CN"/>
              </w:rPr>
              <w:t>C10722 C10724 C10725 C10728 C10795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Ciclosporin</w:t>
            </w: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Capsule 10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 10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Capsule 25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Cyclosporin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 25</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Capsule 50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Cyclosporin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 50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Capsule 100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Cyclosporin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 100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 liquid 100 mg per mL, 50 mL</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Solution concentrate for I.V. infusion 50 mg in 1 mL</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Sandimmun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C6628 C9831</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Cinacalcet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 mg (as hydrochloride)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Pharmacor Cinacalcet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CR</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C10063 C10067 C10073</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60 mg (as hydrochloride)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Pharmacor Cinacalcet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CR</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C10063 C10067 C10073</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RDefault="00990B01">
            <w:pPr>
              <w:rPr>
                <w:rFonts w:ascii="Arial" w:hAnsi="Arial" w:cs="Arial"/>
                <w:sz w:val="16"/>
                <w:szCs w:val="16"/>
              </w:rPr>
            </w:pPr>
            <w:r w:rsidRPr="00E106BD">
              <w:rPr>
                <w:rFonts w:ascii="Arial" w:hAnsi="Arial" w:cs="Arial"/>
                <w:sz w:val="16"/>
                <w:szCs w:val="16"/>
              </w:rPr>
              <w:t>Tablet 90 mg (as hydrochloride)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Pharmacor Cinacalcet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CR</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C10063 C10067 C10073</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A05559" w:rsidTr="00802FC7">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Clozapine</w:t>
            </w: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Tablet 25 mg</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25</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24"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802FC7">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p>
        </w:tc>
        <w:tc>
          <w:tcPr>
            <w:tcW w:w="365" w:type="pct"/>
          </w:tcPr>
          <w:p w:rsidR="00990B01" w:rsidRPr="00E106BD" w:rsidDel="00A05559" w:rsidRDefault="00990B01" w:rsidP="004E4760">
            <w:pPr>
              <w:rPr>
                <w:rFonts w:ascii="Arial" w:hAnsi="Arial" w:cs="Arial"/>
                <w:sz w:val="16"/>
                <w:szCs w:val="16"/>
              </w:rPr>
            </w:pP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Clozaril 25</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GO</w:t>
            </w:r>
          </w:p>
        </w:tc>
        <w:tc>
          <w:tcPr>
            <w:tcW w:w="477"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24"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802FC7">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Tablet 50 mg</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50</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24"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802FC7">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Tablet 100 mg</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100</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24"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802FC7">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p>
        </w:tc>
        <w:tc>
          <w:tcPr>
            <w:tcW w:w="365" w:type="pct"/>
          </w:tcPr>
          <w:p w:rsidR="00990B01" w:rsidRPr="00E106BD" w:rsidDel="00A05559" w:rsidRDefault="00990B01" w:rsidP="004E4760">
            <w:pPr>
              <w:rPr>
                <w:rFonts w:ascii="Arial" w:hAnsi="Arial" w:cs="Arial"/>
                <w:sz w:val="16"/>
                <w:szCs w:val="16"/>
              </w:rPr>
            </w:pP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Clozaril 100</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GO</w:t>
            </w:r>
          </w:p>
        </w:tc>
        <w:tc>
          <w:tcPr>
            <w:tcW w:w="477"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24"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802FC7">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Tablet 200 mg</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200</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24"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802FC7">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 liquid 50 mg per mL, 100 mL</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Suspension</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24"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802FC7">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Versacloz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C4998 C5015 C9490</w:t>
            </w:r>
          </w:p>
        </w:tc>
        <w:tc>
          <w:tcPr>
            <w:tcW w:w="424" w:type="pct"/>
          </w:tcPr>
          <w:p w:rsidR="00990B01" w:rsidRPr="00E106BD" w:rsidDel="00A05559"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Darbepoetin Alfa</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 micrograms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 micrograms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 micrograms in 0.5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8F2CAA">
            <w:pPr>
              <w:keepNext/>
              <w:keepLines/>
              <w:rPr>
                <w:rFonts w:ascii="Arial" w:hAnsi="Arial" w:cs="Arial"/>
                <w:sz w:val="16"/>
                <w:szCs w:val="16"/>
              </w:rPr>
            </w:pPr>
          </w:p>
        </w:tc>
        <w:tc>
          <w:tcPr>
            <w:tcW w:w="943"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Injection 30 micrograms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AE63FE">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AE63FE">
            <w:pPr>
              <w:rPr>
                <w:rFonts w:ascii="Arial" w:hAnsi="Arial" w:cs="Arial"/>
                <w:sz w:val="16"/>
                <w:szCs w:val="16"/>
              </w:rPr>
            </w:pPr>
          </w:p>
        </w:tc>
        <w:tc>
          <w:tcPr>
            <w:tcW w:w="344"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 micrograms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 micrograms in 0.4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 micrograms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 micrograms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 micrograms in 0.3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80 micrograms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80 micrograms in 0.4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 micrograms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 micrograms in 0.5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150 micrograms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150 micrograms in 0.3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Darunavir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150 mg (as ethanolate)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Prezista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C5094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240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Tablet 600 mg (as ethanolate)</w:t>
            </w:r>
          </w:p>
        </w:tc>
        <w:tc>
          <w:tcPr>
            <w:tcW w:w="365"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Prezista</w:t>
            </w:r>
          </w:p>
        </w:tc>
        <w:tc>
          <w:tcPr>
            <w:tcW w:w="220"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C5094</w:t>
            </w:r>
          </w:p>
        </w:tc>
        <w:tc>
          <w:tcPr>
            <w:tcW w:w="424" w:type="pct"/>
            <w:vAlign w:val="center"/>
          </w:tcPr>
          <w:p w:rsidR="00990B01" w:rsidRPr="00E106BD" w:rsidRDefault="00990B01" w:rsidP="004E4760">
            <w:pPr>
              <w:rPr>
                <w:rFonts w:ascii="Arial" w:hAnsi="Arial" w:cs="Arial"/>
                <w:sz w:val="16"/>
                <w:szCs w:val="16"/>
              </w:rPr>
            </w:pPr>
          </w:p>
        </w:tc>
        <w:tc>
          <w:tcPr>
            <w:tcW w:w="344"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Tablet 800mg (as ethanolate)</w:t>
            </w:r>
          </w:p>
        </w:tc>
        <w:tc>
          <w:tcPr>
            <w:tcW w:w="365"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Prezista</w:t>
            </w:r>
          </w:p>
        </w:tc>
        <w:tc>
          <w:tcPr>
            <w:tcW w:w="220"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vAlign w:val="center"/>
          </w:tcPr>
          <w:p w:rsidR="00990B01" w:rsidRPr="00E106BD" w:rsidRDefault="00990B01">
            <w:pPr>
              <w:rPr>
                <w:rFonts w:ascii="Arial" w:hAnsi="Arial" w:cs="Arial"/>
                <w:sz w:val="16"/>
                <w:szCs w:val="16"/>
              </w:rPr>
            </w:pPr>
            <w:r w:rsidRPr="00E106BD">
              <w:rPr>
                <w:rFonts w:ascii="Arial" w:hAnsi="Arial" w:cs="Arial"/>
                <w:sz w:val="16"/>
                <w:szCs w:val="16"/>
              </w:rPr>
              <w:t>C4313</w:t>
            </w:r>
          </w:p>
        </w:tc>
        <w:tc>
          <w:tcPr>
            <w:tcW w:w="424" w:type="pct"/>
            <w:vAlign w:val="center"/>
          </w:tcPr>
          <w:p w:rsidR="00990B01" w:rsidRPr="00E106BD" w:rsidRDefault="00990B01" w:rsidP="004E4760">
            <w:pPr>
              <w:rPr>
                <w:rFonts w:ascii="Arial" w:hAnsi="Arial" w:cs="Arial"/>
                <w:sz w:val="16"/>
                <w:szCs w:val="16"/>
              </w:rPr>
            </w:pPr>
          </w:p>
        </w:tc>
        <w:tc>
          <w:tcPr>
            <w:tcW w:w="344"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Darunavir with cobicistat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darunavir 800mg with cobicistat 150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Prezcobix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C6377 C6413 C6428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eastAsia="Arial" w:hAnsi="Arial" w:cs="Arial"/>
                <w:sz w:val="16"/>
                <w:szCs w:val="22"/>
                <w:lang w:eastAsia="zh-CN"/>
              </w:rPr>
              <w:t>Darunavir with cobicistat, emtricitabine and tenofovir alafenamide</w:t>
            </w:r>
          </w:p>
        </w:tc>
        <w:tc>
          <w:tcPr>
            <w:tcW w:w="943" w:type="pct"/>
          </w:tcPr>
          <w:p w:rsidR="00990B01" w:rsidRPr="00E106BD" w:rsidRDefault="00990B01" w:rsidP="004E4760">
            <w:pPr>
              <w:rPr>
                <w:rFonts w:ascii="Arial" w:hAnsi="Arial" w:cs="Arial"/>
                <w:sz w:val="16"/>
                <w:szCs w:val="16"/>
              </w:rPr>
            </w:pPr>
            <w:r w:rsidRPr="00E106BD">
              <w:rPr>
                <w:rFonts w:ascii="Arial" w:eastAsia="Arial" w:hAnsi="Arial" w:cs="Arial"/>
                <w:sz w:val="16"/>
                <w:szCs w:val="22"/>
                <w:lang w:eastAsia="zh-CN"/>
              </w:rPr>
              <w:t xml:space="preserve">Tablet containing darunavir </w:t>
            </w:r>
            <w:r w:rsidRPr="00E106BD">
              <w:rPr>
                <w:rFonts w:ascii="Arial" w:eastAsia="Arial" w:hAnsi="Arial" w:cs="Arial"/>
                <w:sz w:val="16"/>
                <w:szCs w:val="22"/>
                <w:lang w:eastAsia="zh-CN"/>
              </w:rPr>
              <w:br/>
              <w:t>800 mg with cobicistat 150 mg, emtricitabine 200 mg and tenofovir alafenamide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eastAsia="Arial" w:hAnsi="Arial" w:cs="Arial"/>
                <w:sz w:val="16"/>
                <w:szCs w:val="22"/>
                <w:lang w:eastAsia="zh-CN"/>
              </w:rPr>
              <w:t>Symtuza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pPr>
              <w:rPr>
                <w:rFonts w:ascii="Arial" w:hAnsi="Arial" w:cs="Arial"/>
                <w:sz w:val="16"/>
                <w:szCs w:val="16"/>
              </w:rPr>
            </w:pPr>
            <w:r w:rsidRPr="00E106BD">
              <w:rPr>
                <w:rFonts w:ascii="Arial" w:eastAsia="Arial" w:hAnsi="Arial" w:cs="Arial"/>
                <w:sz w:val="16"/>
                <w:szCs w:val="22"/>
                <w:lang w:eastAsia="zh-CN"/>
              </w:rPr>
              <w:t>C10317 C10324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Deferasirox</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90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Jadenu</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NM</w:t>
            </w:r>
          </w:p>
        </w:tc>
        <w:tc>
          <w:tcPr>
            <w:tcW w:w="477"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24" w:type="pct"/>
          </w:tcPr>
          <w:p w:rsidR="00990B01" w:rsidRPr="00E106BD" w:rsidRDefault="00990B01" w:rsidP="0067040B">
            <w:pPr>
              <w:rPr>
                <w:rFonts w:ascii="Arial" w:hAnsi="Arial" w:cs="Arial"/>
                <w:sz w:val="16"/>
                <w:szCs w:val="16"/>
              </w:rPr>
            </w:pPr>
            <w:r w:rsidRPr="00E106BD">
              <w:rPr>
                <w:rFonts w:ascii="Arial" w:hAnsi="Arial" w:cs="Arial"/>
                <w:sz w:val="16"/>
                <w:szCs w:val="16"/>
              </w:rPr>
              <w:t>P7385 P8326 P8328 P8329 P9222 P9258 P9302</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77"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24" w:type="pct"/>
          </w:tcPr>
          <w:p w:rsidR="00990B01" w:rsidRPr="00E106BD" w:rsidRDefault="00990B01" w:rsidP="004E4760">
            <w:pPr>
              <w:rPr>
                <w:rFonts w:ascii="Arial" w:hAnsi="Arial" w:cs="Arial"/>
                <w:sz w:val="16"/>
                <w:szCs w:val="16"/>
              </w:rPr>
            </w:pPr>
            <w:r w:rsidRPr="00E106BD">
              <w:rPr>
                <w:rFonts w:ascii="Arial" w:hAnsi="Arial" w:cs="Arial"/>
                <w:sz w:val="16"/>
                <w:szCs w:val="16"/>
              </w:rPr>
              <w:t>P7374 P7375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180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Jadenu</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NM</w:t>
            </w:r>
          </w:p>
        </w:tc>
        <w:tc>
          <w:tcPr>
            <w:tcW w:w="477"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24" w:type="pct"/>
          </w:tcPr>
          <w:p w:rsidR="00990B01" w:rsidRPr="00E106BD" w:rsidRDefault="00990B01" w:rsidP="0067040B">
            <w:pPr>
              <w:rPr>
                <w:rFonts w:ascii="Arial" w:hAnsi="Arial" w:cs="Arial"/>
                <w:sz w:val="16"/>
                <w:szCs w:val="16"/>
              </w:rPr>
            </w:pPr>
            <w:r w:rsidRPr="00E106BD">
              <w:rPr>
                <w:rFonts w:ascii="Arial" w:hAnsi="Arial" w:cs="Arial"/>
                <w:sz w:val="16"/>
                <w:szCs w:val="16"/>
              </w:rPr>
              <w:t>P7385 P8326 P8328 P8329 P9222 P9258 P9302</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77"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24" w:type="pct"/>
          </w:tcPr>
          <w:p w:rsidR="00990B01" w:rsidRPr="00E106BD" w:rsidRDefault="00990B01" w:rsidP="004E4760">
            <w:pPr>
              <w:rPr>
                <w:rFonts w:ascii="Arial" w:hAnsi="Arial" w:cs="Arial"/>
                <w:sz w:val="16"/>
                <w:szCs w:val="16"/>
              </w:rPr>
            </w:pPr>
            <w:r w:rsidRPr="00E106BD">
              <w:rPr>
                <w:rFonts w:ascii="Arial" w:hAnsi="Arial" w:cs="Arial"/>
                <w:sz w:val="16"/>
                <w:szCs w:val="16"/>
              </w:rPr>
              <w:t>P7374 P7375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360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Jadenu</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NM</w:t>
            </w:r>
          </w:p>
        </w:tc>
        <w:tc>
          <w:tcPr>
            <w:tcW w:w="477"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24" w:type="pct"/>
          </w:tcPr>
          <w:p w:rsidR="00990B01" w:rsidRPr="00E106BD" w:rsidRDefault="00990B01" w:rsidP="0067040B">
            <w:pPr>
              <w:rPr>
                <w:rFonts w:ascii="Arial" w:hAnsi="Arial" w:cs="Arial"/>
                <w:sz w:val="16"/>
                <w:szCs w:val="16"/>
              </w:rPr>
            </w:pPr>
            <w:r w:rsidRPr="00E106BD">
              <w:rPr>
                <w:rFonts w:ascii="Arial" w:hAnsi="Arial" w:cs="Arial"/>
                <w:sz w:val="16"/>
                <w:szCs w:val="16"/>
              </w:rPr>
              <w:t>P7385 P8326 P8328 P8329 P9222 P9258 P9302</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77"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24" w:type="pct"/>
          </w:tcPr>
          <w:p w:rsidR="00990B01" w:rsidRPr="00E106BD" w:rsidRDefault="00990B01" w:rsidP="004E4760">
            <w:pPr>
              <w:rPr>
                <w:rFonts w:ascii="Arial" w:hAnsi="Arial" w:cs="Arial"/>
                <w:sz w:val="16"/>
                <w:szCs w:val="16"/>
              </w:rPr>
            </w:pPr>
            <w:r w:rsidRPr="00E106BD">
              <w:rPr>
                <w:rFonts w:ascii="Arial" w:hAnsi="Arial" w:cs="Arial"/>
                <w:sz w:val="16"/>
                <w:szCs w:val="16"/>
              </w:rPr>
              <w:t>P7374 P7375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Deferiprone</w:t>
            </w: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Tablet 500 mg</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Ferriprox</w:t>
            </w:r>
          </w:p>
        </w:tc>
        <w:tc>
          <w:tcPr>
            <w:tcW w:w="220" w:type="pct"/>
          </w:tcPr>
          <w:p w:rsidR="00990B01" w:rsidRPr="00E106BD" w:rsidRDefault="00195FBD">
            <w:pPr>
              <w:keepNext/>
              <w:rPr>
                <w:rFonts w:ascii="Arial" w:hAnsi="Arial" w:cs="Arial"/>
                <w:sz w:val="16"/>
                <w:szCs w:val="16"/>
              </w:rPr>
            </w:pPr>
            <w:r>
              <w:rPr>
                <w:rFonts w:ascii="Arial" w:hAnsi="Arial" w:cs="Arial"/>
                <w:sz w:val="16"/>
                <w:szCs w:val="16"/>
              </w:rPr>
              <w:t>EU</w:t>
            </w:r>
          </w:p>
        </w:tc>
        <w:tc>
          <w:tcPr>
            <w:tcW w:w="477" w:type="pct"/>
          </w:tcPr>
          <w:p w:rsidR="00990B01" w:rsidRPr="00E106BD" w:rsidRDefault="00990B01" w:rsidP="00FD61BC">
            <w:pPr>
              <w:keepNext/>
              <w:rPr>
                <w:rFonts w:ascii="Arial" w:hAnsi="Arial" w:cs="Arial"/>
                <w:sz w:val="16"/>
                <w:szCs w:val="16"/>
              </w:rPr>
            </w:pPr>
            <w:r w:rsidRPr="00E106BD">
              <w:rPr>
                <w:rFonts w:ascii="Arial" w:hAnsi="Arial" w:cs="Arial"/>
                <w:sz w:val="16"/>
                <w:szCs w:val="16"/>
              </w:rPr>
              <w:t>C6403 C6448 C9228 C9286</w:t>
            </w:r>
          </w:p>
        </w:tc>
        <w:tc>
          <w:tcPr>
            <w:tcW w:w="424"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300</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Tablet 1000 mg</w:t>
            </w:r>
          </w:p>
        </w:tc>
        <w:tc>
          <w:tcPr>
            <w:tcW w:w="365"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Oral</w:t>
            </w:r>
          </w:p>
        </w:tc>
        <w:tc>
          <w:tcPr>
            <w:tcW w:w="374"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Ferriprox</w:t>
            </w:r>
          </w:p>
        </w:tc>
        <w:tc>
          <w:tcPr>
            <w:tcW w:w="220" w:type="pct"/>
          </w:tcPr>
          <w:p w:rsidR="00990B01" w:rsidRPr="00E106BD" w:rsidRDefault="00195FBD">
            <w:pPr>
              <w:keepNext/>
              <w:rPr>
                <w:rFonts w:ascii="Arial" w:hAnsi="Arial" w:cs="Arial"/>
                <w:sz w:val="16"/>
                <w:szCs w:val="16"/>
              </w:rPr>
            </w:pPr>
            <w:r>
              <w:rPr>
                <w:rFonts w:ascii="Arial" w:eastAsia="Arial" w:hAnsi="Arial" w:cs="Arial"/>
                <w:sz w:val="16"/>
                <w:szCs w:val="22"/>
                <w:lang w:eastAsia="zh-CN"/>
              </w:rPr>
              <w:t>EU</w:t>
            </w:r>
          </w:p>
        </w:tc>
        <w:tc>
          <w:tcPr>
            <w:tcW w:w="477" w:type="pct"/>
          </w:tcPr>
          <w:p w:rsidR="00990B01" w:rsidRPr="00E106BD" w:rsidRDefault="00990B01">
            <w:pPr>
              <w:keepNext/>
              <w:rPr>
                <w:rFonts w:ascii="Arial" w:hAnsi="Arial" w:cs="Arial"/>
                <w:sz w:val="16"/>
                <w:szCs w:val="16"/>
              </w:rPr>
            </w:pPr>
            <w:r w:rsidRPr="00E106BD">
              <w:rPr>
                <w:rFonts w:ascii="Arial" w:eastAsia="Arial" w:hAnsi="Arial" w:cs="Arial"/>
                <w:sz w:val="16"/>
                <w:szCs w:val="22"/>
                <w:lang w:eastAsia="zh-CN"/>
              </w:rPr>
              <w:t>C6403 C6448 C9590 C9623</w:t>
            </w:r>
          </w:p>
        </w:tc>
        <w:tc>
          <w:tcPr>
            <w:tcW w:w="424"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300</w:t>
            </w:r>
          </w:p>
        </w:tc>
        <w:tc>
          <w:tcPr>
            <w:tcW w:w="297"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F97BC0">
            <w:pPr>
              <w:rPr>
                <w:rFonts w:ascii="Arial" w:hAnsi="Arial" w:cs="Arial"/>
                <w:sz w:val="16"/>
                <w:szCs w:val="16"/>
              </w:rPr>
            </w:pPr>
          </w:p>
        </w:tc>
        <w:tc>
          <w:tcPr>
            <w:tcW w:w="943" w:type="pct"/>
          </w:tcPr>
          <w:p w:rsidR="00990B01" w:rsidRPr="00E106BD" w:rsidRDefault="00990B01" w:rsidP="00F97BC0">
            <w:pPr>
              <w:rPr>
                <w:rFonts w:ascii="Arial" w:hAnsi="Arial" w:cs="Arial"/>
                <w:sz w:val="16"/>
                <w:szCs w:val="16"/>
              </w:rPr>
            </w:pPr>
            <w:r w:rsidRPr="00E106BD">
              <w:rPr>
                <w:rFonts w:ascii="Arial" w:hAnsi="Arial" w:cs="Arial"/>
                <w:sz w:val="16"/>
                <w:szCs w:val="16"/>
              </w:rPr>
              <w:t>Oral solution 100 mg per mL, 250 mL</w:t>
            </w:r>
          </w:p>
        </w:tc>
        <w:tc>
          <w:tcPr>
            <w:tcW w:w="365" w:type="pct"/>
          </w:tcPr>
          <w:p w:rsidR="00990B01" w:rsidRPr="00E106BD" w:rsidRDefault="00990B01" w:rsidP="00F97BC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F97BC0">
            <w:pPr>
              <w:rPr>
                <w:rFonts w:ascii="Arial" w:hAnsi="Arial" w:cs="Arial"/>
                <w:sz w:val="16"/>
                <w:szCs w:val="16"/>
              </w:rPr>
            </w:pPr>
            <w:r w:rsidRPr="00E106BD">
              <w:rPr>
                <w:rFonts w:ascii="Arial" w:hAnsi="Arial" w:cs="Arial"/>
                <w:sz w:val="16"/>
                <w:szCs w:val="16"/>
              </w:rPr>
              <w:t>Ferriprox</w:t>
            </w:r>
          </w:p>
        </w:tc>
        <w:tc>
          <w:tcPr>
            <w:tcW w:w="220" w:type="pct"/>
          </w:tcPr>
          <w:p w:rsidR="00990B01" w:rsidRPr="00E106BD" w:rsidRDefault="00195FBD" w:rsidP="00332E33">
            <w:pPr>
              <w:rPr>
                <w:rFonts w:ascii="Arial" w:hAnsi="Arial" w:cs="Arial"/>
                <w:sz w:val="16"/>
                <w:szCs w:val="16"/>
              </w:rPr>
            </w:pPr>
            <w:r>
              <w:rPr>
                <w:rFonts w:ascii="Arial" w:hAnsi="Arial" w:cs="Arial"/>
                <w:sz w:val="16"/>
                <w:szCs w:val="16"/>
              </w:rPr>
              <w:t>EU</w:t>
            </w:r>
          </w:p>
        </w:tc>
        <w:tc>
          <w:tcPr>
            <w:tcW w:w="477" w:type="pct"/>
          </w:tcPr>
          <w:p w:rsidR="00990B01" w:rsidRPr="00E106BD" w:rsidRDefault="00990B01" w:rsidP="00F97BC0">
            <w:pPr>
              <w:rPr>
                <w:rFonts w:ascii="Arial" w:hAnsi="Arial" w:cs="Arial"/>
                <w:sz w:val="16"/>
                <w:szCs w:val="16"/>
              </w:rPr>
            </w:pPr>
            <w:r w:rsidRPr="00E106BD">
              <w:rPr>
                <w:rFonts w:ascii="Arial" w:hAnsi="Arial" w:cs="Arial"/>
                <w:sz w:val="16"/>
                <w:szCs w:val="16"/>
              </w:rPr>
              <w:t>C6403 C6448 C9228 C9286</w:t>
            </w:r>
          </w:p>
        </w:tc>
        <w:tc>
          <w:tcPr>
            <w:tcW w:w="424" w:type="pct"/>
          </w:tcPr>
          <w:p w:rsidR="00990B01" w:rsidRPr="00E106BD" w:rsidRDefault="00990B01" w:rsidP="00F97BC0">
            <w:pPr>
              <w:rPr>
                <w:rFonts w:ascii="Arial" w:hAnsi="Arial" w:cs="Arial"/>
                <w:sz w:val="16"/>
                <w:szCs w:val="16"/>
              </w:rPr>
            </w:pPr>
          </w:p>
        </w:tc>
        <w:tc>
          <w:tcPr>
            <w:tcW w:w="344" w:type="pct"/>
          </w:tcPr>
          <w:p w:rsidR="00990B01" w:rsidRPr="00E106BD" w:rsidRDefault="00990B01" w:rsidP="00F97BC0">
            <w:pPr>
              <w:rPr>
                <w:rFonts w:ascii="Arial" w:hAnsi="Arial" w:cs="Arial"/>
                <w:sz w:val="16"/>
                <w:szCs w:val="16"/>
              </w:rPr>
            </w:pPr>
            <w:r w:rsidRPr="00E106BD">
              <w:rPr>
                <w:rFonts w:ascii="Arial" w:hAnsi="Arial" w:cs="Arial"/>
                <w:sz w:val="16"/>
                <w:szCs w:val="16"/>
              </w:rPr>
              <w:t>5</w:t>
            </w:r>
          </w:p>
        </w:tc>
        <w:tc>
          <w:tcPr>
            <w:tcW w:w="297" w:type="pct"/>
          </w:tcPr>
          <w:p w:rsidR="00990B01" w:rsidRPr="00E106BD" w:rsidRDefault="00990B01" w:rsidP="00F97BC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F97BC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Desferrioxamine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injection containing desferrioxamine mesilate 500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332E33" w:rsidRDefault="00195FBD" w:rsidP="004E4760">
            <w:pPr>
              <w:rPr>
                <w:rFonts w:ascii="Arial" w:hAnsi="Arial" w:cs="Arial"/>
                <w:sz w:val="16"/>
                <w:szCs w:val="16"/>
              </w:rPr>
            </w:pPr>
            <w:r w:rsidRPr="007A1479">
              <w:rPr>
                <w:rFonts w:ascii="Arial" w:hAnsi="Arial" w:cs="Arial"/>
                <w:sz w:val="16"/>
                <w:szCs w:val="16"/>
              </w:rPr>
              <w:t>DBL Desferrioxamine Mesilate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C6394 C9696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400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injection containing desferrioxamine mesilate 2 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332E33" w:rsidDel="00CB00DF" w:rsidRDefault="00195FBD" w:rsidP="004E4760">
            <w:pPr>
              <w:rPr>
                <w:rFonts w:ascii="Arial" w:hAnsi="Arial" w:cs="Arial"/>
                <w:sz w:val="16"/>
                <w:szCs w:val="16"/>
              </w:rPr>
            </w:pPr>
            <w:r w:rsidRPr="007A1479">
              <w:rPr>
                <w:rFonts w:ascii="Arial" w:hAnsi="Arial" w:cs="Arial"/>
                <w:sz w:val="16"/>
                <w:szCs w:val="16"/>
              </w:rPr>
              <w:t>DBL Desferrioxamine Mesilate</w:t>
            </w:r>
          </w:p>
        </w:tc>
        <w:tc>
          <w:tcPr>
            <w:tcW w:w="220"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Del="00CB00DF" w:rsidRDefault="00990B01">
            <w:pPr>
              <w:rPr>
                <w:rFonts w:ascii="Arial" w:hAnsi="Arial" w:cs="Arial"/>
                <w:sz w:val="16"/>
                <w:szCs w:val="16"/>
              </w:rPr>
            </w:pPr>
            <w:r w:rsidRPr="00E106BD">
              <w:rPr>
                <w:rFonts w:ascii="Arial" w:hAnsi="Arial" w:cs="Arial"/>
                <w:sz w:val="16"/>
                <w:szCs w:val="16"/>
              </w:rPr>
              <w:t>C6394 C9696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Dolutegravir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50mg (as sodium)</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Tivicay</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 xml:space="preserve">C4454 C4512 </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Dolutegravir with abacavir and lamivudine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dolutegravir 50 mg with abacavir 600 mg and lamivudine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Triumeq</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C9981 C10116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Dolutegravir with lamivudine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Tablet containing dolutegravir </w:t>
            </w:r>
            <w:r w:rsidRPr="00E106BD">
              <w:rPr>
                <w:rFonts w:ascii="Arial" w:hAnsi="Arial" w:cs="Arial"/>
                <w:sz w:val="16"/>
                <w:szCs w:val="16"/>
              </w:rPr>
              <w:br/>
              <w:t>50 mg (as sodium) with lamivudine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Dovato</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Del="00AB1101" w:rsidRDefault="00990B01">
            <w:pPr>
              <w:rPr>
                <w:rFonts w:ascii="Arial" w:hAnsi="Arial" w:cs="Arial"/>
                <w:sz w:val="16"/>
                <w:szCs w:val="16"/>
              </w:rPr>
            </w:pPr>
            <w:r w:rsidRPr="00E106BD">
              <w:rPr>
                <w:rFonts w:ascii="Arial" w:hAnsi="Arial" w:cs="Arial"/>
                <w:sz w:val="16"/>
                <w:szCs w:val="16"/>
              </w:rPr>
              <w:t>C9909 C9934 C9987</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Dolutegravir with rilpivirine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dolutegravir 50 mg (as sodium) with rilpivirine 25 mg (as hydrochloride)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Juluca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C8214 C8226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Dornase Alfa</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Solution for inhalation 2.5 mg (2,500 units) in 2.5 mL</w:t>
            </w:r>
          </w:p>
        </w:tc>
        <w:tc>
          <w:tcPr>
            <w:tcW w:w="365" w:type="pct"/>
          </w:tcPr>
          <w:p w:rsidR="00990B01" w:rsidRPr="00E106BD" w:rsidRDefault="00990B01" w:rsidP="004E4760">
            <w:pPr>
              <w:rPr>
                <w:rFonts w:ascii="Arial" w:hAnsi="Arial" w:cs="Arial"/>
                <w:sz w:val="16"/>
                <w:szCs w:val="16"/>
              </w:rPr>
            </w:pPr>
            <w:r w:rsidRPr="00E106BD">
              <w:rPr>
                <w:rFonts w:ascii="Arial" w:eastAsia="Arial" w:hAnsi="Arial" w:cs="Arial"/>
                <w:sz w:val="16"/>
                <w:szCs w:val="16"/>
              </w:rPr>
              <w:t>Inhalation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Pulmozyme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C5634 C5635 C5740 C9591 C9592 C9624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eastAsia="Calibri"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Doxorubicin </w:t>
            </w:r>
            <w:r w:rsidR="00E106BD">
              <w:rPr>
                <w:rFonts w:ascii="Arial" w:hAnsi="Arial" w:cs="Arial"/>
                <w:sz w:val="16"/>
                <w:szCs w:val="16"/>
              </w:rPr>
              <w:noBreakHyphen/>
            </w:r>
            <w:r w:rsidRPr="00E106BD">
              <w:rPr>
                <w:rFonts w:ascii="Arial" w:hAnsi="Arial" w:cs="Arial"/>
                <w:sz w:val="16"/>
                <w:szCs w:val="16"/>
              </w:rPr>
              <w:t xml:space="preserve"> </w:t>
            </w:r>
            <w:r w:rsidRPr="00E106BD">
              <w:rPr>
                <w:rFonts w:ascii="Arial" w:hAnsi="Arial" w:cs="Arial"/>
                <w:sz w:val="16"/>
                <w:szCs w:val="16"/>
              </w:rPr>
              <w:br/>
              <w:t>Pegylated Liposomal</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Suspension for I.V. infusion containing pegylated liposomal doxorubicin hydrochloride 20 mg in 10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Caelyx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FD61BC">
            <w:pPr>
              <w:rPr>
                <w:rFonts w:ascii="Arial" w:hAnsi="Arial" w:cs="Arial"/>
                <w:sz w:val="16"/>
                <w:szCs w:val="16"/>
              </w:rPr>
            </w:pPr>
            <w:r w:rsidRPr="00E106BD">
              <w:rPr>
                <w:rFonts w:ascii="Arial" w:hAnsi="Arial" w:cs="Arial"/>
                <w:sz w:val="16"/>
                <w:szCs w:val="16"/>
              </w:rPr>
              <w:t>C6234 C6274 C9223 C9287</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Liposomal Doxorubicin SUN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RA</w:t>
            </w:r>
          </w:p>
        </w:tc>
        <w:tc>
          <w:tcPr>
            <w:tcW w:w="477" w:type="pct"/>
          </w:tcPr>
          <w:p w:rsidR="00990B01" w:rsidRPr="00E106BD" w:rsidRDefault="00990B01" w:rsidP="00FD61BC">
            <w:pPr>
              <w:rPr>
                <w:rFonts w:ascii="Arial" w:hAnsi="Arial" w:cs="Arial"/>
                <w:sz w:val="16"/>
                <w:szCs w:val="16"/>
              </w:rPr>
            </w:pPr>
            <w:r w:rsidRPr="00E106BD">
              <w:rPr>
                <w:rFonts w:ascii="Arial" w:hAnsi="Arial" w:cs="Arial"/>
                <w:sz w:val="16"/>
                <w:szCs w:val="16"/>
              </w:rPr>
              <w:t>C6234 C6274 C9223 C9287</w:t>
            </w:r>
          </w:p>
        </w:tc>
        <w:tc>
          <w:tcPr>
            <w:tcW w:w="424" w:type="pct"/>
          </w:tcPr>
          <w:p w:rsidR="00990B01" w:rsidRPr="00E106BD" w:rsidRDefault="00990B01" w:rsidP="004E4760">
            <w:pPr>
              <w:rPr>
                <w:rFonts w:ascii="Arial" w:hAnsi="Arial" w:cs="Arial"/>
                <w:sz w:val="16"/>
                <w:szCs w:val="16"/>
                <w:vertAlign w:val="subscript"/>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716E" w:rsidTr="00802FC7">
        <w:tblPrEx>
          <w:tblBorders>
            <w:top w:val="single" w:sz="4" w:space="0" w:color="auto"/>
          </w:tblBorders>
        </w:tblPrEx>
        <w:trPr>
          <w:cantSplit/>
          <w:tblCellSpacing w:w="22" w:type="dxa"/>
        </w:trPr>
        <w:tc>
          <w:tcPr>
            <w:tcW w:w="1050"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Eculizumab</w:t>
            </w:r>
          </w:p>
        </w:tc>
        <w:tc>
          <w:tcPr>
            <w:tcW w:w="94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Solution concentrate for I.V. infusion 300 mg in 30 mL</w:t>
            </w:r>
          </w:p>
        </w:tc>
        <w:tc>
          <w:tcPr>
            <w:tcW w:w="365"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Soliris</w:t>
            </w:r>
          </w:p>
        </w:tc>
        <w:tc>
          <w:tcPr>
            <w:tcW w:w="220"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XI</w:t>
            </w:r>
          </w:p>
        </w:tc>
        <w:tc>
          <w:tcPr>
            <w:tcW w:w="477" w:type="pct"/>
          </w:tcPr>
          <w:p w:rsidR="00990B01" w:rsidRPr="00E106BD" w:rsidDel="0013716E" w:rsidRDefault="00990B01" w:rsidP="00D95184">
            <w:pPr>
              <w:rPr>
                <w:rFonts w:ascii="Arial" w:hAnsi="Arial" w:cs="Arial"/>
                <w:sz w:val="16"/>
                <w:szCs w:val="16"/>
              </w:rPr>
            </w:pPr>
            <w:r w:rsidRPr="00E106BD">
              <w:rPr>
                <w:rFonts w:ascii="Arial" w:hAnsi="Arial" w:cs="Arial"/>
                <w:sz w:val="16"/>
                <w:szCs w:val="16"/>
              </w:rPr>
              <w:t>C6626 C6637 C6642 C6668 C6686 C6687 C6688</w:t>
            </w:r>
          </w:p>
        </w:tc>
        <w:tc>
          <w:tcPr>
            <w:tcW w:w="424" w:type="pct"/>
          </w:tcPr>
          <w:p w:rsidR="00990B01" w:rsidRPr="00E106BD" w:rsidDel="0013716E" w:rsidRDefault="00990B01">
            <w:pPr>
              <w:rPr>
                <w:rFonts w:ascii="Arial" w:hAnsi="Arial" w:cs="Arial"/>
                <w:sz w:val="16"/>
                <w:szCs w:val="16"/>
              </w:rPr>
            </w:pPr>
            <w:r w:rsidRPr="00E106BD">
              <w:rPr>
                <w:rFonts w:ascii="Arial" w:hAnsi="Arial" w:cs="Arial"/>
                <w:sz w:val="16"/>
                <w:szCs w:val="16"/>
              </w:rPr>
              <w:t>P6626</w:t>
            </w:r>
          </w:p>
        </w:tc>
        <w:tc>
          <w:tcPr>
            <w:tcW w:w="34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716E" w:rsidTr="00802FC7">
        <w:tblPrEx>
          <w:tblBorders>
            <w:top w:val="single" w:sz="4" w:space="0" w:color="auto"/>
          </w:tblBorders>
        </w:tblPrEx>
        <w:trPr>
          <w:cantSplit/>
          <w:tblCellSpacing w:w="22" w:type="dxa"/>
        </w:trPr>
        <w:tc>
          <w:tcPr>
            <w:tcW w:w="1050" w:type="pct"/>
          </w:tcPr>
          <w:p w:rsidR="00990B01" w:rsidRPr="00E106BD" w:rsidDel="0013716E" w:rsidRDefault="00990B01" w:rsidP="004E4760">
            <w:pPr>
              <w:rPr>
                <w:rFonts w:ascii="Arial" w:hAnsi="Arial" w:cs="Arial"/>
                <w:sz w:val="16"/>
                <w:szCs w:val="16"/>
              </w:rPr>
            </w:pPr>
          </w:p>
        </w:tc>
        <w:tc>
          <w:tcPr>
            <w:tcW w:w="943" w:type="pct"/>
          </w:tcPr>
          <w:p w:rsidR="00990B01" w:rsidRPr="00E106BD" w:rsidDel="0013716E" w:rsidRDefault="00990B01" w:rsidP="004E4760">
            <w:pPr>
              <w:rPr>
                <w:rFonts w:ascii="Arial" w:hAnsi="Arial" w:cs="Arial"/>
                <w:sz w:val="16"/>
                <w:szCs w:val="16"/>
              </w:rPr>
            </w:pPr>
          </w:p>
        </w:tc>
        <w:tc>
          <w:tcPr>
            <w:tcW w:w="365" w:type="pct"/>
          </w:tcPr>
          <w:p w:rsidR="00990B01" w:rsidRPr="00E106BD" w:rsidDel="0013716E" w:rsidRDefault="00990B01" w:rsidP="004E4760">
            <w:pPr>
              <w:rPr>
                <w:rFonts w:ascii="Arial" w:hAnsi="Arial" w:cs="Arial"/>
                <w:sz w:val="16"/>
                <w:szCs w:val="16"/>
              </w:rPr>
            </w:pPr>
          </w:p>
        </w:tc>
        <w:tc>
          <w:tcPr>
            <w:tcW w:w="374" w:type="pct"/>
          </w:tcPr>
          <w:p w:rsidR="00990B01" w:rsidRPr="00E106BD" w:rsidDel="0013716E" w:rsidRDefault="00990B01" w:rsidP="004E4760">
            <w:pPr>
              <w:rPr>
                <w:rFonts w:ascii="Arial" w:hAnsi="Arial" w:cs="Arial"/>
                <w:sz w:val="16"/>
                <w:szCs w:val="16"/>
              </w:rPr>
            </w:pPr>
          </w:p>
        </w:tc>
        <w:tc>
          <w:tcPr>
            <w:tcW w:w="220" w:type="pct"/>
          </w:tcPr>
          <w:p w:rsidR="00990B01" w:rsidRPr="00E106BD" w:rsidDel="0013716E" w:rsidRDefault="00990B01" w:rsidP="004E4760">
            <w:pPr>
              <w:rPr>
                <w:rFonts w:ascii="Arial" w:hAnsi="Arial" w:cs="Arial"/>
                <w:sz w:val="16"/>
                <w:szCs w:val="16"/>
              </w:rPr>
            </w:pPr>
          </w:p>
        </w:tc>
        <w:tc>
          <w:tcPr>
            <w:tcW w:w="477" w:type="pct"/>
          </w:tcPr>
          <w:p w:rsidR="00990B01" w:rsidRPr="00E106BD" w:rsidDel="0013716E" w:rsidRDefault="00990B01" w:rsidP="00D95184">
            <w:pPr>
              <w:rPr>
                <w:rFonts w:ascii="Arial" w:hAnsi="Arial" w:cs="Arial"/>
                <w:sz w:val="16"/>
                <w:szCs w:val="16"/>
              </w:rPr>
            </w:pPr>
            <w:r w:rsidRPr="00E106BD">
              <w:rPr>
                <w:rFonts w:ascii="Arial" w:hAnsi="Arial" w:cs="Arial"/>
                <w:sz w:val="16"/>
                <w:szCs w:val="16"/>
              </w:rPr>
              <w:t>C6626 C6637 C6642 C6668 C6686 C6687 C6688</w:t>
            </w:r>
          </w:p>
        </w:tc>
        <w:tc>
          <w:tcPr>
            <w:tcW w:w="424" w:type="pct"/>
          </w:tcPr>
          <w:p w:rsidR="00990B01" w:rsidRPr="00E106BD" w:rsidDel="0013716E" w:rsidRDefault="00990B01">
            <w:pPr>
              <w:rPr>
                <w:rFonts w:ascii="Arial" w:hAnsi="Arial" w:cs="Arial"/>
                <w:sz w:val="16"/>
                <w:szCs w:val="16"/>
              </w:rPr>
            </w:pPr>
            <w:r w:rsidRPr="00E106BD">
              <w:rPr>
                <w:rFonts w:ascii="Arial" w:hAnsi="Arial" w:cs="Arial"/>
                <w:sz w:val="16"/>
                <w:szCs w:val="16"/>
              </w:rPr>
              <w:t>P6642</w:t>
            </w:r>
          </w:p>
        </w:tc>
        <w:tc>
          <w:tcPr>
            <w:tcW w:w="34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4</w:t>
            </w:r>
          </w:p>
        </w:tc>
        <w:tc>
          <w:tcPr>
            <w:tcW w:w="31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716E" w:rsidTr="00802FC7">
        <w:tblPrEx>
          <w:tblBorders>
            <w:top w:val="single" w:sz="4" w:space="0" w:color="auto"/>
          </w:tblBorders>
        </w:tblPrEx>
        <w:trPr>
          <w:cantSplit/>
          <w:tblCellSpacing w:w="22" w:type="dxa"/>
        </w:trPr>
        <w:tc>
          <w:tcPr>
            <w:tcW w:w="1050" w:type="pct"/>
          </w:tcPr>
          <w:p w:rsidR="00990B01" w:rsidRPr="00E106BD" w:rsidDel="0013716E" w:rsidRDefault="00990B01" w:rsidP="004E4760">
            <w:pPr>
              <w:rPr>
                <w:rFonts w:ascii="Arial" w:hAnsi="Arial" w:cs="Arial"/>
                <w:sz w:val="16"/>
                <w:szCs w:val="16"/>
              </w:rPr>
            </w:pPr>
          </w:p>
        </w:tc>
        <w:tc>
          <w:tcPr>
            <w:tcW w:w="943" w:type="pct"/>
          </w:tcPr>
          <w:p w:rsidR="00990B01" w:rsidRPr="00E106BD" w:rsidDel="0013716E" w:rsidRDefault="00990B01" w:rsidP="004E4760">
            <w:pPr>
              <w:rPr>
                <w:rFonts w:ascii="Arial" w:hAnsi="Arial" w:cs="Arial"/>
                <w:sz w:val="16"/>
                <w:szCs w:val="16"/>
              </w:rPr>
            </w:pPr>
          </w:p>
        </w:tc>
        <w:tc>
          <w:tcPr>
            <w:tcW w:w="365" w:type="pct"/>
          </w:tcPr>
          <w:p w:rsidR="00990B01" w:rsidRPr="00E106BD" w:rsidDel="0013716E" w:rsidRDefault="00990B01" w:rsidP="004E4760">
            <w:pPr>
              <w:rPr>
                <w:rFonts w:ascii="Arial" w:hAnsi="Arial" w:cs="Arial"/>
                <w:sz w:val="16"/>
                <w:szCs w:val="16"/>
              </w:rPr>
            </w:pPr>
          </w:p>
        </w:tc>
        <w:tc>
          <w:tcPr>
            <w:tcW w:w="374" w:type="pct"/>
          </w:tcPr>
          <w:p w:rsidR="00990B01" w:rsidRPr="00E106BD" w:rsidDel="0013716E" w:rsidRDefault="00990B01" w:rsidP="004E4760">
            <w:pPr>
              <w:rPr>
                <w:rFonts w:ascii="Arial" w:hAnsi="Arial" w:cs="Arial"/>
                <w:sz w:val="16"/>
                <w:szCs w:val="16"/>
              </w:rPr>
            </w:pPr>
          </w:p>
        </w:tc>
        <w:tc>
          <w:tcPr>
            <w:tcW w:w="220" w:type="pct"/>
          </w:tcPr>
          <w:p w:rsidR="00990B01" w:rsidRPr="00E106BD" w:rsidDel="0013716E" w:rsidRDefault="00990B01" w:rsidP="004E4760">
            <w:pPr>
              <w:rPr>
                <w:rFonts w:ascii="Arial" w:hAnsi="Arial" w:cs="Arial"/>
                <w:sz w:val="16"/>
                <w:szCs w:val="16"/>
              </w:rPr>
            </w:pPr>
          </w:p>
        </w:tc>
        <w:tc>
          <w:tcPr>
            <w:tcW w:w="477" w:type="pct"/>
          </w:tcPr>
          <w:p w:rsidR="00990B01" w:rsidRPr="00E106BD" w:rsidDel="0013716E" w:rsidRDefault="00990B01" w:rsidP="00D95184">
            <w:pPr>
              <w:rPr>
                <w:rFonts w:ascii="Arial" w:hAnsi="Arial" w:cs="Arial"/>
                <w:sz w:val="16"/>
                <w:szCs w:val="16"/>
              </w:rPr>
            </w:pPr>
            <w:r w:rsidRPr="00E106BD">
              <w:rPr>
                <w:rFonts w:ascii="Arial" w:hAnsi="Arial" w:cs="Arial"/>
                <w:sz w:val="16"/>
                <w:szCs w:val="16"/>
              </w:rPr>
              <w:t>C6626 C6637 C6642 C6668 C6686 C6687 C6688</w:t>
            </w:r>
          </w:p>
        </w:tc>
        <w:tc>
          <w:tcPr>
            <w:tcW w:w="424" w:type="pct"/>
          </w:tcPr>
          <w:p w:rsidR="00990B01" w:rsidRPr="00E106BD" w:rsidRDefault="00990B01" w:rsidP="00107F2B">
            <w:pPr>
              <w:rPr>
                <w:rFonts w:ascii="Arial" w:hAnsi="Arial" w:cs="Arial"/>
                <w:sz w:val="16"/>
                <w:szCs w:val="16"/>
              </w:rPr>
            </w:pPr>
            <w:r w:rsidRPr="00E106BD">
              <w:rPr>
                <w:rFonts w:ascii="Arial" w:hAnsi="Arial" w:cs="Arial"/>
                <w:sz w:val="16"/>
                <w:szCs w:val="16"/>
              </w:rPr>
              <w:t>P6668 P6686</w:t>
            </w:r>
          </w:p>
          <w:p w:rsidR="00990B01" w:rsidRPr="00E106BD" w:rsidDel="0013716E" w:rsidRDefault="00990B01">
            <w:pPr>
              <w:rPr>
                <w:rFonts w:ascii="Arial" w:hAnsi="Arial" w:cs="Arial"/>
                <w:sz w:val="16"/>
                <w:szCs w:val="16"/>
              </w:rPr>
            </w:pPr>
            <w:r w:rsidRPr="00E106BD">
              <w:rPr>
                <w:rFonts w:ascii="Arial" w:hAnsi="Arial" w:cs="Arial"/>
                <w:sz w:val="16"/>
                <w:szCs w:val="16"/>
              </w:rPr>
              <w:t>P6687 P6688</w:t>
            </w:r>
          </w:p>
        </w:tc>
        <w:tc>
          <w:tcPr>
            <w:tcW w:w="34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716E" w:rsidTr="00802FC7">
        <w:tblPrEx>
          <w:tblBorders>
            <w:top w:val="single" w:sz="4" w:space="0" w:color="auto"/>
          </w:tblBorders>
        </w:tblPrEx>
        <w:trPr>
          <w:cantSplit/>
          <w:tblCellSpacing w:w="22" w:type="dxa"/>
        </w:trPr>
        <w:tc>
          <w:tcPr>
            <w:tcW w:w="1050" w:type="pct"/>
          </w:tcPr>
          <w:p w:rsidR="00990B01" w:rsidRPr="00E106BD" w:rsidDel="0013716E" w:rsidRDefault="00990B01" w:rsidP="004E4760">
            <w:pPr>
              <w:rPr>
                <w:rFonts w:ascii="Arial" w:hAnsi="Arial" w:cs="Arial"/>
                <w:sz w:val="16"/>
                <w:szCs w:val="16"/>
              </w:rPr>
            </w:pPr>
          </w:p>
        </w:tc>
        <w:tc>
          <w:tcPr>
            <w:tcW w:w="943" w:type="pct"/>
          </w:tcPr>
          <w:p w:rsidR="00990B01" w:rsidRPr="00E106BD" w:rsidDel="0013716E" w:rsidRDefault="00990B01" w:rsidP="004E4760">
            <w:pPr>
              <w:rPr>
                <w:rFonts w:ascii="Arial" w:hAnsi="Arial" w:cs="Arial"/>
                <w:sz w:val="16"/>
                <w:szCs w:val="16"/>
              </w:rPr>
            </w:pPr>
          </w:p>
        </w:tc>
        <w:tc>
          <w:tcPr>
            <w:tcW w:w="365" w:type="pct"/>
          </w:tcPr>
          <w:p w:rsidR="00990B01" w:rsidRPr="00E106BD" w:rsidDel="0013716E" w:rsidRDefault="00990B01" w:rsidP="004E4760">
            <w:pPr>
              <w:rPr>
                <w:rFonts w:ascii="Arial" w:hAnsi="Arial" w:cs="Arial"/>
                <w:sz w:val="16"/>
                <w:szCs w:val="16"/>
              </w:rPr>
            </w:pPr>
          </w:p>
        </w:tc>
        <w:tc>
          <w:tcPr>
            <w:tcW w:w="374" w:type="pct"/>
          </w:tcPr>
          <w:p w:rsidR="00990B01" w:rsidRPr="00E106BD" w:rsidDel="0013716E" w:rsidRDefault="00990B01" w:rsidP="004E4760">
            <w:pPr>
              <w:rPr>
                <w:rFonts w:ascii="Arial" w:hAnsi="Arial" w:cs="Arial"/>
                <w:sz w:val="16"/>
                <w:szCs w:val="16"/>
              </w:rPr>
            </w:pPr>
          </w:p>
        </w:tc>
        <w:tc>
          <w:tcPr>
            <w:tcW w:w="220" w:type="pct"/>
          </w:tcPr>
          <w:p w:rsidR="00990B01" w:rsidRPr="00E106BD" w:rsidDel="0013716E" w:rsidRDefault="00990B01" w:rsidP="004E4760">
            <w:pPr>
              <w:rPr>
                <w:rFonts w:ascii="Arial" w:hAnsi="Arial" w:cs="Arial"/>
                <w:sz w:val="16"/>
                <w:szCs w:val="16"/>
              </w:rPr>
            </w:pPr>
          </w:p>
        </w:tc>
        <w:tc>
          <w:tcPr>
            <w:tcW w:w="477" w:type="pct"/>
          </w:tcPr>
          <w:p w:rsidR="00990B01" w:rsidRPr="00E106BD" w:rsidDel="0013716E" w:rsidRDefault="00990B01" w:rsidP="00D95184">
            <w:pPr>
              <w:rPr>
                <w:rFonts w:ascii="Arial" w:hAnsi="Arial" w:cs="Arial"/>
                <w:sz w:val="16"/>
                <w:szCs w:val="16"/>
              </w:rPr>
            </w:pPr>
            <w:r w:rsidRPr="00E106BD">
              <w:rPr>
                <w:rFonts w:ascii="Arial" w:hAnsi="Arial" w:cs="Arial"/>
                <w:sz w:val="16"/>
                <w:szCs w:val="16"/>
              </w:rPr>
              <w:t>C6626 C6637 C6642 C6668 C6686 C6687 C6688</w:t>
            </w:r>
          </w:p>
        </w:tc>
        <w:tc>
          <w:tcPr>
            <w:tcW w:w="424" w:type="pct"/>
          </w:tcPr>
          <w:p w:rsidR="00990B01" w:rsidRPr="00E106BD" w:rsidDel="0013716E" w:rsidRDefault="00990B01">
            <w:pPr>
              <w:rPr>
                <w:rFonts w:ascii="Arial" w:hAnsi="Arial" w:cs="Arial"/>
                <w:sz w:val="16"/>
                <w:szCs w:val="16"/>
              </w:rPr>
            </w:pPr>
            <w:r w:rsidRPr="00E106BD">
              <w:rPr>
                <w:rFonts w:ascii="Arial" w:hAnsi="Arial" w:cs="Arial"/>
                <w:sz w:val="16"/>
                <w:szCs w:val="16"/>
              </w:rPr>
              <w:t>P6637</w:t>
            </w:r>
          </w:p>
        </w:tc>
        <w:tc>
          <w:tcPr>
            <w:tcW w:w="34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6</w:t>
            </w:r>
          </w:p>
        </w:tc>
        <w:tc>
          <w:tcPr>
            <w:tcW w:w="31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Efavirenz</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200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Stocrin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MK</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600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Stocrin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MK</w:t>
            </w:r>
          </w:p>
        </w:tc>
        <w:tc>
          <w:tcPr>
            <w:tcW w:w="477" w:type="pct"/>
          </w:tcPr>
          <w:p w:rsidR="00990B01" w:rsidRPr="00E106BD" w:rsidRDefault="00990B01" w:rsidP="009B6241">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Oral solution 30 mg per mL, 180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Stocrin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MK</w:t>
            </w:r>
          </w:p>
        </w:tc>
        <w:tc>
          <w:tcPr>
            <w:tcW w:w="477" w:type="pct"/>
          </w:tcPr>
          <w:p w:rsidR="00990B01" w:rsidRPr="00E106BD" w:rsidRDefault="00990B01" w:rsidP="009B6241">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7</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42BFB" w:rsidTr="00802FC7">
        <w:tblPrEx>
          <w:tblBorders>
            <w:top w:val="single" w:sz="4" w:space="0" w:color="auto"/>
          </w:tblBorders>
        </w:tblPrEx>
        <w:trPr>
          <w:cantSplit/>
          <w:tblCellSpacing w:w="22" w:type="dxa"/>
        </w:trPr>
        <w:tc>
          <w:tcPr>
            <w:tcW w:w="1050"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Eltrombopag</w:t>
            </w:r>
          </w:p>
        </w:tc>
        <w:tc>
          <w:tcPr>
            <w:tcW w:w="943"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Tablet 25 mg (as olamine)</w:t>
            </w:r>
          </w:p>
        </w:tc>
        <w:tc>
          <w:tcPr>
            <w:tcW w:w="365"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Revolade</w:t>
            </w:r>
          </w:p>
        </w:tc>
        <w:tc>
          <w:tcPr>
            <w:tcW w:w="220"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Del="00A42BFB" w:rsidRDefault="00990B01" w:rsidP="00A67FE2">
            <w:pPr>
              <w:rPr>
                <w:rFonts w:ascii="Arial" w:hAnsi="Arial" w:cs="Arial"/>
                <w:sz w:val="16"/>
                <w:szCs w:val="16"/>
              </w:rPr>
            </w:pPr>
            <w:r w:rsidRPr="00E106BD">
              <w:rPr>
                <w:rFonts w:ascii="Arial" w:hAnsi="Arial" w:cs="Arial"/>
                <w:sz w:val="16"/>
                <w:szCs w:val="16"/>
              </w:rPr>
              <w:t>C6724 C6725 C6738 C6739 C6790</w:t>
            </w:r>
          </w:p>
        </w:tc>
        <w:tc>
          <w:tcPr>
            <w:tcW w:w="424" w:type="pct"/>
          </w:tcPr>
          <w:p w:rsidR="00990B01" w:rsidRPr="00E106BD" w:rsidDel="00A42BFB" w:rsidRDefault="00990B01" w:rsidP="004E4760">
            <w:pPr>
              <w:rPr>
                <w:rFonts w:ascii="Arial" w:hAnsi="Arial" w:cs="Arial"/>
                <w:sz w:val="16"/>
                <w:szCs w:val="16"/>
              </w:rPr>
            </w:pPr>
          </w:p>
        </w:tc>
        <w:tc>
          <w:tcPr>
            <w:tcW w:w="344"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42BFB" w:rsidTr="00802FC7">
        <w:tblPrEx>
          <w:tblBorders>
            <w:top w:val="single" w:sz="4" w:space="0" w:color="auto"/>
          </w:tblBorders>
        </w:tblPrEx>
        <w:trPr>
          <w:cantSplit/>
          <w:tblCellSpacing w:w="22" w:type="dxa"/>
        </w:trPr>
        <w:tc>
          <w:tcPr>
            <w:tcW w:w="1050" w:type="pct"/>
          </w:tcPr>
          <w:p w:rsidR="00990B01" w:rsidRPr="00E106BD" w:rsidDel="00A42BFB" w:rsidRDefault="00990B01" w:rsidP="004E4760">
            <w:pPr>
              <w:rPr>
                <w:rFonts w:ascii="Arial" w:hAnsi="Arial" w:cs="Arial"/>
                <w:sz w:val="16"/>
                <w:szCs w:val="16"/>
              </w:rPr>
            </w:pPr>
          </w:p>
        </w:tc>
        <w:tc>
          <w:tcPr>
            <w:tcW w:w="943"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Tablet 50 mg (as olamine)</w:t>
            </w:r>
          </w:p>
        </w:tc>
        <w:tc>
          <w:tcPr>
            <w:tcW w:w="365"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Revolade</w:t>
            </w:r>
          </w:p>
        </w:tc>
        <w:tc>
          <w:tcPr>
            <w:tcW w:w="220"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Del="00A42BFB" w:rsidRDefault="00990B01" w:rsidP="00A67FE2">
            <w:pPr>
              <w:rPr>
                <w:rFonts w:ascii="Arial" w:hAnsi="Arial" w:cs="Arial"/>
                <w:sz w:val="16"/>
                <w:szCs w:val="16"/>
              </w:rPr>
            </w:pPr>
            <w:r w:rsidRPr="00E106BD">
              <w:rPr>
                <w:rFonts w:ascii="Arial" w:hAnsi="Arial" w:cs="Arial"/>
                <w:sz w:val="16"/>
                <w:szCs w:val="16"/>
              </w:rPr>
              <w:t>C6724 C6725 C6738 C6739 C6790</w:t>
            </w:r>
          </w:p>
        </w:tc>
        <w:tc>
          <w:tcPr>
            <w:tcW w:w="424" w:type="pct"/>
          </w:tcPr>
          <w:p w:rsidR="00990B01" w:rsidRPr="00E106BD" w:rsidDel="00A42BFB" w:rsidRDefault="00990B01" w:rsidP="004E4760">
            <w:pPr>
              <w:rPr>
                <w:rFonts w:ascii="Arial" w:hAnsi="Arial" w:cs="Arial"/>
                <w:sz w:val="16"/>
                <w:szCs w:val="16"/>
              </w:rPr>
            </w:pPr>
          </w:p>
        </w:tc>
        <w:tc>
          <w:tcPr>
            <w:tcW w:w="344"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Emtricitabine with rilpivirine with tenofovir alafenamide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emtricitabine 200 mg with rilpivirine 25 mg with tenofovir alafenamide 25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Odefsey</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GI</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C4470 C4522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Emtricitabine with tenofovir alafenamide</w:t>
            </w:r>
          </w:p>
        </w:tc>
        <w:tc>
          <w:tcPr>
            <w:tcW w:w="943" w:type="pct"/>
          </w:tcPr>
          <w:p w:rsidR="00990B01" w:rsidRPr="00E106BD" w:rsidRDefault="00990B01" w:rsidP="00E62742">
            <w:pPr>
              <w:rPr>
                <w:rFonts w:ascii="Arial" w:hAnsi="Arial" w:cs="Arial"/>
                <w:sz w:val="16"/>
                <w:szCs w:val="16"/>
              </w:rPr>
            </w:pPr>
            <w:r w:rsidRPr="00E106BD">
              <w:rPr>
                <w:rFonts w:ascii="Arial" w:hAnsi="Arial" w:cs="Arial"/>
                <w:sz w:val="16"/>
                <w:szCs w:val="16"/>
              </w:rPr>
              <w:t>Tablet containing emtricitabine 200 mg with tenofovir alafenamide 10 mg</w:t>
            </w:r>
          </w:p>
        </w:tc>
        <w:tc>
          <w:tcPr>
            <w:tcW w:w="365" w:type="pct"/>
          </w:tcPr>
          <w:p w:rsidR="00990B01" w:rsidRPr="00E106BD" w:rsidRDefault="00990B01" w:rsidP="00E62742">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E62742">
            <w:pPr>
              <w:rPr>
                <w:rFonts w:ascii="Arial" w:hAnsi="Arial" w:cs="Arial"/>
                <w:sz w:val="16"/>
                <w:szCs w:val="16"/>
              </w:rPr>
            </w:pPr>
            <w:r w:rsidRPr="00E106BD">
              <w:rPr>
                <w:rFonts w:ascii="Arial" w:hAnsi="Arial" w:cs="Arial"/>
                <w:sz w:val="16"/>
                <w:szCs w:val="16"/>
              </w:rPr>
              <w:t>Descovy</w:t>
            </w:r>
          </w:p>
        </w:tc>
        <w:tc>
          <w:tcPr>
            <w:tcW w:w="220" w:type="pct"/>
          </w:tcPr>
          <w:p w:rsidR="00990B01" w:rsidRPr="00E106BD" w:rsidRDefault="00990B01" w:rsidP="00E62742">
            <w:pPr>
              <w:rPr>
                <w:rFonts w:ascii="Arial" w:hAnsi="Arial" w:cs="Arial"/>
                <w:sz w:val="16"/>
                <w:szCs w:val="16"/>
              </w:rPr>
            </w:pPr>
            <w:r w:rsidRPr="00E106BD">
              <w:rPr>
                <w:rFonts w:ascii="Arial" w:hAnsi="Arial" w:cs="Arial"/>
                <w:sz w:val="16"/>
                <w:szCs w:val="16"/>
              </w:rPr>
              <w:t>GI</w:t>
            </w:r>
          </w:p>
        </w:tc>
        <w:tc>
          <w:tcPr>
            <w:tcW w:w="477" w:type="pct"/>
          </w:tcPr>
          <w:p w:rsidR="00990B01" w:rsidRPr="00E106BD" w:rsidRDefault="00990B01" w:rsidP="00E62742">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E62742">
            <w:pPr>
              <w:rPr>
                <w:rFonts w:ascii="Arial" w:hAnsi="Arial" w:cs="Arial"/>
                <w:sz w:val="16"/>
                <w:szCs w:val="16"/>
              </w:rPr>
            </w:pPr>
          </w:p>
        </w:tc>
        <w:tc>
          <w:tcPr>
            <w:tcW w:w="344" w:type="pct"/>
          </w:tcPr>
          <w:p w:rsidR="00990B01" w:rsidRPr="00E106BD" w:rsidRDefault="00990B01" w:rsidP="00E62742">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E62742">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E62742">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E62742">
            <w:pPr>
              <w:rPr>
                <w:rFonts w:ascii="Arial" w:hAnsi="Arial" w:cs="Arial"/>
                <w:sz w:val="16"/>
                <w:szCs w:val="16"/>
              </w:rPr>
            </w:pPr>
            <w:r w:rsidRPr="00E106BD">
              <w:rPr>
                <w:rFonts w:ascii="Arial" w:hAnsi="Arial" w:cs="Arial"/>
                <w:sz w:val="16"/>
                <w:szCs w:val="16"/>
              </w:rPr>
              <w:t>Tablet containing emtricitabine 200 mg with tenofovir alafenamide 25 mg</w:t>
            </w:r>
          </w:p>
        </w:tc>
        <w:tc>
          <w:tcPr>
            <w:tcW w:w="365" w:type="pct"/>
          </w:tcPr>
          <w:p w:rsidR="00990B01" w:rsidRPr="00E106BD" w:rsidRDefault="00990B01" w:rsidP="00E62742">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E62742">
            <w:pPr>
              <w:rPr>
                <w:rFonts w:ascii="Arial" w:hAnsi="Arial" w:cs="Arial"/>
                <w:sz w:val="16"/>
                <w:szCs w:val="16"/>
              </w:rPr>
            </w:pPr>
            <w:r w:rsidRPr="00E106BD">
              <w:rPr>
                <w:rFonts w:ascii="Arial" w:hAnsi="Arial" w:cs="Arial"/>
                <w:sz w:val="16"/>
                <w:szCs w:val="16"/>
              </w:rPr>
              <w:t>Descovy</w:t>
            </w:r>
          </w:p>
        </w:tc>
        <w:tc>
          <w:tcPr>
            <w:tcW w:w="220" w:type="pct"/>
          </w:tcPr>
          <w:p w:rsidR="00990B01" w:rsidRPr="00E106BD" w:rsidRDefault="00990B01" w:rsidP="00E62742">
            <w:pPr>
              <w:rPr>
                <w:rFonts w:ascii="Arial" w:hAnsi="Arial" w:cs="Arial"/>
                <w:sz w:val="16"/>
                <w:szCs w:val="16"/>
              </w:rPr>
            </w:pPr>
            <w:r w:rsidRPr="00E106BD">
              <w:rPr>
                <w:rFonts w:ascii="Arial" w:hAnsi="Arial" w:cs="Arial"/>
                <w:sz w:val="16"/>
                <w:szCs w:val="16"/>
              </w:rPr>
              <w:t>GI</w:t>
            </w:r>
          </w:p>
        </w:tc>
        <w:tc>
          <w:tcPr>
            <w:tcW w:w="477" w:type="pct"/>
          </w:tcPr>
          <w:p w:rsidR="00990B01" w:rsidRPr="00E106BD" w:rsidRDefault="00990B01" w:rsidP="00E62742">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E62742">
            <w:pPr>
              <w:rPr>
                <w:rFonts w:ascii="Arial" w:hAnsi="Arial" w:cs="Arial"/>
                <w:sz w:val="16"/>
                <w:szCs w:val="16"/>
              </w:rPr>
            </w:pPr>
          </w:p>
        </w:tc>
        <w:tc>
          <w:tcPr>
            <w:tcW w:w="344" w:type="pct"/>
          </w:tcPr>
          <w:p w:rsidR="00990B01" w:rsidRPr="00E106BD" w:rsidRDefault="00990B01" w:rsidP="00E62742">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E62742">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E62742">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Enfuvirtide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Pack containing 60 vials powder for injection 90 mg with 60 vials water for injections 1.1 mL (with syringes and swabs)</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Fuzeon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C5014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Entecavir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0.5 mg (as monohydrate)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Baraclude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ENTAC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LR</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Amneal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EA</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rPr>
              <w:t>ENTECAVIR APO</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rPr>
              <w:t>GX</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rPr>
              <w:t>C4993 C5036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APOTEX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TX</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GH</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GQ</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Mylan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RBX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RA</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ENTECLUDE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RW</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 mg (as monohydrate)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Baraclude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ENTAC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LR</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Amneal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EA</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APO</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GX</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APOTEX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TX</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GH</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GQ</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Mylan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RBX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RA</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ENTECLUDE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RW</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Epoetin Alfa</w:t>
            </w: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Injection 1,000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Eprex 1000</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DC3BD9">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Injection 2,000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Eprex 2000</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DC3BD9">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3,000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3000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4,000 units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4000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 xml:space="preserve">C6294 C9688 </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5000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6,000 units in 0.6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6000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8,000 units in 0.8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8000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10,000 units in 1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10000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20,000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40,000 units in 1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40,000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5443CD">
            <w:pPr>
              <w:rPr>
                <w:rFonts w:ascii="Arial" w:hAnsi="Arial" w:cs="Arial"/>
                <w:sz w:val="16"/>
                <w:szCs w:val="16"/>
              </w:rPr>
            </w:pPr>
            <w:r w:rsidRPr="00E106BD">
              <w:rPr>
                <w:rFonts w:ascii="Arial" w:hAnsi="Arial" w:cs="Arial"/>
                <w:sz w:val="16"/>
                <w:szCs w:val="16"/>
              </w:rPr>
              <w:t>Epoetin Beta</w:t>
            </w:r>
          </w:p>
        </w:tc>
        <w:tc>
          <w:tcPr>
            <w:tcW w:w="943" w:type="pct"/>
          </w:tcPr>
          <w:p w:rsidR="00990B01" w:rsidRPr="00E106BD" w:rsidRDefault="00990B01" w:rsidP="005443CD">
            <w:pPr>
              <w:rPr>
                <w:rFonts w:ascii="Arial" w:hAnsi="Arial" w:cs="Arial"/>
                <w:sz w:val="16"/>
                <w:szCs w:val="16"/>
              </w:rPr>
            </w:pPr>
            <w:r w:rsidRPr="00E106BD">
              <w:rPr>
                <w:rFonts w:ascii="Arial" w:hAnsi="Arial" w:cs="Arial"/>
                <w:sz w:val="16"/>
                <w:szCs w:val="16"/>
              </w:rPr>
              <w:t>Injection 2,000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5443CD">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5443CD">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5443CD">
            <w:pPr>
              <w:rPr>
                <w:rFonts w:ascii="Arial" w:hAnsi="Arial" w:cs="Arial"/>
                <w:sz w:val="16"/>
                <w:szCs w:val="16"/>
              </w:rPr>
            </w:pPr>
            <w:r w:rsidRPr="00E106BD">
              <w:rPr>
                <w:rFonts w:ascii="Arial" w:hAnsi="Arial" w:cs="Arial"/>
                <w:sz w:val="16"/>
                <w:szCs w:val="16"/>
              </w:rPr>
              <w:t>RO</w:t>
            </w:r>
          </w:p>
        </w:tc>
        <w:tc>
          <w:tcPr>
            <w:tcW w:w="477" w:type="pct"/>
          </w:tcPr>
          <w:p w:rsidR="00990B01" w:rsidRPr="00E106BD" w:rsidRDefault="00990B01" w:rsidP="005443CD">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5443CD">
            <w:pPr>
              <w:rPr>
                <w:rFonts w:ascii="Arial" w:hAnsi="Arial" w:cs="Arial"/>
                <w:sz w:val="16"/>
                <w:szCs w:val="16"/>
              </w:rPr>
            </w:pPr>
          </w:p>
        </w:tc>
        <w:tc>
          <w:tcPr>
            <w:tcW w:w="344" w:type="pct"/>
          </w:tcPr>
          <w:p w:rsidR="00990B01" w:rsidRPr="00E106BD" w:rsidRDefault="00990B01" w:rsidP="005443CD">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5443CD">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443CD">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5443CD">
            <w:pPr>
              <w:rPr>
                <w:rFonts w:ascii="Arial" w:hAnsi="Arial" w:cs="Arial"/>
                <w:sz w:val="16"/>
                <w:szCs w:val="16"/>
              </w:rPr>
            </w:pPr>
          </w:p>
        </w:tc>
        <w:tc>
          <w:tcPr>
            <w:tcW w:w="943" w:type="pct"/>
          </w:tcPr>
          <w:p w:rsidR="00990B01" w:rsidRPr="00E106BD" w:rsidRDefault="00990B01" w:rsidP="005443CD">
            <w:pPr>
              <w:rPr>
                <w:rFonts w:ascii="Arial" w:hAnsi="Arial" w:cs="Arial"/>
                <w:sz w:val="16"/>
                <w:szCs w:val="16"/>
              </w:rPr>
            </w:pPr>
            <w:r w:rsidRPr="00E106BD">
              <w:rPr>
                <w:rFonts w:ascii="Arial" w:hAnsi="Arial" w:cs="Arial"/>
                <w:sz w:val="16"/>
                <w:szCs w:val="16"/>
              </w:rPr>
              <w:t>Injection 3,000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5443CD">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5443CD">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5443CD">
            <w:pPr>
              <w:rPr>
                <w:rFonts w:ascii="Arial" w:hAnsi="Arial" w:cs="Arial"/>
                <w:sz w:val="16"/>
                <w:szCs w:val="16"/>
              </w:rPr>
            </w:pPr>
            <w:r w:rsidRPr="00E106BD">
              <w:rPr>
                <w:rFonts w:ascii="Arial" w:hAnsi="Arial" w:cs="Arial"/>
                <w:sz w:val="16"/>
                <w:szCs w:val="16"/>
              </w:rPr>
              <w:t>RO</w:t>
            </w:r>
          </w:p>
        </w:tc>
        <w:tc>
          <w:tcPr>
            <w:tcW w:w="477" w:type="pct"/>
          </w:tcPr>
          <w:p w:rsidR="00990B01" w:rsidRPr="00E106BD" w:rsidRDefault="00990B01" w:rsidP="005443CD">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5443CD">
            <w:pPr>
              <w:rPr>
                <w:rFonts w:ascii="Arial" w:hAnsi="Arial" w:cs="Arial"/>
                <w:sz w:val="16"/>
                <w:szCs w:val="16"/>
              </w:rPr>
            </w:pPr>
          </w:p>
        </w:tc>
        <w:tc>
          <w:tcPr>
            <w:tcW w:w="344" w:type="pct"/>
          </w:tcPr>
          <w:p w:rsidR="00990B01" w:rsidRPr="00E106BD" w:rsidRDefault="00990B01" w:rsidP="005443CD">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5443CD">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443CD">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5443CD">
            <w:pPr>
              <w:rPr>
                <w:rFonts w:ascii="Arial" w:hAnsi="Arial" w:cs="Arial"/>
                <w:sz w:val="16"/>
                <w:szCs w:val="16"/>
              </w:rPr>
            </w:pPr>
          </w:p>
        </w:tc>
        <w:tc>
          <w:tcPr>
            <w:tcW w:w="943" w:type="pct"/>
          </w:tcPr>
          <w:p w:rsidR="00990B01" w:rsidRPr="00E106BD" w:rsidRDefault="00990B01" w:rsidP="005443CD">
            <w:pPr>
              <w:rPr>
                <w:rFonts w:ascii="Arial" w:hAnsi="Arial" w:cs="Arial"/>
                <w:sz w:val="16"/>
                <w:szCs w:val="16"/>
              </w:rPr>
            </w:pPr>
            <w:r w:rsidRPr="00E106BD">
              <w:rPr>
                <w:rFonts w:ascii="Arial" w:hAnsi="Arial" w:cs="Arial"/>
                <w:sz w:val="16"/>
                <w:szCs w:val="16"/>
              </w:rPr>
              <w:t>Injection 4,000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5443CD">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5443CD">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5443CD">
            <w:pPr>
              <w:rPr>
                <w:rFonts w:ascii="Arial" w:hAnsi="Arial" w:cs="Arial"/>
                <w:sz w:val="16"/>
                <w:szCs w:val="16"/>
              </w:rPr>
            </w:pPr>
            <w:r w:rsidRPr="00E106BD">
              <w:rPr>
                <w:rFonts w:ascii="Arial" w:hAnsi="Arial" w:cs="Arial"/>
                <w:sz w:val="16"/>
                <w:szCs w:val="16"/>
              </w:rPr>
              <w:t>RO</w:t>
            </w:r>
          </w:p>
        </w:tc>
        <w:tc>
          <w:tcPr>
            <w:tcW w:w="477" w:type="pct"/>
          </w:tcPr>
          <w:p w:rsidR="00990B01" w:rsidRPr="00E106BD" w:rsidRDefault="00990B01" w:rsidP="005443CD">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5443CD">
            <w:pPr>
              <w:rPr>
                <w:rFonts w:ascii="Arial" w:hAnsi="Arial" w:cs="Arial"/>
                <w:sz w:val="16"/>
                <w:szCs w:val="16"/>
              </w:rPr>
            </w:pPr>
          </w:p>
        </w:tc>
        <w:tc>
          <w:tcPr>
            <w:tcW w:w="344" w:type="pct"/>
          </w:tcPr>
          <w:p w:rsidR="00990B01" w:rsidRPr="00E106BD" w:rsidRDefault="00990B01" w:rsidP="005443CD">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5443CD">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443CD">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10,000 units in 0.6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Epoetin lambda</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2,000 units in 1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3,000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4,000 units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6,000 units in 0.6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8,000 units in 0.8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10,000 units in 1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802FC7">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Epoprostenol</w:t>
            </w:r>
          </w:p>
        </w:tc>
        <w:tc>
          <w:tcPr>
            <w:tcW w:w="94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Powder for I.V. infusion 500 micrograms (as sodium)</w:t>
            </w:r>
          </w:p>
        </w:tc>
        <w:tc>
          <w:tcPr>
            <w:tcW w:w="365"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EPOPROSTENOL SUN</w:t>
            </w:r>
          </w:p>
        </w:tc>
        <w:tc>
          <w:tcPr>
            <w:tcW w:w="22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RA</w:t>
            </w:r>
          </w:p>
        </w:tc>
        <w:tc>
          <w:tcPr>
            <w:tcW w:w="477" w:type="pct"/>
          </w:tcPr>
          <w:p w:rsidR="00990B01" w:rsidRPr="00E106BD" w:rsidDel="0013028C" w:rsidRDefault="00163E63" w:rsidP="004E4760">
            <w:pPr>
              <w:rPr>
                <w:rFonts w:ascii="Arial" w:hAnsi="Arial" w:cs="Arial"/>
                <w:sz w:val="16"/>
                <w:szCs w:val="16"/>
              </w:rPr>
            </w:pPr>
            <w:r>
              <w:rPr>
                <w:rFonts w:ascii="Arial" w:hAnsi="Arial" w:cs="Arial"/>
                <w:sz w:val="16"/>
                <w:szCs w:val="16"/>
              </w:rPr>
              <w:t>C10228 C10240 C10241</w:t>
            </w:r>
          </w:p>
        </w:tc>
        <w:tc>
          <w:tcPr>
            <w:tcW w:w="424" w:type="pct"/>
          </w:tcPr>
          <w:p w:rsidR="00990B01" w:rsidRPr="00E106BD" w:rsidDel="0013028C" w:rsidRDefault="00990B01" w:rsidP="004E4760">
            <w:pPr>
              <w:rPr>
                <w:rFonts w:ascii="Arial" w:hAnsi="Arial" w:cs="Arial"/>
                <w:sz w:val="16"/>
                <w:szCs w:val="16"/>
              </w:rPr>
            </w:pPr>
          </w:p>
        </w:tc>
        <w:tc>
          <w:tcPr>
            <w:tcW w:w="34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Veletri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163E63" w:rsidP="004E4760">
            <w:pPr>
              <w:rPr>
                <w:rFonts w:ascii="Arial" w:hAnsi="Arial" w:cs="Arial"/>
                <w:sz w:val="16"/>
                <w:szCs w:val="16"/>
              </w:rPr>
            </w:pPr>
            <w:r>
              <w:rPr>
                <w:rFonts w:ascii="Arial" w:hAnsi="Arial" w:cs="Arial"/>
                <w:sz w:val="16"/>
                <w:szCs w:val="16"/>
              </w:rPr>
              <w:t>C10228 C10240 C10241</w:t>
            </w:r>
          </w:p>
        </w:tc>
        <w:tc>
          <w:tcPr>
            <w:tcW w:w="424" w:type="pct"/>
          </w:tcPr>
          <w:p w:rsidR="00990B01" w:rsidRPr="00E106BD" w:rsidDel="0013028C"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802FC7">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p>
        </w:tc>
        <w:tc>
          <w:tcPr>
            <w:tcW w:w="94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Powder for I.V. infusion 500 micrograms (as sodium) with 2 vials diluent 50 mL</w:t>
            </w:r>
          </w:p>
        </w:tc>
        <w:tc>
          <w:tcPr>
            <w:tcW w:w="365"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Flolan</w:t>
            </w:r>
          </w:p>
        </w:tc>
        <w:tc>
          <w:tcPr>
            <w:tcW w:w="22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GK</w:t>
            </w:r>
          </w:p>
        </w:tc>
        <w:tc>
          <w:tcPr>
            <w:tcW w:w="477" w:type="pct"/>
          </w:tcPr>
          <w:p w:rsidR="00990B01" w:rsidRPr="00E106BD" w:rsidDel="0013028C" w:rsidRDefault="00163E63" w:rsidP="004E4760">
            <w:pPr>
              <w:rPr>
                <w:rFonts w:ascii="Arial" w:hAnsi="Arial" w:cs="Arial"/>
                <w:sz w:val="16"/>
                <w:szCs w:val="16"/>
              </w:rPr>
            </w:pPr>
            <w:r>
              <w:rPr>
                <w:rFonts w:ascii="Arial" w:hAnsi="Arial" w:cs="Arial"/>
                <w:sz w:val="16"/>
                <w:szCs w:val="16"/>
              </w:rPr>
              <w:t>C10228 C10240 C10241</w:t>
            </w:r>
          </w:p>
        </w:tc>
        <w:tc>
          <w:tcPr>
            <w:tcW w:w="424" w:type="pct"/>
          </w:tcPr>
          <w:p w:rsidR="00990B01" w:rsidRPr="00E106BD" w:rsidDel="0013028C" w:rsidRDefault="00990B01" w:rsidP="004E4760">
            <w:pPr>
              <w:rPr>
                <w:rFonts w:ascii="Arial" w:hAnsi="Arial" w:cs="Arial"/>
                <w:sz w:val="16"/>
                <w:szCs w:val="16"/>
              </w:rPr>
            </w:pPr>
          </w:p>
        </w:tc>
        <w:tc>
          <w:tcPr>
            <w:tcW w:w="34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802FC7">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p>
        </w:tc>
        <w:tc>
          <w:tcPr>
            <w:tcW w:w="94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Powder for I.V. infusion 1.5 mg (as sodium)</w:t>
            </w:r>
          </w:p>
        </w:tc>
        <w:tc>
          <w:tcPr>
            <w:tcW w:w="365"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EPOPROSTENOL SUN</w:t>
            </w:r>
          </w:p>
        </w:tc>
        <w:tc>
          <w:tcPr>
            <w:tcW w:w="22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RA</w:t>
            </w:r>
          </w:p>
        </w:tc>
        <w:tc>
          <w:tcPr>
            <w:tcW w:w="477" w:type="pct"/>
          </w:tcPr>
          <w:p w:rsidR="00990B01" w:rsidRPr="00E106BD" w:rsidDel="0013028C" w:rsidRDefault="00163E63" w:rsidP="004E4760">
            <w:pPr>
              <w:rPr>
                <w:rFonts w:ascii="Arial" w:hAnsi="Arial" w:cs="Arial"/>
                <w:sz w:val="16"/>
                <w:szCs w:val="16"/>
              </w:rPr>
            </w:pPr>
            <w:r>
              <w:rPr>
                <w:rFonts w:ascii="Arial" w:hAnsi="Arial" w:cs="Arial"/>
                <w:sz w:val="16"/>
                <w:szCs w:val="16"/>
              </w:rPr>
              <w:t>C10228 C10240 C10241</w:t>
            </w:r>
          </w:p>
        </w:tc>
        <w:tc>
          <w:tcPr>
            <w:tcW w:w="424" w:type="pct"/>
          </w:tcPr>
          <w:p w:rsidR="00990B01" w:rsidRPr="00E106BD" w:rsidDel="0013028C" w:rsidRDefault="00990B01" w:rsidP="004E4760">
            <w:pPr>
              <w:rPr>
                <w:rFonts w:ascii="Arial" w:hAnsi="Arial" w:cs="Arial"/>
                <w:sz w:val="16"/>
                <w:szCs w:val="16"/>
              </w:rPr>
            </w:pPr>
          </w:p>
        </w:tc>
        <w:tc>
          <w:tcPr>
            <w:tcW w:w="34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802FC7">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Veletri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163E63" w:rsidP="004E4760">
            <w:pPr>
              <w:rPr>
                <w:rFonts w:ascii="Arial" w:hAnsi="Arial" w:cs="Arial"/>
                <w:sz w:val="16"/>
                <w:szCs w:val="16"/>
              </w:rPr>
            </w:pPr>
            <w:r>
              <w:rPr>
                <w:rFonts w:ascii="Arial" w:hAnsi="Arial" w:cs="Arial"/>
                <w:sz w:val="16"/>
                <w:szCs w:val="16"/>
              </w:rPr>
              <w:t>C10228 C10240 C10241</w:t>
            </w:r>
          </w:p>
        </w:tc>
        <w:tc>
          <w:tcPr>
            <w:tcW w:w="424" w:type="pct"/>
          </w:tcPr>
          <w:p w:rsidR="00990B01" w:rsidRPr="00E106BD" w:rsidDel="0013028C"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802FC7">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p>
        </w:tc>
        <w:tc>
          <w:tcPr>
            <w:tcW w:w="94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Powder for I.V. infusion 1.5 mg (as sodium) with 2 vials diluent 50 mL</w:t>
            </w:r>
          </w:p>
        </w:tc>
        <w:tc>
          <w:tcPr>
            <w:tcW w:w="365"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Flolan</w:t>
            </w:r>
          </w:p>
        </w:tc>
        <w:tc>
          <w:tcPr>
            <w:tcW w:w="22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GK</w:t>
            </w:r>
          </w:p>
        </w:tc>
        <w:tc>
          <w:tcPr>
            <w:tcW w:w="477" w:type="pct"/>
          </w:tcPr>
          <w:p w:rsidR="00990B01" w:rsidRPr="00E106BD" w:rsidDel="0013028C" w:rsidRDefault="00163E63" w:rsidP="004E4760">
            <w:pPr>
              <w:rPr>
                <w:rFonts w:ascii="Arial" w:hAnsi="Arial" w:cs="Arial"/>
                <w:sz w:val="16"/>
                <w:szCs w:val="16"/>
              </w:rPr>
            </w:pPr>
            <w:r>
              <w:rPr>
                <w:rFonts w:ascii="Arial" w:hAnsi="Arial" w:cs="Arial"/>
                <w:sz w:val="16"/>
                <w:szCs w:val="16"/>
              </w:rPr>
              <w:t>C10228 C10240 C10241</w:t>
            </w:r>
          </w:p>
        </w:tc>
        <w:tc>
          <w:tcPr>
            <w:tcW w:w="424" w:type="pct"/>
          </w:tcPr>
          <w:p w:rsidR="00990B01" w:rsidRPr="00E106BD" w:rsidDel="0013028C" w:rsidRDefault="00990B01" w:rsidP="004E4760">
            <w:pPr>
              <w:rPr>
                <w:rFonts w:ascii="Arial" w:hAnsi="Arial" w:cs="Arial"/>
                <w:sz w:val="16"/>
                <w:szCs w:val="16"/>
              </w:rPr>
            </w:pPr>
          </w:p>
        </w:tc>
        <w:tc>
          <w:tcPr>
            <w:tcW w:w="34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Etanercept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set containing 4 vials powder for injection 25 mg and 4 pre</w:t>
            </w:r>
            <w:r w:rsidR="00E106BD">
              <w:rPr>
                <w:rFonts w:ascii="Arial" w:hAnsi="Arial" w:cs="Arial"/>
                <w:sz w:val="16"/>
                <w:szCs w:val="16"/>
              </w:rPr>
              <w:noBreakHyphen/>
            </w:r>
            <w:r w:rsidRPr="00E106BD">
              <w:rPr>
                <w:rFonts w:ascii="Arial" w:hAnsi="Arial" w:cs="Arial"/>
                <w:sz w:val="16"/>
                <w:szCs w:val="16"/>
              </w:rPr>
              <w:t>filled syringes solvent 1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Enbrel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 xml:space="preserve">C9384 C9417 </w:t>
            </w:r>
            <w:r w:rsidR="002D683F" w:rsidRPr="00DA6B50">
              <w:rPr>
                <w:rFonts w:ascii="Arial" w:hAnsi="Arial" w:cs="Arial"/>
                <w:sz w:val="16"/>
                <w:szCs w:val="16"/>
              </w:rPr>
              <w:t>C10548 C10578 C10579 C10599</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Injections 50 mg in 1 mL single use pre</w:t>
            </w:r>
            <w:r w:rsidR="00E106BD">
              <w:rPr>
                <w:rFonts w:ascii="Arial" w:hAnsi="Arial" w:cs="Arial"/>
                <w:sz w:val="16"/>
                <w:szCs w:val="16"/>
              </w:rPr>
              <w:noBreakHyphen/>
            </w:r>
            <w:r w:rsidRPr="00E106BD">
              <w:rPr>
                <w:rFonts w:ascii="Arial" w:hAnsi="Arial" w:cs="Arial"/>
                <w:sz w:val="16"/>
                <w:szCs w:val="16"/>
              </w:rPr>
              <w:t>filled syringes, 4</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Enbrel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C9384</w:t>
            </w:r>
            <w:r w:rsidR="002D683F">
              <w:rPr>
                <w:rFonts w:ascii="Arial" w:hAnsi="Arial" w:cs="Arial"/>
                <w:sz w:val="16"/>
                <w:szCs w:val="16"/>
              </w:rPr>
              <w:t xml:space="preserve"> </w:t>
            </w:r>
            <w:r w:rsidR="00271FB8" w:rsidRPr="00E106BD">
              <w:rPr>
                <w:rFonts w:ascii="Arial" w:hAnsi="Arial" w:cs="Arial"/>
                <w:sz w:val="16"/>
                <w:szCs w:val="16"/>
              </w:rPr>
              <w:t xml:space="preserve">C9417 </w:t>
            </w:r>
            <w:r w:rsidR="002D683F" w:rsidRPr="00DA6B50">
              <w:rPr>
                <w:rFonts w:ascii="Arial" w:hAnsi="Arial" w:cs="Arial"/>
                <w:sz w:val="16"/>
                <w:szCs w:val="16"/>
              </w:rPr>
              <w:t>C10548 C10578 C10579 C10599</w:t>
            </w:r>
            <w:r w:rsidR="00271FB8">
              <w:rPr>
                <w:rFonts w:ascii="Arial" w:hAnsi="Arial" w:cs="Arial"/>
                <w:sz w:val="16"/>
                <w:szCs w:val="16"/>
              </w:rPr>
              <w:t xml:space="preserve"> </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 mg in 1 mL single use auto</w:t>
            </w:r>
            <w:r w:rsidR="00E106BD">
              <w:rPr>
                <w:rFonts w:ascii="Arial" w:hAnsi="Arial" w:cs="Arial"/>
                <w:sz w:val="16"/>
                <w:szCs w:val="16"/>
              </w:rPr>
              <w:noBreakHyphen/>
            </w:r>
            <w:r w:rsidRPr="00E106BD">
              <w:rPr>
                <w:rFonts w:ascii="Arial" w:hAnsi="Arial" w:cs="Arial"/>
                <w:sz w:val="16"/>
                <w:szCs w:val="16"/>
              </w:rPr>
              <w:t>injector, 4</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sz w:val="16"/>
                <w:szCs w:val="16"/>
              </w:rPr>
            </w:pPr>
            <w:r w:rsidRPr="00E106BD">
              <w:rPr>
                <w:rFonts w:ascii="Arial" w:hAnsi="Arial" w:cs="Arial"/>
                <w:sz w:val="16"/>
                <w:szCs w:val="16"/>
              </w:rPr>
              <w:t>Enbrel</w:t>
            </w:r>
          </w:p>
        </w:tc>
        <w:tc>
          <w:tcPr>
            <w:tcW w:w="220" w:type="pct"/>
          </w:tcPr>
          <w:p w:rsidR="00990B01" w:rsidRPr="00E106BD" w:rsidRDefault="00990B01" w:rsidP="004E4760">
            <w:pPr>
              <w:rPr>
                <w:sz w:val="16"/>
                <w:szCs w:val="16"/>
              </w:rPr>
            </w:pPr>
            <w:r w:rsidRPr="00E106BD">
              <w:rPr>
                <w:rFonts w:ascii="Arial" w:hAnsi="Arial" w:cs="Arial"/>
                <w:sz w:val="16"/>
                <w:szCs w:val="16"/>
              </w:rPr>
              <w:t>PF</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C9384</w:t>
            </w:r>
            <w:r w:rsidR="002D683F">
              <w:rPr>
                <w:rFonts w:ascii="Arial" w:hAnsi="Arial" w:cs="Arial"/>
                <w:sz w:val="16"/>
                <w:szCs w:val="16"/>
              </w:rPr>
              <w:t xml:space="preserve"> </w:t>
            </w:r>
            <w:r w:rsidR="006966E5" w:rsidRPr="00E106BD">
              <w:rPr>
                <w:rFonts w:ascii="Arial" w:hAnsi="Arial" w:cs="Arial"/>
                <w:sz w:val="16"/>
                <w:szCs w:val="16"/>
              </w:rPr>
              <w:t>C9417</w:t>
            </w:r>
            <w:r w:rsidR="006966E5">
              <w:rPr>
                <w:rFonts w:ascii="Arial" w:hAnsi="Arial" w:cs="Arial"/>
                <w:sz w:val="16"/>
                <w:szCs w:val="16"/>
              </w:rPr>
              <w:t xml:space="preserve"> </w:t>
            </w:r>
            <w:r w:rsidR="002D683F" w:rsidRPr="00DA6B50">
              <w:rPr>
                <w:rFonts w:ascii="Arial" w:hAnsi="Arial" w:cs="Arial"/>
                <w:sz w:val="16"/>
                <w:szCs w:val="16"/>
              </w:rPr>
              <w:t>C10548 C10578 C10579 C10599</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0729D8" w:rsidTr="00802FC7">
        <w:tblPrEx>
          <w:tblBorders>
            <w:top w:val="single" w:sz="4" w:space="0" w:color="auto"/>
          </w:tblBorders>
        </w:tblPrEx>
        <w:trPr>
          <w:cantSplit/>
          <w:tblCellSpacing w:w="22" w:type="dxa"/>
        </w:trPr>
        <w:tc>
          <w:tcPr>
            <w:tcW w:w="1050"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Etravirine</w:t>
            </w:r>
          </w:p>
        </w:tc>
        <w:tc>
          <w:tcPr>
            <w:tcW w:w="943"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 xml:space="preserve">Tablet 200 mg </w:t>
            </w:r>
          </w:p>
        </w:tc>
        <w:tc>
          <w:tcPr>
            <w:tcW w:w="365"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Oral</w:t>
            </w:r>
          </w:p>
        </w:tc>
        <w:tc>
          <w:tcPr>
            <w:tcW w:w="374"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Intelence</w:t>
            </w:r>
          </w:p>
        </w:tc>
        <w:tc>
          <w:tcPr>
            <w:tcW w:w="220"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JC</w:t>
            </w:r>
          </w:p>
        </w:tc>
        <w:tc>
          <w:tcPr>
            <w:tcW w:w="477"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C5014</w:t>
            </w:r>
          </w:p>
        </w:tc>
        <w:tc>
          <w:tcPr>
            <w:tcW w:w="424" w:type="pct"/>
            <w:vAlign w:val="center"/>
          </w:tcPr>
          <w:p w:rsidR="00990B01" w:rsidRPr="00E106BD" w:rsidDel="000729D8" w:rsidRDefault="00990B01" w:rsidP="004E4760">
            <w:pPr>
              <w:rPr>
                <w:rFonts w:ascii="Arial" w:hAnsi="Arial" w:cs="Arial"/>
                <w:sz w:val="16"/>
                <w:szCs w:val="16"/>
              </w:rPr>
            </w:pPr>
          </w:p>
        </w:tc>
        <w:tc>
          <w:tcPr>
            <w:tcW w:w="344"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120</w:t>
            </w:r>
          </w:p>
        </w:tc>
        <w:tc>
          <w:tcPr>
            <w:tcW w:w="297"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5</w:t>
            </w:r>
          </w:p>
        </w:tc>
        <w:tc>
          <w:tcPr>
            <w:tcW w:w="313"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Everolimus</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0.25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Certican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C5554 C5795 C9691 C9693</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0.5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Certican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C5554 C5795 C9691 C9693</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0.75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Certican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C5554 C5795 C9691 C9693</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240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Certican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C5554 C5795 C9691 C9693</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240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76F4A" w:rsidTr="00802FC7">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Filgrastim</w:t>
            </w: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120 micrograms in 0.2 mL single</w:t>
            </w:r>
            <w:r w:rsidR="00E106BD">
              <w:rPr>
                <w:rFonts w:ascii="Arial" w:hAnsi="Arial" w:cs="Arial"/>
                <w:sz w:val="16"/>
                <w:szCs w:val="16"/>
              </w:rPr>
              <w:noBreakHyphen/>
            </w:r>
            <w:r w:rsidRPr="00E106BD">
              <w:rPr>
                <w:rFonts w:ascii="Arial" w:hAnsi="Arial" w:cs="Arial"/>
                <w:sz w:val="16"/>
                <w:szCs w:val="16"/>
              </w:rPr>
              <w:t>use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Nivestim</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24"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802FC7">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300 micrograms in 0.5 mL single</w:t>
            </w:r>
            <w:r w:rsidR="00E106BD">
              <w:rPr>
                <w:rFonts w:ascii="Arial" w:hAnsi="Arial" w:cs="Arial"/>
                <w:sz w:val="16"/>
                <w:szCs w:val="16"/>
              </w:rPr>
              <w:noBreakHyphen/>
            </w:r>
            <w:r w:rsidRPr="00E106BD">
              <w:rPr>
                <w:rFonts w:ascii="Arial" w:hAnsi="Arial" w:cs="Arial"/>
                <w:sz w:val="16"/>
                <w:szCs w:val="16"/>
              </w:rPr>
              <w:t>use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Neupogen</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24"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802FC7">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p>
        </w:tc>
        <w:tc>
          <w:tcPr>
            <w:tcW w:w="365" w:type="pct"/>
          </w:tcPr>
          <w:p w:rsidR="00990B01" w:rsidRPr="00E106BD" w:rsidDel="00476F4A" w:rsidRDefault="00990B01" w:rsidP="004E4760">
            <w:pPr>
              <w:rPr>
                <w:rFonts w:ascii="Arial" w:hAnsi="Arial" w:cs="Arial"/>
                <w:sz w:val="16"/>
                <w:szCs w:val="16"/>
              </w:rPr>
            </w:pP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Nivestim</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24"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802FC7">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p>
        </w:tc>
        <w:tc>
          <w:tcPr>
            <w:tcW w:w="365" w:type="pct"/>
          </w:tcPr>
          <w:p w:rsidR="00990B01" w:rsidRPr="00E106BD" w:rsidDel="00476F4A" w:rsidRDefault="00990B01" w:rsidP="004E4760">
            <w:pPr>
              <w:rPr>
                <w:rFonts w:ascii="Arial" w:hAnsi="Arial" w:cs="Arial"/>
                <w:sz w:val="16"/>
                <w:szCs w:val="16"/>
              </w:rPr>
            </w:pP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Zarzio</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24"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802FC7">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300 micrograms in 1 mL</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Neupogen</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24"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802FC7">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480 micrograms in 0.5 mL single</w:t>
            </w:r>
            <w:r w:rsidR="00E106BD">
              <w:rPr>
                <w:rFonts w:ascii="Arial" w:hAnsi="Arial" w:cs="Arial"/>
                <w:sz w:val="16"/>
                <w:szCs w:val="16"/>
              </w:rPr>
              <w:noBreakHyphen/>
            </w:r>
            <w:r w:rsidRPr="00E106BD">
              <w:rPr>
                <w:rFonts w:ascii="Arial" w:hAnsi="Arial" w:cs="Arial"/>
                <w:sz w:val="16"/>
                <w:szCs w:val="16"/>
              </w:rPr>
              <w:t>use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Neupogen</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24"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802FC7">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p>
        </w:tc>
        <w:tc>
          <w:tcPr>
            <w:tcW w:w="365" w:type="pct"/>
          </w:tcPr>
          <w:p w:rsidR="00990B01" w:rsidRPr="00E106BD" w:rsidDel="00476F4A" w:rsidRDefault="00990B01" w:rsidP="004E4760">
            <w:pPr>
              <w:rPr>
                <w:rFonts w:ascii="Arial" w:hAnsi="Arial" w:cs="Arial"/>
                <w:sz w:val="16"/>
                <w:szCs w:val="16"/>
              </w:rPr>
            </w:pP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Nivestim</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24"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802FC7">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p>
        </w:tc>
        <w:tc>
          <w:tcPr>
            <w:tcW w:w="365" w:type="pct"/>
          </w:tcPr>
          <w:p w:rsidR="00990B01" w:rsidRPr="00E106BD" w:rsidDel="00476F4A" w:rsidRDefault="00990B01" w:rsidP="004E4760">
            <w:pPr>
              <w:rPr>
                <w:rFonts w:ascii="Arial" w:hAnsi="Arial" w:cs="Arial"/>
                <w:sz w:val="16"/>
                <w:szCs w:val="16"/>
              </w:rPr>
            </w:pP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Zarzio</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24"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802FC7">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480 micrograms in 1.6 mL</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Neupogen</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24"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Fosamprenavir</w:t>
            </w:r>
          </w:p>
        </w:tc>
        <w:tc>
          <w:tcPr>
            <w:tcW w:w="943"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Tablet 700 mg (as calcium)</w:t>
            </w:r>
          </w:p>
        </w:tc>
        <w:tc>
          <w:tcPr>
            <w:tcW w:w="365"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Telzir</w:t>
            </w:r>
          </w:p>
        </w:tc>
        <w:tc>
          <w:tcPr>
            <w:tcW w:w="220"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1379E9">
            <w:pPr>
              <w:keepNext/>
              <w:keepLines/>
              <w:rPr>
                <w:rFonts w:ascii="Arial" w:hAnsi="Arial" w:cs="Arial"/>
                <w:sz w:val="16"/>
                <w:szCs w:val="16"/>
              </w:rPr>
            </w:pPr>
          </w:p>
        </w:tc>
        <w:tc>
          <w:tcPr>
            <w:tcW w:w="344"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Ganciclovir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I.V. infusion 500 mg (as sodium)</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Cymevene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PB</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C4972 C4999 C5000 C9404 C9526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GANCICLOVIR SXP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HN</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C4972 C4999 C5000 C9404 C9526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Glecaprevir with pibrentasvir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100 mg glecaprevir with 40 mg pibrentasvir</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Maviret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VE</w:t>
            </w:r>
          </w:p>
        </w:tc>
        <w:tc>
          <w:tcPr>
            <w:tcW w:w="477" w:type="pct"/>
          </w:tcPr>
          <w:p w:rsidR="00990B01" w:rsidRPr="00E106BD" w:rsidRDefault="00990B01" w:rsidP="00607286">
            <w:pPr>
              <w:rPr>
                <w:rFonts w:ascii="Arial" w:hAnsi="Arial" w:cs="Arial"/>
                <w:sz w:val="16"/>
                <w:szCs w:val="16"/>
              </w:rPr>
            </w:pPr>
            <w:r w:rsidRPr="00E106BD">
              <w:rPr>
                <w:rFonts w:ascii="Arial" w:hAnsi="Arial" w:cs="Arial"/>
                <w:sz w:val="16"/>
                <w:szCs w:val="16"/>
              </w:rPr>
              <w:t>C7593 C7615</w:t>
            </w:r>
            <w:r w:rsidRPr="00E106BD">
              <w:rPr>
                <w:i/>
              </w:rPr>
              <w:t xml:space="preserve"> </w:t>
            </w:r>
            <w:r w:rsidRPr="00E106BD">
              <w:rPr>
                <w:rFonts w:ascii="Arial" w:hAnsi="Arial" w:cs="Arial"/>
                <w:iCs/>
                <w:sz w:val="16"/>
                <w:szCs w:val="16"/>
              </w:rPr>
              <w:t>C</w:t>
            </w:r>
            <w:r w:rsidRPr="00E106BD">
              <w:rPr>
                <w:rStyle w:val="charAmendmentKeyword"/>
                <w:b w:val="0"/>
                <w:sz w:val="16"/>
                <w:szCs w:val="16"/>
              </w:rPr>
              <w:t>10268</w:t>
            </w:r>
          </w:p>
        </w:tc>
        <w:tc>
          <w:tcPr>
            <w:tcW w:w="424" w:type="pct"/>
          </w:tcPr>
          <w:p w:rsidR="00990B01" w:rsidRPr="00E106BD" w:rsidRDefault="00990B01" w:rsidP="004E4760">
            <w:pPr>
              <w:rPr>
                <w:rFonts w:ascii="Arial" w:hAnsi="Arial" w:cs="Arial"/>
                <w:sz w:val="16"/>
                <w:szCs w:val="16"/>
              </w:rPr>
            </w:pPr>
            <w:r w:rsidRPr="00E106BD">
              <w:rPr>
                <w:rFonts w:ascii="Arial" w:hAnsi="Arial" w:cs="Arial"/>
                <w:sz w:val="16"/>
                <w:szCs w:val="16"/>
              </w:rPr>
              <w:t>P7593</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313" w:type="pct"/>
          </w:tcPr>
          <w:p w:rsidR="00990B01" w:rsidRPr="00E106BD" w:rsidRDefault="00990B01" w:rsidP="004E4760">
            <w:pPr>
              <w:rPr>
                <w:rFonts w:ascii="Arial" w:hAnsi="Arial" w:cs="Arial"/>
                <w:sz w:val="16"/>
                <w:szCs w:val="16"/>
              </w:rPr>
            </w:pP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77" w:type="pct"/>
          </w:tcPr>
          <w:p w:rsidR="00990B01" w:rsidRPr="00E106BD" w:rsidRDefault="00990B01" w:rsidP="00607286">
            <w:pPr>
              <w:rPr>
                <w:rFonts w:ascii="Arial" w:hAnsi="Arial" w:cs="Arial"/>
                <w:sz w:val="16"/>
                <w:szCs w:val="16"/>
              </w:rPr>
            </w:pPr>
            <w:r w:rsidRPr="00E106BD">
              <w:rPr>
                <w:rFonts w:ascii="Arial" w:hAnsi="Arial" w:cs="Arial"/>
                <w:sz w:val="16"/>
                <w:szCs w:val="16"/>
              </w:rPr>
              <w:t>C7593 C7615</w:t>
            </w:r>
            <w:r w:rsidRPr="00E106BD">
              <w:rPr>
                <w:i/>
              </w:rPr>
              <w:t xml:space="preserve"> </w:t>
            </w:r>
            <w:r w:rsidRPr="00E106BD">
              <w:rPr>
                <w:rFonts w:ascii="Arial" w:hAnsi="Arial" w:cs="Arial"/>
                <w:iCs/>
                <w:sz w:val="16"/>
                <w:szCs w:val="16"/>
              </w:rPr>
              <w:t>C</w:t>
            </w:r>
            <w:r w:rsidRPr="00E106BD">
              <w:rPr>
                <w:rStyle w:val="charAmendmentKeyword"/>
                <w:b w:val="0"/>
                <w:sz w:val="16"/>
                <w:szCs w:val="16"/>
              </w:rPr>
              <w:t>10268</w:t>
            </w:r>
          </w:p>
        </w:tc>
        <w:tc>
          <w:tcPr>
            <w:tcW w:w="424" w:type="pct"/>
          </w:tcPr>
          <w:p w:rsidR="00990B01" w:rsidRPr="00E106BD" w:rsidRDefault="00990B01" w:rsidP="004E4760">
            <w:pPr>
              <w:rPr>
                <w:rFonts w:ascii="Arial" w:hAnsi="Arial" w:cs="Arial"/>
                <w:sz w:val="16"/>
                <w:szCs w:val="16"/>
              </w:rPr>
            </w:pPr>
            <w:r w:rsidRPr="00E106BD">
              <w:rPr>
                <w:rFonts w:ascii="Arial" w:hAnsi="Arial" w:cs="Arial"/>
                <w:sz w:val="16"/>
                <w:szCs w:val="16"/>
              </w:rPr>
              <w:t>P7615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4E4760">
            <w:pPr>
              <w:rPr>
                <w:rFonts w:ascii="Arial" w:hAnsi="Arial" w:cs="Arial"/>
                <w:sz w:val="16"/>
                <w:szCs w:val="16"/>
              </w:rPr>
            </w:pP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77" w:type="pct"/>
          </w:tcPr>
          <w:p w:rsidR="00990B01" w:rsidRPr="00E106BD" w:rsidRDefault="00990B01" w:rsidP="00607286">
            <w:pPr>
              <w:rPr>
                <w:rFonts w:ascii="Arial" w:hAnsi="Arial" w:cs="Arial"/>
                <w:sz w:val="16"/>
                <w:szCs w:val="16"/>
              </w:rPr>
            </w:pPr>
            <w:r w:rsidRPr="00E106BD">
              <w:rPr>
                <w:rFonts w:ascii="Arial" w:hAnsi="Arial" w:cs="Arial"/>
                <w:sz w:val="16"/>
                <w:szCs w:val="16"/>
              </w:rPr>
              <w:t>C7593 C7615</w:t>
            </w:r>
            <w:r w:rsidRPr="00E106BD">
              <w:rPr>
                <w:i/>
              </w:rPr>
              <w:t xml:space="preserve"> </w:t>
            </w:r>
            <w:r w:rsidRPr="00E106BD">
              <w:rPr>
                <w:rFonts w:ascii="Arial" w:hAnsi="Arial" w:cs="Arial"/>
                <w:iCs/>
                <w:sz w:val="16"/>
                <w:szCs w:val="16"/>
              </w:rPr>
              <w:t>C</w:t>
            </w:r>
            <w:r w:rsidRPr="00E106BD">
              <w:rPr>
                <w:rStyle w:val="charAmendmentKeyword"/>
                <w:b w:val="0"/>
                <w:sz w:val="16"/>
                <w:szCs w:val="16"/>
              </w:rPr>
              <w:t>10268</w:t>
            </w:r>
          </w:p>
        </w:tc>
        <w:tc>
          <w:tcPr>
            <w:tcW w:w="424" w:type="pct"/>
          </w:tcPr>
          <w:p w:rsidR="00990B01" w:rsidRPr="00E106BD" w:rsidRDefault="00990B01" w:rsidP="004E4760">
            <w:pPr>
              <w:rPr>
                <w:rFonts w:ascii="Arial" w:hAnsi="Arial" w:cs="Arial"/>
                <w:sz w:val="16"/>
                <w:szCs w:val="16"/>
              </w:rPr>
            </w:pPr>
            <w:r w:rsidRPr="00E106BD">
              <w:rPr>
                <w:rFonts w:ascii="Arial" w:hAnsi="Arial" w:cs="Arial"/>
                <w:iCs/>
                <w:sz w:val="16"/>
                <w:szCs w:val="16"/>
              </w:rPr>
              <w:t>P</w:t>
            </w:r>
            <w:r w:rsidRPr="00E106BD">
              <w:rPr>
                <w:rStyle w:val="charAmendmentKeyword"/>
                <w:b w:val="0"/>
                <w:sz w:val="16"/>
                <w:szCs w:val="16"/>
              </w:rPr>
              <w:t>10268</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3</w:t>
            </w:r>
          </w:p>
        </w:tc>
        <w:tc>
          <w:tcPr>
            <w:tcW w:w="313" w:type="pct"/>
          </w:tcPr>
          <w:p w:rsidR="00990B01" w:rsidRPr="00E106BD" w:rsidRDefault="00990B01" w:rsidP="004E4760">
            <w:pPr>
              <w:rPr>
                <w:rFonts w:ascii="Arial" w:hAnsi="Arial" w:cs="Arial"/>
                <w:sz w:val="16"/>
                <w:szCs w:val="16"/>
              </w:rPr>
            </w:pP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7C68BA">
            <w:pPr>
              <w:keepNext/>
              <w:rPr>
                <w:rFonts w:ascii="Arial" w:hAnsi="Arial" w:cs="Arial"/>
                <w:sz w:val="16"/>
                <w:szCs w:val="16"/>
              </w:rPr>
            </w:pPr>
            <w:r w:rsidRPr="00E106BD">
              <w:rPr>
                <w:rFonts w:ascii="Arial" w:hAnsi="Arial" w:cs="Arial"/>
                <w:sz w:val="16"/>
                <w:szCs w:val="16"/>
              </w:rPr>
              <w:t>Grazoprevir with elbasvir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grazoprevir 100 mg with elbasvir 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Zepatier</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MK</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C5969 C6625</w:t>
            </w:r>
          </w:p>
        </w:tc>
        <w:tc>
          <w:tcPr>
            <w:tcW w:w="424" w:type="pct"/>
          </w:tcPr>
          <w:p w:rsidR="00990B01" w:rsidRPr="00E106BD" w:rsidRDefault="00990B01" w:rsidP="004E4760">
            <w:pPr>
              <w:rPr>
                <w:rFonts w:ascii="Arial" w:hAnsi="Arial" w:cs="Arial"/>
                <w:sz w:val="16"/>
                <w:szCs w:val="16"/>
              </w:rPr>
            </w:pPr>
            <w:r w:rsidRPr="00E106BD">
              <w:rPr>
                <w:rFonts w:ascii="Arial" w:hAnsi="Arial" w:cs="Arial"/>
                <w:sz w:val="16"/>
                <w:szCs w:val="16"/>
              </w:rPr>
              <w:t>P5969</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4E4760">
            <w:pPr>
              <w:rPr>
                <w:rFonts w:ascii="Arial" w:hAnsi="Arial" w:cs="Arial"/>
                <w:sz w:val="16"/>
                <w:szCs w:val="16"/>
              </w:rPr>
            </w:pP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C5969 C6625</w:t>
            </w:r>
          </w:p>
        </w:tc>
        <w:tc>
          <w:tcPr>
            <w:tcW w:w="424" w:type="pct"/>
          </w:tcPr>
          <w:p w:rsidR="00990B01" w:rsidRPr="00E106BD" w:rsidRDefault="00990B01" w:rsidP="004E4760">
            <w:pPr>
              <w:rPr>
                <w:rFonts w:ascii="Arial" w:hAnsi="Arial" w:cs="Arial"/>
                <w:sz w:val="16"/>
                <w:szCs w:val="16"/>
              </w:rPr>
            </w:pPr>
            <w:r w:rsidRPr="00E106BD">
              <w:rPr>
                <w:rFonts w:ascii="Arial" w:hAnsi="Arial" w:cs="Arial"/>
                <w:sz w:val="16"/>
                <w:szCs w:val="16"/>
              </w:rPr>
              <w:t>P6625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3</w:t>
            </w:r>
          </w:p>
        </w:tc>
        <w:tc>
          <w:tcPr>
            <w:tcW w:w="313" w:type="pct"/>
          </w:tcPr>
          <w:p w:rsidR="00990B01" w:rsidRPr="00E106BD" w:rsidRDefault="00990B01" w:rsidP="004E4760">
            <w:pPr>
              <w:rPr>
                <w:rFonts w:ascii="Arial" w:hAnsi="Arial" w:cs="Arial"/>
                <w:sz w:val="16"/>
                <w:szCs w:val="16"/>
              </w:rPr>
            </w:pP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Ibandronic acid</w:t>
            </w:r>
          </w:p>
        </w:tc>
        <w:tc>
          <w:tcPr>
            <w:tcW w:w="943"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Concentrated injection for I.V. infusion 6 mg (as ibandronate sodium monohydrate) in 6 mL</w:t>
            </w:r>
          </w:p>
        </w:tc>
        <w:tc>
          <w:tcPr>
            <w:tcW w:w="365"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Bondronat</w:t>
            </w:r>
          </w:p>
        </w:tc>
        <w:tc>
          <w:tcPr>
            <w:tcW w:w="220"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IX</w:t>
            </w:r>
          </w:p>
        </w:tc>
        <w:tc>
          <w:tcPr>
            <w:tcW w:w="477"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C5291 C9333</w:t>
            </w:r>
          </w:p>
        </w:tc>
        <w:tc>
          <w:tcPr>
            <w:tcW w:w="424" w:type="pct"/>
          </w:tcPr>
          <w:p w:rsidR="00990B01" w:rsidRPr="00E106BD" w:rsidRDefault="00990B01" w:rsidP="007363B8">
            <w:pPr>
              <w:keepNext/>
              <w:rPr>
                <w:rFonts w:ascii="Arial" w:hAnsi="Arial" w:cs="Arial"/>
                <w:sz w:val="16"/>
                <w:szCs w:val="16"/>
              </w:rPr>
            </w:pPr>
          </w:p>
        </w:tc>
        <w:tc>
          <w:tcPr>
            <w:tcW w:w="344"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1</w:t>
            </w:r>
          </w:p>
        </w:tc>
        <w:tc>
          <w:tcPr>
            <w:tcW w:w="297"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11</w:t>
            </w:r>
          </w:p>
        </w:tc>
        <w:tc>
          <w:tcPr>
            <w:tcW w:w="313"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PB</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Iloprost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Solution for inhalation 20 micrograms (as trometamol) in 2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Inhalation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Ventavis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BN</w:t>
            </w:r>
          </w:p>
        </w:tc>
        <w:tc>
          <w:tcPr>
            <w:tcW w:w="477" w:type="pct"/>
          </w:tcPr>
          <w:p w:rsidR="00990B01" w:rsidRPr="00E106BD" w:rsidRDefault="00163E63" w:rsidP="004E4760">
            <w:pPr>
              <w:rPr>
                <w:rFonts w:ascii="Arial" w:hAnsi="Arial" w:cs="Arial"/>
                <w:sz w:val="16"/>
                <w:szCs w:val="16"/>
              </w:rPr>
            </w:pPr>
            <w:r>
              <w:rPr>
                <w:rFonts w:ascii="Arial" w:hAnsi="Arial" w:cs="Arial"/>
                <w:sz w:val="16"/>
                <w:szCs w:val="16"/>
              </w:rPr>
              <w:t>C10228 C10229 C10284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802FC7">
        <w:tblPrEx>
          <w:tblBorders>
            <w:top w:val="single" w:sz="4" w:space="0" w:color="auto"/>
          </w:tblBorders>
        </w:tblPrEx>
        <w:trPr>
          <w:tblCellSpacing w:w="22" w:type="dxa"/>
        </w:trPr>
        <w:tc>
          <w:tcPr>
            <w:tcW w:w="1050"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Infliximab</w:t>
            </w:r>
          </w:p>
        </w:tc>
        <w:tc>
          <w:tcPr>
            <w:tcW w:w="943"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Powder for I.V. infusion 100 mg</w:t>
            </w:r>
          </w:p>
        </w:tc>
        <w:tc>
          <w:tcPr>
            <w:tcW w:w="365"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Inflectra</w:t>
            </w:r>
          </w:p>
        </w:tc>
        <w:tc>
          <w:tcPr>
            <w:tcW w:w="220"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PF</w:t>
            </w:r>
          </w:p>
        </w:tc>
        <w:tc>
          <w:tcPr>
            <w:tcW w:w="477" w:type="pct"/>
          </w:tcPr>
          <w:p w:rsidR="00990B01" w:rsidRPr="00E106BD" w:rsidDel="0013028C" w:rsidRDefault="00990B01" w:rsidP="00757292">
            <w:pPr>
              <w:rPr>
                <w:rFonts w:ascii="Arial" w:hAnsi="Arial" w:cs="Arial"/>
                <w:sz w:val="16"/>
                <w:szCs w:val="16"/>
              </w:rPr>
            </w:pPr>
            <w:r w:rsidRPr="00E106BD">
              <w:rPr>
                <w:rFonts w:ascii="Arial" w:hAnsi="Arial" w:cs="Arial"/>
                <w:sz w:val="16"/>
                <w:szCs w:val="16"/>
              </w:rPr>
              <w:t>C4524 C7777 C8296 C8644 C8645 C8646 C8715 C8743 C8744 C8745 C8755 C8800 C8801 C8844 C8881 C8883 C8885 C8886 C8940 C8941 C8962 C8983 C9065 C9067 C9068 C9110 C9111 C9169 C9188 C9191 C9400 C9401 C9402 C9472 C9481 C9487 C9558 C9559 C9584 C9587 C9602 C9621 C9632 C9668 C9669 C9675 C9676 C9677 C9719 C9721 C9731 C9732 C9733 C9751 C9752 C9754 C9756 C9759 C9775 C9776 C9778 C9779 C9781 C9783 C9785 C9787 C9788 C9799 C9800 C9803 C9806 C9877 C9900 C9975 C9994</w:t>
            </w:r>
          </w:p>
        </w:tc>
        <w:tc>
          <w:tcPr>
            <w:tcW w:w="424" w:type="pct"/>
          </w:tcPr>
          <w:p w:rsidR="00990B01" w:rsidRPr="00E106BD" w:rsidDel="0013028C" w:rsidRDefault="00990B01" w:rsidP="005F1ACB">
            <w:pPr>
              <w:rPr>
                <w:rFonts w:ascii="Arial" w:hAnsi="Arial" w:cs="Arial"/>
                <w:sz w:val="16"/>
                <w:szCs w:val="16"/>
              </w:rPr>
            </w:pPr>
          </w:p>
        </w:tc>
        <w:tc>
          <w:tcPr>
            <w:tcW w:w="34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D</w:t>
            </w:r>
          </w:p>
        </w:tc>
      </w:tr>
      <w:tr w:rsidR="00990B01" w:rsidRPr="00E106BD" w:rsidDel="0013028C" w:rsidTr="00802FC7">
        <w:tblPrEx>
          <w:tblBorders>
            <w:top w:val="single" w:sz="4" w:space="0" w:color="auto"/>
          </w:tblBorders>
        </w:tblPrEx>
        <w:trPr>
          <w:tblCellSpacing w:w="22" w:type="dxa"/>
        </w:trPr>
        <w:tc>
          <w:tcPr>
            <w:tcW w:w="1050" w:type="pct"/>
          </w:tcPr>
          <w:p w:rsidR="00990B01" w:rsidRPr="00E106BD" w:rsidDel="0013028C" w:rsidRDefault="00990B01" w:rsidP="00B24C51">
            <w:pPr>
              <w:rPr>
                <w:rFonts w:ascii="Arial" w:hAnsi="Arial" w:cs="Arial"/>
                <w:sz w:val="16"/>
                <w:szCs w:val="16"/>
              </w:rPr>
            </w:pPr>
          </w:p>
        </w:tc>
        <w:tc>
          <w:tcPr>
            <w:tcW w:w="943" w:type="pct"/>
          </w:tcPr>
          <w:p w:rsidR="00990B01" w:rsidRPr="00E106BD" w:rsidDel="0013028C" w:rsidRDefault="00990B01" w:rsidP="00B24C51">
            <w:pPr>
              <w:rPr>
                <w:rFonts w:ascii="Arial" w:hAnsi="Arial" w:cs="Arial"/>
                <w:sz w:val="16"/>
                <w:szCs w:val="16"/>
              </w:rPr>
            </w:pPr>
          </w:p>
        </w:tc>
        <w:tc>
          <w:tcPr>
            <w:tcW w:w="365" w:type="pct"/>
          </w:tcPr>
          <w:p w:rsidR="00990B01" w:rsidRPr="00E106BD" w:rsidDel="0013028C" w:rsidRDefault="00990B01" w:rsidP="00B24C51">
            <w:pPr>
              <w:rPr>
                <w:rFonts w:ascii="Arial" w:hAnsi="Arial" w:cs="Arial"/>
                <w:sz w:val="16"/>
                <w:szCs w:val="16"/>
              </w:rPr>
            </w:pPr>
          </w:p>
        </w:tc>
        <w:tc>
          <w:tcPr>
            <w:tcW w:w="37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Remicade</w:t>
            </w:r>
          </w:p>
        </w:tc>
        <w:tc>
          <w:tcPr>
            <w:tcW w:w="220"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JC</w:t>
            </w:r>
          </w:p>
        </w:tc>
        <w:tc>
          <w:tcPr>
            <w:tcW w:w="477" w:type="pct"/>
          </w:tcPr>
          <w:p w:rsidR="00990B01" w:rsidRPr="00E106BD" w:rsidDel="0013028C" w:rsidRDefault="00990B01" w:rsidP="001D0611">
            <w:pPr>
              <w:rPr>
                <w:rFonts w:ascii="Arial" w:hAnsi="Arial" w:cs="Arial"/>
                <w:sz w:val="16"/>
                <w:szCs w:val="16"/>
              </w:rPr>
            </w:pPr>
            <w:r w:rsidRPr="00E106BD">
              <w:rPr>
                <w:rFonts w:ascii="Arial" w:hAnsi="Arial" w:cs="Arial"/>
                <w:sz w:val="16"/>
                <w:szCs w:val="16"/>
              </w:rPr>
              <w:t>C4524 C7777 C8296 C8644 C8645 C8646 C8715 C8743 C8744 C8745 C8800 C8801 C8881 C8883 C8885 C8886 C8941 C8962 C8983 C9065 C9067 C9068 C9110 C9111 C9169 C9191 C9400 C9401 C9402 C9487 C9558 C9559 C9587 C9632 C9669 C9675 C9676 C9677 C9719 C9721 C9751 C9752 C9754 C9756 C9759 C9776 C9778 C9779 C9781 C9783 C9788 C9799 C9800 C9803 C9877 C9900 C9994</w:t>
            </w:r>
          </w:p>
        </w:tc>
        <w:tc>
          <w:tcPr>
            <w:tcW w:w="424" w:type="pct"/>
          </w:tcPr>
          <w:p w:rsidR="00990B01" w:rsidRPr="00E106BD" w:rsidDel="0013028C" w:rsidRDefault="00990B01" w:rsidP="005F1ACB">
            <w:pPr>
              <w:rPr>
                <w:rFonts w:ascii="Arial" w:hAnsi="Arial" w:cs="Arial"/>
                <w:sz w:val="16"/>
                <w:szCs w:val="16"/>
              </w:rPr>
            </w:pPr>
          </w:p>
        </w:tc>
        <w:tc>
          <w:tcPr>
            <w:tcW w:w="34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D</w:t>
            </w:r>
          </w:p>
        </w:tc>
      </w:tr>
      <w:tr w:rsidR="00990B01" w:rsidRPr="00E106BD" w:rsidDel="0013028C" w:rsidTr="00802FC7">
        <w:tblPrEx>
          <w:tblBorders>
            <w:top w:val="single" w:sz="4" w:space="0" w:color="auto"/>
          </w:tblBorders>
        </w:tblPrEx>
        <w:trPr>
          <w:tblCellSpacing w:w="22" w:type="dxa"/>
        </w:trPr>
        <w:tc>
          <w:tcPr>
            <w:tcW w:w="1050" w:type="pct"/>
          </w:tcPr>
          <w:p w:rsidR="00990B01" w:rsidRPr="00E106BD" w:rsidDel="0013028C" w:rsidRDefault="00990B01" w:rsidP="00B24C51">
            <w:pPr>
              <w:rPr>
                <w:rFonts w:ascii="Arial" w:hAnsi="Arial" w:cs="Arial"/>
                <w:sz w:val="16"/>
                <w:szCs w:val="16"/>
              </w:rPr>
            </w:pPr>
          </w:p>
        </w:tc>
        <w:tc>
          <w:tcPr>
            <w:tcW w:w="943" w:type="pct"/>
          </w:tcPr>
          <w:p w:rsidR="00990B01" w:rsidRPr="00E106BD" w:rsidDel="0013028C" w:rsidRDefault="00990B01" w:rsidP="00B24C51">
            <w:pPr>
              <w:rPr>
                <w:rFonts w:ascii="Arial" w:hAnsi="Arial" w:cs="Arial"/>
                <w:sz w:val="16"/>
                <w:szCs w:val="16"/>
              </w:rPr>
            </w:pPr>
          </w:p>
        </w:tc>
        <w:tc>
          <w:tcPr>
            <w:tcW w:w="365" w:type="pct"/>
          </w:tcPr>
          <w:p w:rsidR="00990B01" w:rsidRPr="00E106BD" w:rsidDel="0013028C" w:rsidRDefault="00990B01" w:rsidP="00B24C51">
            <w:pPr>
              <w:rPr>
                <w:rFonts w:ascii="Arial" w:hAnsi="Arial" w:cs="Arial"/>
                <w:sz w:val="16"/>
                <w:szCs w:val="16"/>
              </w:rPr>
            </w:pPr>
          </w:p>
        </w:tc>
        <w:tc>
          <w:tcPr>
            <w:tcW w:w="37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Renflexis</w:t>
            </w:r>
          </w:p>
        </w:tc>
        <w:tc>
          <w:tcPr>
            <w:tcW w:w="220"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MK</w:t>
            </w:r>
          </w:p>
        </w:tc>
        <w:tc>
          <w:tcPr>
            <w:tcW w:w="477" w:type="pct"/>
          </w:tcPr>
          <w:p w:rsidR="00990B01" w:rsidRPr="00E106BD" w:rsidDel="0013028C" w:rsidRDefault="00990B01" w:rsidP="001D0611">
            <w:pPr>
              <w:rPr>
                <w:rFonts w:ascii="Arial" w:hAnsi="Arial" w:cs="Arial"/>
                <w:sz w:val="16"/>
                <w:szCs w:val="16"/>
              </w:rPr>
            </w:pPr>
            <w:r w:rsidRPr="00E106BD">
              <w:rPr>
                <w:rFonts w:ascii="Arial" w:hAnsi="Arial" w:cs="Arial"/>
                <w:sz w:val="16"/>
                <w:szCs w:val="16"/>
              </w:rPr>
              <w:t>C4524 C7777 C8296 C8644 C8645 C8646 C8715 C8743 C8744 C8745 C8755 C8800 C8801 C8844 C8881 C8883 C8885 C8886 C8940 C8941 C8962 C8983 C9065 C9067 C9068 C9110 C9111 C9169 C9188 C9191 C9400 C9401 C9402 C9472 C9481 C9487 C9558 C9559 C9584 C9587 C9602 C9621 C9632 C9668 C9669 C9675 C9676 C9677 C9719 C9721 C9731 C9732 C9733 C9751 C9752 C9754 C9756 C9759 C9775 C9776 C9778 C9779 C9781 C9783 C9785 C9787 C9788 C9799 C9800 C9803 C9806 C9877 C9900 C9975 C9994</w:t>
            </w:r>
          </w:p>
        </w:tc>
        <w:tc>
          <w:tcPr>
            <w:tcW w:w="424" w:type="pct"/>
          </w:tcPr>
          <w:p w:rsidR="00990B01" w:rsidRPr="00E106BD" w:rsidDel="0013028C" w:rsidRDefault="00990B01" w:rsidP="005F1ACB">
            <w:pPr>
              <w:rPr>
                <w:rFonts w:ascii="Arial" w:hAnsi="Arial" w:cs="Arial"/>
                <w:sz w:val="16"/>
                <w:szCs w:val="16"/>
              </w:rPr>
            </w:pPr>
          </w:p>
        </w:tc>
        <w:tc>
          <w:tcPr>
            <w:tcW w:w="34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Interferon Alfa</w:t>
            </w:r>
            <w:r w:rsidR="00E106BD">
              <w:rPr>
                <w:rFonts w:ascii="Arial" w:hAnsi="Arial" w:cs="Arial"/>
                <w:sz w:val="16"/>
                <w:szCs w:val="16"/>
              </w:rPr>
              <w:noBreakHyphen/>
            </w:r>
            <w:r w:rsidRPr="00E106BD">
              <w:rPr>
                <w:rFonts w:ascii="Arial" w:hAnsi="Arial" w:cs="Arial"/>
                <w:sz w:val="16"/>
                <w:szCs w:val="16"/>
              </w:rPr>
              <w:t>2a</w:t>
            </w:r>
          </w:p>
        </w:tc>
        <w:tc>
          <w:tcPr>
            <w:tcW w:w="943"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Injection 3,000,000 I.U. in 0.5 mL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Roferon</w:t>
            </w:r>
            <w:r w:rsidR="00E106BD">
              <w:rPr>
                <w:rFonts w:ascii="Arial" w:hAnsi="Arial" w:cs="Arial"/>
                <w:sz w:val="16"/>
                <w:szCs w:val="16"/>
              </w:rPr>
              <w:noBreakHyphen/>
            </w:r>
            <w:r w:rsidRPr="00E106BD">
              <w:rPr>
                <w:rFonts w:ascii="Arial" w:hAnsi="Arial" w:cs="Arial"/>
                <w:sz w:val="16"/>
                <w:szCs w:val="16"/>
              </w:rPr>
              <w:t>A</w:t>
            </w:r>
          </w:p>
        </w:tc>
        <w:tc>
          <w:tcPr>
            <w:tcW w:w="220"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RO</w:t>
            </w:r>
          </w:p>
        </w:tc>
        <w:tc>
          <w:tcPr>
            <w:tcW w:w="477" w:type="pct"/>
          </w:tcPr>
          <w:p w:rsidR="00990B01" w:rsidRPr="00E106BD" w:rsidRDefault="00990B01" w:rsidP="005C2207">
            <w:pPr>
              <w:keepNext/>
              <w:rPr>
                <w:rFonts w:ascii="Arial" w:hAnsi="Arial" w:cs="Arial"/>
                <w:sz w:val="16"/>
                <w:szCs w:val="16"/>
              </w:rPr>
            </w:pPr>
            <w:r w:rsidRPr="00E106BD">
              <w:rPr>
                <w:rFonts w:ascii="Arial" w:hAnsi="Arial" w:cs="Arial"/>
                <w:sz w:val="16"/>
                <w:szCs w:val="16"/>
              </w:rPr>
              <w:t>C4993 C5036 C5042 C9259</w:t>
            </w:r>
          </w:p>
        </w:tc>
        <w:tc>
          <w:tcPr>
            <w:tcW w:w="424" w:type="pct"/>
          </w:tcPr>
          <w:p w:rsidR="00990B01" w:rsidRPr="00E106BD" w:rsidRDefault="00990B01" w:rsidP="0091780B">
            <w:pPr>
              <w:keepNext/>
              <w:rPr>
                <w:rFonts w:ascii="Arial" w:hAnsi="Arial" w:cs="Arial"/>
                <w:sz w:val="16"/>
                <w:szCs w:val="16"/>
              </w:rPr>
            </w:pPr>
          </w:p>
        </w:tc>
        <w:tc>
          <w:tcPr>
            <w:tcW w:w="344"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30</w:t>
            </w:r>
          </w:p>
        </w:tc>
        <w:tc>
          <w:tcPr>
            <w:tcW w:w="297"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9,000,000 I.U. in 0.5 mL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Roferon</w:t>
            </w:r>
            <w:r w:rsidR="00E106BD">
              <w:rPr>
                <w:rFonts w:ascii="Arial" w:hAnsi="Arial" w:cs="Arial"/>
                <w:sz w:val="16"/>
                <w:szCs w:val="16"/>
              </w:rPr>
              <w:noBreakHyphen/>
            </w:r>
            <w:r w:rsidRPr="00E106BD">
              <w:rPr>
                <w:rFonts w:ascii="Arial" w:hAnsi="Arial" w:cs="Arial"/>
                <w:sz w:val="16"/>
                <w:szCs w:val="16"/>
              </w:rPr>
              <w:t>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77" w:type="pct"/>
          </w:tcPr>
          <w:p w:rsidR="00990B01" w:rsidRPr="00E106BD" w:rsidRDefault="00990B01" w:rsidP="005C2207">
            <w:pPr>
              <w:rPr>
                <w:rFonts w:ascii="Arial" w:hAnsi="Arial" w:cs="Arial"/>
                <w:sz w:val="16"/>
                <w:szCs w:val="16"/>
              </w:rPr>
            </w:pPr>
            <w:r w:rsidRPr="00E106BD">
              <w:rPr>
                <w:rFonts w:ascii="Arial" w:hAnsi="Arial" w:cs="Arial"/>
                <w:sz w:val="16"/>
                <w:szCs w:val="16"/>
              </w:rPr>
              <w:t>C4993 C5036 C5042 C9259</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30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Interferon Gamma</w:t>
            </w:r>
            <w:r w:rsidR="00E106BD">
              <w:rPr>
                <w:rFonts w:ascii="Arial" w:hAnsi="Arial" w:cs="Arial"/>
                <w:sz w:val="16"/>
                <w:szCs w:val="16"/>
              </w:rPr>
              <w:noBreakHyphen/>
            </w:r>
            <w:r w:rsidRPr="00E106BD">
              <w:rPr>
                <w:rFonts w:ascii="Arial" w:hAnsi="Arial" w:cs="Arial"/>
                <w:sz w:val="16"/>
                <w:szCs w:val="16"/>
              </w:rPr>
              <w:t>1b</w:t>
            </w:r>
          </w:p>
        </w:tc>
        <w:tc>
          <w:tcPr>
            <w:tcW w:w="943"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Injection 2,000,000 I.U. in 0.5 mL</w:t>
            </w:r>
          </w:p>
        </w:tc>
        <w:tc>
          <w:tcPr>
            <w:tcW w:w="365"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Imukin</w:t>
            </w:r>
          </w:p>
        </w:tc>
        <w:tc>
          <w:tcPr>
            <w:tcW w:w="220"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EU</w:t>
            </w:r>
          </w:p>
        </w:tc>
        <w:tc>
          <w:tcPr>
            <w:tcW w:w="477" w:type="pct"/>
          </w:tcPr>
          <w:p w:rsidR="00990B01" w:rsidRPr="00E106BD" w:rsidRDefault="00990B01">
            <w:pPr>
              <w:keepNext/>
              <w:keepLines/>
              <w:rPr>
                <w:rFonts w:ascii="Arial" w:hAnsi="Arial" w:cs="Arial"/>
                <w:sz w:val="16"/>
                <w:szCs w:val="16"/>
              </w:rPr>
            </w:pPr>
            <w:r w:rsidRPr="00E106BD">
              <w:rPr>
                <w:rFonts w:ascii="Arial" w:hAnsi="Arial" w:cs="Arial"/>
                <w:sz w:val="16"/>
                <w:szCs w:val="16"/>
              </w:rPr>
              <w:t>C6222 C9639</w:t>
            </w:r>
          </w:p>
        </w:tc>
        <w:tc>
          <w:tcPr>
            <w:tcW w:w="424" w:type="pct"/>
          </w:tcPr>
          <w:p w:rsidR="00990B01" w:rsidRPr="00E106BD" w:rsidRDefault="00990B01" w:rsidP="00803B48">
            <w:pPr>
              <w:keepNext/>
              <w:keepLines/>
              <w:rPr>
                <w:rFonts w:ascii="Arial" w:hAnsi="Arial" w:cs="Arial"/>
                <w:sz w:val="16"/>
                <w:szCs w:val="16"/>
              </w:rPr>
            </w:pPr>
          </w:p>
        </w:tc>
        <w:tc>
          <w:tcPr>
            <w:tcW w:w="344"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11</w:t>
            </w:r>
          </w:p>
        </w:tc>
        <w:tc>
          <w:tcPr>
            <w:tcW w:w="313"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Ivacaftor</w:t>
            </w:r>
          </w:p>
        </w:tc>
        <w:tc>
          <w:tcPr>
            <w:tcW w:w="94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Sachet containing granules 50 mg</w:t>
            </w:r>
          </w:p>
        </w:tc>
        <w:tc>
          <w:tcPr>
            <w:tcW w:w="365"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Kalydeco</w:t>
            </w:r>
          </w:p>
        </w:tc>
        <w:tc>
          <w:tcPr>
            <w:tcW w:w="220"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VR</w:t>
            </w:r>
          </w:p>
        </w:tc>
        <w:tc>
          <w:tcPr>
            <w:tcW w:w="477"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C9889 C9890</w:t>
            </w:r>
          </w:p>
        </w:tc>
        <w:tc>
          <w:tcPr>
            <w:tcW w:w="424" w:type="pct"/>
          </w:tcPr>
          <w:p w:rsidR="00990B01" w:rsidRPr="00E106BD" w:rsidDel="00B4652E" w:rsidRDefault="00990B01" w:rsidP="00F62ECA">
            <w:pPr>
              <w:rPr>
                <w:rFonts w:ascii="Arial" w:hAnsi="Arial" w:cs="Arial"/>
                <w:sz w:val="16"/>
                <w:szCs w:val="16"/>
              </w:rPr>
            </w:pPr>
          </w:p>
        </w:tc>
        <w:tc>
          <w:tcPr>
            <w:tcW w:w="34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w:t>
            </w:r>
          </w:p>
        </w:tc>
        <w:tc>
          <w:tcPr>
            <w:tcW w:w="31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803B48">
            <w:pPr>
              <w:keepNext/>
              <w:keepLines/>
              <w:rPr>
                <w:rFonts w:ascii="Arial" w:hAnsi="Arial" w:cs="Arial"/>
                <w:sz w:val="16"/>
                <w:szCs w:val="16"/>
              </w:rPr>
            </w:pPr>
          </w:p>
        </w:tc>
        <w:tc>
          <w:tcPr>
            <w:tcW w:w="94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Sachet containing granules 75 mg</w:t>
            </w:r>
          </w:p>
        </w:tc>
        <w:tc>
          <w:tcPr>
            <w:tcW w:w="365"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Kalydeco</w:t>
            </w:r>
          </w:p>
        </w:tc>
        <w:tc>
          <w:tcPr>
            <w:tcW w:w="220"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VR</w:t>
            </w:r>
          </w:p>
        </w:tc>
        <w:tc>
          <w:tcPr>
            <w:tcW w:w="477"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C9889 C9890</w:t>
            </w:r>
          </w:p>
        </w:tc>
        <w:tc>
          <w:tcPr>
            <w:tcW w:w="424" w:type="pct"/>
          </w:tcPr>
          <w:p w:rsidR="00990B01" w:rsidRPr="00E106BD" w:rsidDel="00B4652E" w:rsidRDefault="00990B01" w:rsidP="00F62ECA">
            <w:pPr>
              <w:rPr>
                <w:rFonts w:ascii="Arial" w:hAnsi="Arial" w:cs="Arial"/>
                <w:sz w:val="16"/>
                <w:szCs w:val="16"/>
              </w:rPr>
            </w:pPr>
          </w:p>
        </w:tc>
        <w:tc>
          <w:tcPr>
            <w:tcW w:w="34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w:t>
            </w:r>
          </w:p>
        </w:tc>
        <w:tc>
          <w:tcPr>
            <w:tcW w:w="31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803B48">
            <w:pPr>
              <w:keepNext/>
              <w:keepLines/>
              <w:rPr>
                <w:rFonts w:ascii="Arial" w:hAnsi="Arial" w:cs="Arial"/>
                <w:sz w:val="16"/>
                <w:szCs w:val="16"/>
              </w:rPr>
            </w:pPr>
          </w:p>
        </w:tc>
        <w:tc>
          <w:tcPr>
            <w:tcW w:w="94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Tablet 150 mg</w:t>
            </w:r>
          </w:p>
        </w:tc>
        <w:tc>
          <w:tcPr>
            <w:tcW w:w="365"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Kalydeco</w:t>
            </w:r>
          </w:p>
        </w:tc>
        <w:tc>
          <w:tcPr>
            <w:tcW w:w="220"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VR</w:t>
            </w:r>
          </w:p>
        </w:tc>
        <w:tc>
          <w:tcPr>
            <w:tcW w:w="477"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C9889 C9890</w:t>
            </w:r>
          </w:p>
        </w:tc>
        <w:tc>
          <w:tcPr>
            <w:tcW w:w="424" w:type="pct"/>
          </w:tcPr>
          <w:p w:rsidR="00990B01" w:rsidRPr="00E106BD" w:rsidDel="00B4652E" w:rsidRDefault="00990B01" w:rsidP="00F62ECA">
            <w:pPr>
              <w:rPr>
                <w:rFonts w:ascii="Arial" w:hAnsi="Arial" w:cs="Arial"/>
                <w:sz w:val="16"/>
                <w:szCs w:val="16"/>
              </w:rPr>
            </w:pPr>
          </w:p>
        </w:tc>
        <w:tc>
          <w:tcPr>
            <w:tcW w:w="34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w:t>
            </w:r>
          </w:p>
        </w:tc>
        <w:tc>
          <w:tcPr>
            <w:tcW w:w="31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Lamivudine</w:t>
            </w: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Tablet 100 mg</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Zeffix</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RW</w:t>
            </w:r>
          </w:p>
        </w:tc>
        <w:tc>
          <w:tcPr>
            <w:tcW w:w="47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RDefault="00990B01" w:rsidP="00A34E33">
            <w:pPr>
              <w:keepNext/>
              <w:rPr>
                <w:rFonts w:ascii="Arial" w:hAnsi="Arial" w:cs="Arial"/>
                <w:sz w:val="16"/>
                <w:szCs w:val="16"/>
              </w:rPr>
            </w:pPr>
          </w:p>
        </w:tc>
        <w:tc>
          <w:tcPr>
            <w:tcW w:w="365" w:type="pct"/>
          </w:tcPr>
          <w:p w:rsidR="00990B01" w:rsidRPr="00E106BD" w:rsidRDefault="00990B01" w:rsidP="00A34E33">
            <w:pPr>
              <w:keepNext/>
              <w:rPr>
                <w:rFonts w:ascii="Arial" w:hAnsi="Arial" w:cs="Arial"/>
                <w:sz w:val="16"/>
                <w:szCs w:val="16"/>
              </w:rPr>
            </w:pP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Zetlam</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AF</w:t>
            </w:r>
          </w:p>
        </w:tc>
        <w:tc>
          <w:tcPr>
            <w:tcW w:w="47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3TC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rsidP="0086160F">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Lamivudine Alphapharm</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3TC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rsidP="0086160F">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Lamivudine Alphapharm</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Oral solution 10 mg per mL, 240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3TC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rsidP="0086160F">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Lamivudine with Zidovudine</w:t>
            </w:r>
          </w:p>
        </w:tc>
        <w:tc>
          <w:tcPr>
            <w:tcW w:w="943"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Tablet 150 mg</w:t>
            </w:r>
            <w:r w:rsidR="00E106BD">
              <w:rPr>
                <w:rFonts w:ascii="Arial" w:hAnsi="Arial" w:cs="Arial"/>
                <w:sz w:val="16"/>
                <w:szCs w:val="16"/>
              </w:rPr>
              <w:noBreakHyphen/>
            </w:r>
            <w:r w:rsidRPr="00E106BD">
              <w:rPr>
                <w:rFonts w:ascii="Arial" w:hAnsi="Arial" w:cs="Arial"/>
                <w:sz w:val="16"/>
                <w:szCs w:val="16"/>
              </w:rPr>
              <w:t>300 mg</w:t>
            </w:r>
          </w:p>
        </w:tc>
        <w:tc>
          <w:tcPr>
            <w:tcW w:w="365"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Combivir</w:t>
            </w:r>
          </w:p>
        </w:tc>
        <w:tc>
          <w:tcPr>
            <w:tcW w:w="220"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0F3B7D">
            <w:pPr>
              <w:keepNext/>
              <w:keepLines/>
              <w:rPr>
                <w:rFonts w:ascii="Arial" w:hAnsi="Arial" w:cs="Arial"/>
                <w:sz w:val="16"/>
                <w:szCs w:val="16"/>
              </w:rPr>
            </w:pPr>
          </w:p>
        </w:tc>
        <w:tc>
          <w:tcPr>
            <w:tcW w:w="344"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Lamivudine 150 mg + Zidovudine 300 mg Alphapharm</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7"/>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Lanreotide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 mg (as acetate) in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Somatuline Autogel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IS</w:t>
            </w:r>
          </w:p>
        </w:tc>
        <w:tc>
          <w:tcPr>
            <w:tcW w:w="477" w:type="pct"/>
          </w:tcPr>
          <w:p w:rsidR="00990B01" w:rsidRPr="00E106BD" w:rsidRDefault="00990B01" w:rsidP="005C2207">
            <w:pPr>
              <w:rPr>
                <w:rFonts w:ascii="Arial" w:hAnsi="Arial" w:cs="Arial"/>
                <w:sz w:val="16"/>
                <w:szCs w:val="16"/>
              </w:rPr>
            </w:pPr>
            <w:r w:rsidRPr="00E106BD">
              <w:rPr>
                <w:rFonts w:ascii="Arial" w:hAnsi="Arial" w:cs="Arial"/>
                <w:sz w:val="16"/>
                <w:szCs w:val="16"/>
              </w:rPr>
              <w:t>C4575 C7025 C7509 C7532 C9260 C9261</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90 mg (as acetate) in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Somatuline Autogel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IS</w:t>
            </w:r>
          </w:p>
        </w:tc>
        <w:tc>
          <w:tcPr>
            <w:tcW w:w="477" w:type="pct"/>
          </w:tcPr>
          <w:p w:rsidR="00990B01" w:rsidRPr="00E106BD" w:rsidRDefault="00990B01" w:rsidP="00FC4E89">
            <w:pPr>
              <w:rPr>
                <w:rFonts w:ascii="Arial" w:hAnsi="Arial" w:cs="Arial"/>
                <w:sz w:val="16"/>
                <w:szCs w:val="16"/>
              </w:rPr>
            </w:pPr>
            <w:r w:rsidRPr="00E106BD">
              <w:rPr>
                <w:rFonts w:ascii="Arial" w:hAnsi="Arial" w:cs="Arial"/>
                <w:sz w:val="16"/>
                <w:szCs w:val="16"/>
              </w:rPr>
              <w:t>C4575 C7025 C7509 C7532 C9260 C9261</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120 mg (as acetate) in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Somatuline Autogel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IS</w:t>
            </w:r>
          </w:p>
        </w:tc>
        <w:tc>
          <w:tcPr>
            <w:tcW w:w="477" w:type="pct"/>
          </w:tcPr>
          <w:p w:rsidR="00990B01" w:rsidRPr="00E106BD" w:rsidRDefault="00990B01" w:rsidP="00C15E9C">
            <w:pPr>
              <w:rPr>
                <w:rFonts w:ascii="Arial" w:hAnsi="Arial" w:cs="Arial"/>
                <w:sz w:val="16"/>
                <w:szCs w:val="16"/>
              </w:rPr>
            </w:pPr>
            <w:r w:rsidRPr="00E106BD">
              <w:rPr>
                <w:rFonts w:ascii="Arial" w:hAnsi="Arial" w:cs="Arial"/>
                <w:sz w:val="16"/>
                <w:szCs w:val="16"/>
              </w:rPr>
              <w:t xml:space="preserve">C4575 C7025 C7509 C7532 C9260 C9261 </w:t>
            </w:r>
            <w:r w:rsidRPr="00E106BD">
              <w:rPr>
                <w:rStyle w:val="charAmendmentKeyword"/>
                <w:b w:val="0"/>
                <w:sz w:val="16"/>
                <w:szCs w:val="16"/>
              </w:rPr>
              <w:t>C10061 C10075 C10077</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suspension for injection 30 mg (as acetate) with diluent</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Somatuline LA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IS</w:t>
            </w:r>
          </w:p>
        </w:tc>
        <w:tc>
          <w:tcPr>
            <w:tcW w:w="477" w:type="pct"/>
          </w:tcPr>
          <w:p w:rsidR="00990B01" w:rsidRPr="00E106BD" w:rsidRDefault="00990B01" w:rsidP="000959EF">
            <w:pPr>
              <w:rPr>
                <w:rFonts w:ascii="Arial" w:hAnsi="Arial" w:cs="Arial"/>
                <w:sz w:val="16"/>
                <w:szCs w:val="16"/>
              </w:rPr>
            </w:pPr>
            <w:r w:rsidRPr="00E106BD">
              <w:rPr>
                <w:rFonts w:ascii="Arial" w:hAnsi="Arial" w:cs="Arial"/>
                <w:sz w:val="16"/>
                <w:szCs w:val="16"/>
              </w:rPr>
              <w:t>C7042 C9225</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2 </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Lanthanum</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chewable, 500 mg (as carbonate 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Fosrenol</w:t>
            </w:r>
          </w:p>
        </w:tc>
        <w:tc>
          <w:tcPr>
            <w:tcW w:w="220" w:type="pct"/>
          </w:tcPr>
          <w:p w:rsidR="00990B01" w:rsidRPr="00E106BD" w:rsidRDefault="00DA6231" w:rsidP="004E4760">
            <w:pPr>
              <w:rPr>
                <w:rFonts w:ascii="Arial" w:hAnsi="Arial" w:cs="Arial"/>
                <w:sz w:val="16"/>
                <w:szCs w:val="16"/>
              </w:rPr>
            </w:pPr>
            <w:r>
              <w:rPr>
                <w:rFonts w:ascii="Arial" w:hAnsi="Arial" w:cs="Arial"/>
                <w:sz w:val="16"/>
                <w:szCs w:val="16"/>
              </w:rPr>
              <w:t>TK</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C5530 C9762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chewable, 750 mg (as carbonate 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Fosrenol</w:t>
            </w:r>
          </w:p>
        </w:tc>
        <w:tc>
          <w:tcPr>
            <w:tcW w:w="220" w:type="pct"/>
          </w:tcPr>
          <w:p w:rsidR="00990B01" w:rsidRPr="00E106BD" w:rsidRDefault="00DA6231" w:rsidP="004E4760">
            <w:pPr>
              <w:rPr>
                <w:rFonts w:ascii="Arial" w:hAnsi="Arial" w:cs="Arial"/>
                <w:sz w:val="16"/>
                <w:szCs w:val="16"/>
              </w:rPr>
            </w:pPr>
            <w:r>
              <w:rPr>
                <w:rFonts w:ascii="Arial" w:hAnsi="Arial" w:cs="Arial"/>
                <w:sz w:val="16"/>
                <w:szCs w:val="16"/>
              </w:rPr>
              <w:t>TK</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C5530 C9762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7363B8">
            <w:pPr>
              <w:keepNext/>
              <w:rPr>
                <w:rFonts w:ascii="Arial" w:hAnsi="Arial" w:cs="Arial"/>
                <w:sz w:val="16"/>
                <w:szCs w:val="16"/>
              </w:rPr>
            </w:pPr>
          </w:p>
        </w:tc>
        <w:tc>
          <w:tcPr>
            <w:tcW w:w="943"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Tablet, chewable, 1000 mg (as carbonate hydrate)</w:t>
            </w:r>
          </w:p>
        </w:tc>
        <w:tc>
          <w:tcPr>
            <w:tcW w:w="365"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Fosrenol</w:t>
            </w:r>
          </w:p>
        </w:tc>
        <w:tc>
          <w:tcPr>
            <w:tcW w:w="220" w:type="pct"/>
          </w:tcPr>
          <w:p w:rsidR="00990B01" w:rsidRPr="00E106BD" w:rsidRDefault="00DA6231" w:rsidP="007363B8">
            <w:pPr>
              <w:keepNext/>
              <w:rPr>
                <w:rFonts w:ascii="Arial" w:hAnsi="Arial" w:cs="Arial"/>
                <w:sz w:val="16"/>
                <w:szCs w:val="16"/>
              </w:rPr>
            </w:pPr>
            <w:r>
              <w:rPr>
                <w:rFonts w:ascii="Arial" w:hAnsi="Arial" w:cs="Arial"/>
                <w:sz w:val="16"/>
                <w:szCs w:val="16"/>
              </w:rPr>
              <w:t>TK</w:t>
            </w:r>
          </w:p>
        </w:tc>
        <w:tc>
          <w:tcPr>
            <w:tcW w:w="477" w:type="pct"/>
          </w:tcPr>
          <w:p w:rsidR="00990B01" w:rsidRPr="00E106BD" w:rsidRDefault="00990B01" w:rsidP="00351793">
            <w:pPr>
              <w:rPr>
                <w:rFonts w:ascii="Arial" w:hAnsi="Arial" w:cs="Arial"/>
                <w:sz w:val="16"/>
                <w:szCs w:val="16"/>
              </w:rPr>
            </w:pPr>
            <w:r w:rsidRPr="00E106BD">
              <w:rPr>
                <w:rFonts w:ascii="Arial" w:hAnsi="Arial" w:cs="Arial"/>
                <w:sz w:val="16"/>
                <w:szCs w:val="16"/>
              </w:rPr>
              <w:t>C5530 C9762</w:t>
            </w:r>
          </w:p>
        </w:tc>
        <w:tc>
          <w:tcPr>
            <w:tcW w:w="424" w:type="pct"/>
          </w:tcPr>
          <w:p w:rsidR="00990B01" w:rsidRPr="00E106BD" w:rsidRDefault="00990B01" w:rsidP="007363B8">
            <w:pPr>
              <w:keepNext/>
              <w:rPr>
                <w:rFonts w:ascii="Arial" w:hAnsi="Arial" w:cs="Arial"/>
                <w:sz w:val="16"/>
                <w:szCs w:val="16"/>
              </w:rPr>
            </w:pPr>
          </w:p>
        </w:tc>
        <w:tc>
          <w:tcPr>
            <w:tcW w:w="344"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Ledipasvir with sofosbuvir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90 mg ledipasvir with 400 mg sofosbuvir</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Harvoni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GI</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C5944 C5969 C5972</w:t>
            </w:r>
          </w:p>
        </w:tc>
        <w:tc>
          <w:tcPr>
            <w:tcW w:w="424" w:type="pct"/>
          </w:tcPr>
          <w:p w:rsidR="00990B01" w:rsidRPr="00E106BD" w:rsidRDefault="00990B01" w:rsidP="004E4760">
            <w:pPr>
              <w:rPr>
                <w:rFonts w:ascii="Arial" w:hAnsi="Arial" w:cs="Arial"/>
                <w:sz w:val="16"/>
                <w:szCs w:val="16"/>
              </w:rPr>
            </w:pPr>
            <w:r w:rsidRPr="00E106BD">
              <w:rPr>
                <w:rFonts w:ascii="Arial" w:hAnsi="Arial" w:cs="Arial"/>
                <w:sz w:val="16"/>
                <w:szCs w:val="16"/>
              </w:rPr>
              <w:t>P5944</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313" w:type="pct"/>
          </w:tcPr>
          <w:p w:rsidR="00990B01" w:rsidRPr="00E106BD" w:rsidRDefault="00990B01" w:rsidP="004E4760">
            <w:pPr>
              <w:rPr>
                <w:rFonts w:ascii="Arial" w:hAnsi="Arial" w:cs="Arial"/>
                <w:sz w:val="16"/>
                <w:szCs w:val="16"/>
              </w:rPr>
            </w:pP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C5944 C5969 C5972</w:t>
            </w:r>
          </w:p>
        </w:tc>
        <w:tc>
          <w:tcPr>
            <w:tcW w:w="424" w:type="pct"/>
          </w:tcPr>
          <w:p w:rsidR="00990B01" w:rsidRPr="00E106BD" w:rsidRDefault="00990B01" w:rsidP="004E4760">
            <w:pPr>
              <w:rPr>
                <w:rFonts w:ascii="Arial" w:hAnsi="Arial" w:cs="Arial"/>
                <w:sz w:val="16"/>
                <w:szCs w:val="16"/>
              </w:rPr>
            </w:pPr>
            <w:r w:rsidRPr="00E106BD">
              <w:rPr>
                <w:rFonts w:ascii="Arial" w:hAnsi="Arial" w:cs="Arial"/>
                <w:sz w:val="16"/>
                <w:szCs w:val="16"/>
              </w:rPr>
              <w:t>P5969</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4E4760">
            <w:pPr>
              <w:rPr>
                <w:rFonts w:ascii="Arial" w:hAnsi="Arial" w:cs="Arial"/>
                <w:sz w:val="16"/>
                <w:szCs w:val="16"/>
              </w:rPr>
            </w:pP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3572B4">
            <w:pPr>
              <w:keepNext/>
              <w:keepLines/>
              <w:rPr>
                <w:rFonts w:ascii="Arial" w:hAnsi="Arial" w:cs="Arial"/>
                <w:sz w:val="16"/>
                <w:szCs w:val="16"/>
              </w:rPr>
            </w:pPr>
          </w:p>
        </w:tc>
        <w:tc>
          <w:tcPr>
            <w:tcW w:w="943" w:type="pct"/>
          </w:tcPr>
          <w:p w:rsidR="00990B01" w:rsidRPr="00E106BD" w:rsidRDefault="00990B01" w:rsidP="003572B4">
            <w:pPr>
              <w:keepNext/>
              <w:keepLines/>
              <w:rPr>
                <w:rFonts w:ascii="Arial" w:hAnsi="Arial" w:cs="Arial"/>
                <w:sz w:val="16"/>
                <w:szCs w:val="16"/>
              </w:rPr>
            </w:pPr>
          </w:p>
        </w:tc>
        <w:tc>
          <w:tcPr>
            <w:tcW w:w="365" w:type="pct"/>
          </w:tcPr>
          <w:p w:rsidR="00990B01" w:rsidRPr="00E106BD" w:rsidRDefault="00990B01" w:rsidP="003572B4">
            <w:pPr>
              <w:keepNext/>
              <w:keepLines/>
              <w:rPr>
                <w:rFonts w:ascii="Arial" w:hAnsi="Arial" w:cs="Arial"/>
                <w:sz w:val="16"/>
                <w:szCs w:val="16"/>
              </w:rPr>
            </w:pPr>
          </w:p>
        </w:tc>
        <w:tc>
          <w:tcPr>
            <w:tcW w:w="374" w:type="pct"/>
          </w:tcPr>
          <w:p w:rsidR="00990B01" w:rsidRPr="00E106BD" w:rsidRDefault="00990B01" w:rsidP="003572B4">
            <w:pPr>
              <w:keepNext/>
              <w:keepLines/>
              <w:rPr>
                <w:rFonts w:ascii="Arial" w:hAnsi="Arial" w:cs="Arial"/>
                <w:sz w:val="16"/>
                <w:szCs w:val="16"/>
              </w:rPr>
            </w:pPr>
          </w:p>
        </w:tc>
        <w:tc>
          <w:tcPr>
            <w:tcW w:w="220" w:type="pct"/>
          </w:tcPr>
          <w:p w:rsidR="00990B01" w:rsidRPr="00E106BD" w:rsidRDefault="00990B01" w:rsidP="003572B4">
            <w:pPr>
              <w:keepNext/>
              <w:keepLines/>
              <w:rPr>
                <w:rFonts w:ascii="Arial" w:hAnsi="Arial" w:cs="Arial"/>
                <w:sz w:val="16"/>
                <w:szCs w:val="16"/>
              </w:rPr>
            </w:pPr>
          </w:p>
        </w:tc>
        <w:tc>
          <w:tcPr>
            <w:tcW w:w="477" w:type="pct"/>
          </w:tcPr>
          <w:p w:rsidR="00990B01" w:rsidRPr="00E106BD" w:rsidRDefault="00990B01" w:rsidP="003572B4">
            <w:pPr>
              <w:keepNext/>
              <w:keepLines/>
              <w:rPr>
                <w:rFonts w:ascii="Arial" w:hAnsi="Arial" w:cs="Arial"/>
                <w:sz w:val="16"/>
                <w:szCs w:val="16"/>
              </w:rPr>
            </w:pPr>
            <w:r w:rsidRPr="00E106BD">
              <w:rPr>
                <w:rFonts w:ascii="Arial" w:hAnsi="Arial" w:cs="Arial"/>
                <w:sz w:val="16"/>
                <w:szCs w:val="16"/>
              </w:rPr>
              <w:t>C5944 C5969 C5972</w:t>
            </w:r>
          </w:p>
        </w:tc>
        <w:tc>
          <w:tcPr>
            <w:tcW w:w="424" w:type="pct"/>
          </w:tcPr>
          <w:p w:rsidR="00990B01" w:rsidRPr="00E106BD" w:rsidRDefault="00990B01" w:rsidP="003572B4">
            <w:pPr>
              <w:keepNext/>
              <w:keepLines/>
              <w:rPr>
                <w:rFonts w:ascii="Arial" w:hAnsi="Arial" w:cs="Arial"/>
                <w:sz w:val="16"/>
                <w:szCs w:val="16"/>
              </w:rPr>
            </w:pPr>
            <w:r w:rsidRPr="00E106BD">
              <w:rPr>
                <w:rFonts w:ascii="Arial" w:hAnsi="Arial" w:cs="Arial"/>
                <w:sz w:val="16"/>
                <w:szCs w:val="16"/>
              </w:rPr>
              <w:t>P5972</w:t>
            </w:r>
          </w:p>
        </w:tc>
        <w:tc>
          <w:tcPr>
            <w:tcW w:w="344" w:type="pct"/>
          </w:tcPr>
          <w:p w:rsidR="00990B01" w:rsidRPr="00E106BD" w:rsidRDefault="00990B01" w:rsidP="003572B4">
            <w:pPr>
              <w:keepNext/>
              <w:keepLines/>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3572B4">
            <w:pPr>
              <w:keepNext/>
              <w:keepLines/>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572B4">
            <w:pPr>
              <w:keepNext/>
              <w:keepLines/>
              <w:rPr>
                <w:rFonts w:ascii="Arial" w:hAnsi="Arial" w:cs="Arial"/>
                <w:sz w:val="16"/>
                <w:szCs w:val="16"/>
              </w:rPr>
            </w:pP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Lenalidomide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Capsule 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Revlimid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CJ</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C4282 C4287</w:t>
            </w:r>
            <w:r w:rsidRPr="00E106BD">
              <w:rPr>
                <w:sz w:val="16"/>
                <w:szCs w:val="16"/>
              </w:rPr>
              <w:t xml:space="preserve"> </w:t>
            </w:r>
            <w:r w:rsidRPr="00E106BD">
              <w:rPr>
                <w:rStyle w:val="charAmendmentKeyword"/>
                <w:b w:val="0"/>
                <w:sz w:val="16"/>
                <w:szCs w:val="16"/>
              </w:rPr>
              <w:t>C10334 C10335</w:t>
            </w:r>
            <w:r w:rsidR="00163E63">
              <w:rPr>
                <w:rStyle w:val="charAmendmentKeyword"/>
                <w:b w:val="0"/>
                <w:sz w:val="16"/>
                <w:szCs w:val="16"/>
              </w:rPr>
              <w:t xml:space="preserve"> </w:t>
            </w:r>
            <w:r w:rsidR="00163E63" w:rsidRPr="00F91D6E">
              <w:rPr>
                <w:rFonts w:ascii="Arial" w:hAnsi="Arial" w:cs="Arial"/>
                <w:bCs/>
                <w:sz w:val="16"/>
                <w:szCs w:val="16"/>
              </w:rPr>
              <w:t>C10349 C10350 C10373</w:t>
            </w:r>
            <w:r w:rsidR="00BB32B3" w:rsidRPr="001047FA">
              <w:rPr>
                <w:rFonts w:ascii="Arial" w:hAnsi="Arial" w:cs="Arial"/>
                <w:bCs/>
              </w:rPr>
              <w:t xml:space="preserve"> </w:t>
            </w:r>
            <w:r w:rsidR="00BB32B3" w:rsidRPr="001047FA">
              <w:rPr>
                <w:rFonts w:ascii="Arial" w:hAnsi="Arial" w:cs="Arial"/>
                <w:bCs/>
                <w:sz w:val="16"/>
                <w:szCs w:val="16"/>
              </w:rPr>
              <w:t>C10427 C10428 C10429 C10452 C10453</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Capsule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Revlimid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CJ</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C4282 C4287</w:t>
            </w:r>
            <w:r w:rsidRPr="00E106BD">
              <w:rPr>
                <w:sz w:val="16"/>
                <w:szCs w:val="16"/>
              </w:rPr>
              <w:t xml:space="preserve"> </w:t>
            </w:r>
            <w:r w:rsidRPr="00E106BD">
              <w:rPr>
                <w:rStyle w:val="charAmendmentKeyword"/>
                <w:b w:val="0"/>
                <w:sz w:val="16"/>
                <w:szCs w:val="16"/>
              </w:rPr>
              <w:t>C10334 C10335</w:t>
            </w:r>
            <w:r w:rsidR="00163E63">
              <w:rPr>
                <w:rStyle w:val="charAmendmentKeyword"/>
                <w:b w:val="0"/>
                <w:sz w:val="16"/>
                <w:szCs w:val="16"/>
              </w:rPr>
              <w:t xml:space="preserve"> </w:t>
            </w:r>
            <w:r w:rsidR="00163E63" w:rsidRPr="0093356C">
              <w:rPr>
                <w:rFonts w:ascii="Arial" w:hAnsi="Arial" w:cs="Arial"/>
                <w:bCs/>
                <w:sz w:val="16"/>
                <w:szCs w:val="16"/>
              </w:rPr>
              <w:t>C10349 C10350 C10373</w:t>
            </w:r>
            <w:r w:rsidR="00BB32B3">
              <w:rPr>
                <w:rFonts w:ascii="Arial" w:hAnsi="Arial" w:cs="Arial"/>
                <w:bCs/>
                <w:sz w:val="16"/>
                <w:szCs w:val="16"/>
              </w:rPr>
              <w:t xml:space="preserve"> </w:t>
            </w:r>
            <w:r w:rsidR="00BB32B3" w:rsidRPr="007106B0">
              <w:rPr>
                <w:rFonts w:ascii="Arial" w:hAnsi="Arial" w:cs="Arial"/>
                <w:bCs/>
                <w:sz w:val="16"/>
                <w:szCs w:val="16"/>
              </w:rPr>
              <w:t>C10427 C10428 C10429 C10452 C10453</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Capsule 15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Revlimid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CJ</w:t>
            </w:r>
          </w:p>
        </w:tc>
        <w:tc>
          <w:tcPr>
            <w:tcW w:w="477" w:type="pct"/>
          </w:tcPr>
          <w:p w:rsidR="00990B01" w:rsidRPr="00E106BD" w:rsidRDefault="00990B01">
            <w:pPr>
              <w:rPr>
                <w:rFonts w:ascii="Arial" w:hAnsi="Arial" w:cs="Arial"/>
                <w:sz w:val="16"/>
                <w:szCs w:val="16"/>
              </w:rPr>
            </w:pPr>
            <w:r w:rsidRPr="00E106BD">
              <w:rPr>
                <w:rStyle w:val="charAmendmentKeyword"/>
                <w:b w:val="0"/>
                <w:sz w:val="16"/>
                <w:szCs w:val="16"/>
              </w:rPr>
              <w:t>C10334 C10335</w:t>
            </w:r>
            <w:r w:rsidR="00163E63">
              <w:rPr>
                <w:rStyle w:val="charAmendmentKeyword"/>
                <w:b w:val="0"/>
                <w:sz w:val="16"/>
                <w:szCs w:val="16"/>
              </w:rPr>
              <w:t xml:space="preserve"> </w:t>
            </w:r>
            <w:r w:rsidR="00163E63" w:rsidRPr="0093356C">
              <w:rPr>
                <w:rFonts w:ascii="Arial" w:hAnsi="Arial" w:cs="Arial"/>
                <w:bCs/>
                <w:sz w:val="16"/>
                <w:szCs w:val="16"/>
              </w:rPr>
              <w:t>C10349 C10350 C10373</w:t>
            </w:r>
            <w:r w:rsidR="00BB32B3">
              <w:rPr>
                <w:rFonts w:ascii="Arial" w:hAnsi="Arial" w:cs="Arial"/>
                <w:bCs/>
                <w:sz w:val="16"/>
                <w:szCs w:val="16"/>
              </w:rPr>
              <w:t xml:space="preserve"> </w:t>
            </w:r>
            <w:r w:rsidR="00BB32B3" w:rsidRPr="007106B0">
              <w:rPr>
                <w:rFonts w:ascii="Arial" w:hAnsi="Arial" w:cs="Arial"/>
                <w:bCs/>
                <w:sz w:val="16"/>
                <w:szCs w:val="16"/>
              </w:rPr>
              <w:t>C10427 C10428 C10429 C10452 C10453</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Capsule 25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Revlimid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CJ</w:t>
            </w:r>
          </w:p>
        </w:tc>
        <w:tc>
          <w:tcPr>
            <w:tcW w:w="477" w:type="pct"/>
          </w:tcPr>
          <w:p w:rsidR="00990B01" w:rsidRPr="00E106BD" w:rsidRDefault="00163E63">
            <w:pPr>
              <w:rPr>
                <w:rFonts w:ascii="Arial" w:hAnsi="Arial" w:cs="Arial"/>
                <w:sz w:val="16"/>
                <w:szCs w:val="16"/>
              </w:rPr>
            </w:pPr>
            <w:r w:rsidRPr="0093356C">
              <w:rPr>
                <w:rFonts w:ascii="Arial" w:hAnsi="Arial" w:cs="Arial"/>
                <w:bCs/>
                <w:sz w:val="16"/>
                <w:szCs w:val="16"/>
              </w:rPr>
              <w:t>C10349 C10350 C10373</w:t>
            </w:r>
            <w:r w:rsidR="00BB32B3">
              <w:rPr>
                <w:rFonts w:ascii="Arial" w:hAnsi="Arial" w:cs="Arial"/>
                <w:bCs/>
                <w:sz w:val="16"/>
                <w:szCs w:val="16"/>
              </w:rPr>
              <w:t xml:space="preserve"> </w:t>
            </w:r>
            <w:r w:rsidR="00BB32B3" w:rsidRPr="007106B0">
              <w:rPr>
                <w:rFonts w:ascii="Arial" w:hAnsi="Arial" w:cs="Arial"/>
                <w:bCs/>
                <w:sz w:val="16"/>
                <w:szCs w:val="16"/>
              </w:rPr>
              <w:t>C10427 C10428 C10429 C10452 C10453</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6D4CAF" w:rsidTr="00802FC7">
        <w:tblPrEx>
          <w:tblBorders>
            <w:top w:val="single" w:sz="4" w:space="0" w:color="auto"/>
          </w:tblBorders>
        </w:tblPrEx>
        <w:trPr>
          <w:tblCellSpacing w:w="22" w:type="dxa"/>
        </w:trPr>
        <w:tc>
          <w:tcPr>
            <w:tcW w:w="1050"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Lenograstim</w:t>
            </w:r>
          </w:p>
        </w:tc>
        <w:tc>
          <w:tcPr>
            <w:tcW w:w="943"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Powder for injection 13,400,000 I.U. (105 micrograms)</w:t>
            </w:r>
          </w:p>
        </w:tc>
        <w:tc>
          <w:tcPr>
            <w:tcW w:w="365"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Granocyte 13</w:t>
            </w:r>
          </w:p>
        </w:tc>
        <w:tc>
          <w:tcPr>
            <w:tcW w:w="220"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PF</w:t>
            </w:r>
          </w:p>
        </w:tc>
        <w:tc>
          <w:tcPr>
            <w:tcW w:w="477"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C6502 C6507 C6516 C6522 C6523 C6532 C6535 C6634 C6644 C6653 C6654 C6657 C6673 C6682 C9226 C9227 C9229 C9230 C9231 C9263 C9264 C9265 C9266 C9314 C9324 C9325 C9326 C9327</w:t>
            </w:r>
          </w:p>
        </w:tc>
        <w:tc>
          <w:tcPr>
            <w:tcW w:w="424" w:type="pct"/>
          </w:tcPr>
          <w:p w:rsidR="00990B01" w:rsidRPr="00E106BD" w:rsidDel="006D4CAF" w:rsidRDefault="00990B01" w:rsidP="00315BEF">
            <w:pPr>
              <w:rPr>
                <w:rFonts w:ascii="Arial" w:hAnsi="Arial" w:cs="Arial"/>
                <w:sz w:val="16"/>
                <w:szCs w:val="16"/>
              </w:rPr>
            </w:pPr>
          </w:p>
        </w:tc>
        <w:tc>
          <w:tcPr>
            <w:tcW w:w="344"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20</w:t>
            </w:r>
          </w:p>
        </w:tc>
        <w:tc>
          <w:tcPr>
            <w:tcW w:w="297"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11</w:t>
            </w:r>
          </w:p>
        </w:tc>
        <w:tc>
          <w:tcPr>
            <w:tcW w:w="313"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D</w:t>
            </w:r>
          </w:p>
        </w:tc>
      </w:tr>
      <w:tr w:rsidR="00990B01" w:rsidRPr="00E106BD" w:rsidDel="006D4CAF" w:rsidTr="00802FC7">
        <w:tblPrEx>
          <w:tblBorders>
            <w:top w:val="single" w:sz="4" w:space="0" w:color="auto"/>
          </w:tblBorders>
        </w:tblPrEx>
        <w:trPr>
          <w:tblCellSpacing w:w="22" w:type="dxa"/>
        </w:trPr>
        <w:tc>
          <w:tcPr>
            <w:tcW w:w="1050" w:type="pct"/>
          </w:tcPr>
          <w:p w:rsidR="00990B01" w:rsidRPr="00E106BD" w:rsidDel="006D4CAF" w:rsidRDefault="00990B01" w:rsidP="002F3B18">
            <w:pPr>
              <w:rPr>
                <w:rFonts w:ascii="Arial" w:hAnsi="Arial" w:cs="Arial"/>
                <w:sz w:val="16"/>
                <w:szCs w:val="16"/>
              </w:rPr>
            </w:pPr>
          </w:p>
        </w:tc>
        <w:tc>
          <w:tcPr>
            <w:tcW w:w="943"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Powder for injection 33,600,000 I.U. (263 micrograms)</w:t>
            </w:r>
          </w:p>
        </w:tc>
        <w:tc>
          <w:tcPr>
            <w:tcW w:w="365"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 xml:space="preserve">Injection </w:t>
            </w:r>
          </w:p>
        </w:tc>
        <w:tc>
          <w:tcPr>
            <w:tcW w:w="374"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Granocyte 34</w:t>
            </w:r>
          </w:p>
        </w:tc>
        <w:tc>
          <w:tcPr>
            <w:tcW w:w="220"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PF</w:t>
            </w:r>
          </w:p>
        </w:tc>
        <w:tc>
          <w:tcPr>
            <w:tcW w:w="477" w:type="pct"/>
          </w:tcPr>
          <w:p w:rsidR="00990B01" w:rsidRPr="00E106BD" w:rsidDel="006D4CAF" w:rsidRDefault="00990B01" w:rsidP="005C2207">
            <w:pPr>
              <w:rPr>
                <w:rFonts w:ascii="Arial" w:hAnsi="Arial" w:cs="Arial"/>
                <w:sz w:val="16"/>
                <w:szCs w:val="16"/>
              </w:rPr>
            </w:pPr>
            <w:r w:rsidRPr="00E106BD">
              <w:rPr>
                <w:rFonts w:ascii="Arial" w:hAnsi="Arial" w:cs="Arial"/>
                <w:sz w:val="16"/>
                <w:szCs w:val="16"/>
              </w:rPr>
              <w:t>C6502 C6507 C6516 C6522 C6523 C6532 C6535 C6634 C6644 C6653 C6654 C6657 C6673 C6682 C9226 C9227 C9229 C9230 C9231 C9263 C9264 C9265 C9266 C9314 C9324 C9325 C9326 C9327</w:t>
            </w:r>
          </w:p>
        </w:tc>
        <w:tc>
          <w:tcPr>
            <w:tcW w:w="424" w:type="pct"/>
          </w:tcPr>
          <w:p w:rsidR="00990B01" w:rsidRPr="00E106BD" w:rsidDel="006D4CAF" w:rsidRDefault="00990B01" w:rsidP="002F3B18">
            <w:pPr>
              <w:rPr>
                <w:rFonts w:ascii="Arial" w:hAnsi="Arial" w:cs="Arial"/>
                <w:sz w:val="16"/>
                <w:szCs w:val="16"/>
              </w:rPr>
            </w:pPr>
          </w:p>
        </w:tc>
        <w:tc>
          <w:tcPr>
            <w:tcW w:w="344"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20</w:t>
            </w:r>
          </w:p>
        </w:tc>
        <w:tc>
          <w:tcPr>
            <w:tcW w:w="297"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11</w:t>
            </w:r>
          </w:p>
        </w:tc>
        <w:tc>
          <w:tcPr>
            <w:tcW w:w="313"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D</w:t>
            </w:r>
          </w:p>
        </w:tc>
      </w:tr>
      <w:tr w:rsidR="00990B01" w:rsidRPr="00E106BD" w:rsidDel="00727D86" w:rsidTr="00802FC7">
        <w:tblPrEx>
          <w:tblBorders>
            <w:top w:val="single" w:sz="4" w:space="0" w:color="auto"/>
          </w:tblBorders>
        </w:tblPrEx>
        <w:trPr>
          <w:cantSplit/>
          <w:tblCellSpacing w:w="22" w:type="dxa"/>
        </w:trPr>
        <w:tc>
          <w:tcPr>
            <w:tcW w:w="1050"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Levodopa with carbidopa</w:t>
            </w:r>
          </w:p>
        </w:tc>
        <w:tc>
          <w:tcPr>
            <w:tcW w:w="943"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 xml:space="preserve">Intestinal gel containing levodopa 20 mg with carbidopa monohydrate 5 mg per mL, </w:t>
            </w:r>
            <w:r w:rsidRPr="00E106BD">
              <w:rPr>
                <w:rFonts w:ascii="Arial" w:hAnsi="Arial" w:cs="Arial"/>
                <w:sz w:val="16"/>
                <w:szCs w:val="16"/>
              </w:rPr>
              <w:br/>
              <w:t>100 mL</w:t>
            </w:r>
          </w:p>
        </w:tc>
        <w:tc>
          <w:tcPr>
            <w:tcW w:w="365"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Intra</w:t>
            </w:r>
            <w:r w:rsidR="00E106BD">
              <w:rPr>
                <w:rFonts w:ascii="Arial" w:hAnsi="Arial" w:cs="Arial"/>
                <w:sz w:val="16"/>
                <w:szCs w:val="16"/>
              </w:rPr>
              <w:noBreakHyphen/>
            </w:r>
            <w:r w:rsidRPr="00E106BD">
              <w:rPr>
                <w:rFonts w:ascii="Arial" w:hAnsi="Arial" w:cs="Arial"/>
                <w:sz w:val="16"/>
                <w:szCs w:val="16"/>
              </w:rPr>
              <w:br/>
              <w:t>intestinal</w:t>
            </w:r>
          </w:p>
        </w:tc>
        <w:tc>
          <w:tcPr>
            <w:tcW w:w="374"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Duodopa</w:t>
            </w:r>
          </w:p>
        </w:tc>
        <w:tc>
          <w:tcPr>
            <w:tcW w:w="220"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VE</w:t>
            </w:r>
          </w:p>
        </w:tc>
        <w:tc>
          <w:tcPr>
            <w:tcW w:w="477" w:type="pct"/>
          </w:tcPr>
          <w:p w:rsidR="00990B01" w:rsidRPr="00E106BD" w:rsidDel="00727D86" w:rsidRDefault="00990B01">
            <w:pPr>
              <w:rPr>
                <w:rFonts w:ascii="Arial" w:hAnsi="Arial" w:cs="Arial"/>
                <w:sz w:val="16"/>
                <w:szCs w:val="16"/>
              </w:rPr>
            </w:pPr>
            <w:r w:rsidRPr="00E106BD">
              <w:rPr>
                <w:rFonts w:ascii="Arial" w:hAnsi="Arial" w:cs="Arial"/>
                <w:sz w:val="16"/>
                <w:szCs w:val="16"/>
              </w:rPr>
              <w:t xml:space="preserve">C10138 C10161 </w:t>
            </w:r>
            <w:r w:rsidR="00163E63" w:rsidRPr="00B71EB0">
              <w:rPr>
                <w:rFonts w:ascii="Arial" w:hAnsi="Arial" w:cs="Arial"/>
                <w:bCs/>
                <w:sz w:val="16"/>
                <w:szCs w:val="16"/>
              </w:rPr>
              <w:t>C10363 C10375</w:t>
            </w:r>
          </w:p>
        </w:tc>
        <w:tc>
          <w:tcPr>
            <w:tcW w:w="424"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P10138 P10161</w:t>
            </w:r>
          </w:p>
        </w:tc>
        <w:tc>
          <w:tcPr>
            <w:tcW w:w="344"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727D86" w:rsidTr="00802FC7">
        <w:tblPrEx>
          <w:tblBorders>
            <w:top w:val="single" w:sz="4" w:space="0" w:color="auto"/>
          </w:tblBorders>
        </w:tblPrEx>
        <w:trPr>
          <w:cantSplit/>
          <w:tblCellSpacing w:w="22" w:type="dxa"/>
        </w:trPr>
        <w:tc>
          <w:tcPr>
            <w:tcW w:w="1050" w:type="pct"/>
          </w:tcPr>
          <w:p w:rsidR="00990B01" w:rsidRPr="00E106BD" w:rsidDel="00727D86" w:rsidRDefault="00990B01" w:rsidP="004E4760">
            <w:pPr>
              <w:rPr>
                <w:rFonts w:ascii="Arial" w:hAnsi="Arial" w:cs="Arial"/>
                <w:sz w:val="16"/>
                <w:szCs w:val="16"/>
              </w:rPr>
            </w:pPr>
          </w:p>
        </w:tc>
        <w:tc>
          <w:tcPr>
            <w:tcW w:w="943" w:type="pct"/>
          </w:tcPr>
          <w:p w:rsidR="00990B01" w:rsidRPr="00E106BD" w:rsidDel="00727D86" w:rsidRDefault="00990B01" w:rsidP="004E4760">
            <w:pPr>
              <w:rPr>
                <w:rFonts w:ascii="Arial" w:hAnsi="Arial" w:cs="Arial"/>
                <w:sz w:val="16"/>
                <w:szCs w:val="16"/>
              </w:rPr>
            </w:pPr>
          </w:p>
        </w:tc>
        <w:tc>
          <w:tcPr>
            <w:tcW w:w="365" w:type="pct"/>
          </w:tcPr>
          <w:p w:rsidR="00990B01" w:rsidRPr="00E106BD" w:rsidDel="00727D86" w:rsidRDefault="00990B01" w:rsidP="004E4760">
            <w:pPr>
              <w:rPr>
                <w:rFonts w:ascii="Arial" w:hAnsi="Arial" w:cs="Arial"/>
                <w:sz w:val="16"/>
                <w:szCs w:val="16"/>
              </w:rPr>
            </w:pPr>
          </w:p>
        </w:tc>
        <w:tc>
          <w:tcPr>
            <w:tcW w:w="374" w:type="pct"/>
          </w:tcPr>
          <w:p w:rsidR="00990B01" w:rsidRPr="00E106BD" w:rsidDel="00727D86" w:rsidRDefault="00990B01" w:rsidP="004E4760">
            <w:pPr>
              <w:rPr>
                <w:rFonts w:ascii="Arial" w:hAnsi="Arial" w:cs="Arial"/>
                <w:sz w:val="16"/>
                <w:szCs w:val="16"/>
              </w:rPr>
            </w:pPr>
          </w:p>
        </w:tc>
        <w:tc>
          <w:tcPr>
            <w:tcW w:w="220" w:type="pct"/>
          </w:tcPr>
          <w:p w:rsidR="00990B01" w:rsidRPr="00E106BD" w:rsidDel="00727D86" w:rsidRDefault="00990B01" w:rsidP="004E4760">
            <w:pPr>
              <w:rPr>
                <w:rFonts w:ascii="Arial" w:hAnsi="Arial" w:cs="Arial"/>
                <w:sz w:val="16"/>
                <w:szCs w:val="16"/>
              </w:rPr>
            </w:pPr>
          </w:p>
        </w:tc>
        <w:tc>
          <w:tcPr>
            <w:tcW w:w="477" w:type="pct"/>
          </w:tcPr>
          <w:p w:rsidR="00990B01" w:rsidRPr="00E106BD" w:rsidDel="00727D86" w:rsidRDefault="00990B01">
            <w:pPr>
              <w:rPr>
                <w:rFonts w:ascii="Arial" w:hAnsi="Arial" w:cs="Arial"/>
                <w:sz w:val="16"/>
                <w:szCs w:val="16"/>
              </w:rPr>
            </w:pPr>
            <w:r w:rsidRPr="00E106BD">
              <w:rPr>
                <w:rFonts w:ascii="Arial" w:hAnsi="Arial" w:cs="Arial"/>
                <w:sz w:val="16"/>
                <w:szCs w:val="16"/>
              </w:rPr>
              <w:t xml:space="preserve">C10138 C10161 </w:t>
            </w:r>
            <w:r w:rsidR="00D31CBF" w:rsidRPr="00B71EB0">
              <w:rPr>
                <w:rFonts w:ascii="Arial" w:hAnsi="Arial" w:cs="Arial"/>
                <w:bCs/>
                <w:sz w:val="16"/>
                <w:szCs w:val="16"/>
              </w:rPr>
              <w:t>C10363 C10375</w:t>
            </w:r>
          </w:p>
        </w:tc>
        <w:tc>
          <w:tcPr>
            <w:tcW w:w="424" w:type="pct"/>
          </w:tcPr>
          <w:p w:rsidR="00990B01" w:rsidRPr="000B36C6" w:rsidDel="00727D86" w:rsidRDefault="000B36C6" w:rsidP="004E4760">
            <w:pPr>
              <w:rPr>
                <w:rFonts w:ascii="Arial" w:hAnsi="Arial" w:cs="Arial"/>
                <w:sz w:val="16"/>
                <w:szCs w:val="16"/>
              </w:rPr>
            </w:pPr>
            <w:r w:rsidRPr="00B71EB0">
              <w:rPr>
                <w:rFonts w:ascii="Arial" w:hAnsi="Arial" w:cs="Arial"/>
                <w:bCs/>
                <w:sz w:val="16"/>
                <w:szCs w:val="16"/>
              </w:rPr>
              <w:t>P10363 P10375</w:t>
            </w:r>
          </w:p>
        </w:tc>
        <w:tc>
          <w:tcPr>
            <w:tcW w:w="344"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56</w:t>
            </w:r>
          </w:p>
        </w:tc>
        <w:tc>
          <w:tcPr>
            <w:tcW w:w="297"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881485">
            <w:pPr>
              <w:rPr>
                <w:rFonts w:ascii="Arial" w:hAnsi="Arial" w:cs="Arial"/>
                <w:sz w:val="16"/>
                <w:szCs w:val="16"/>
              </w:rPr>
            </w:pPr>
            <w:r w:rsidRPr="00E106BD">
              <w:rPr>
                <w:rFonts w:ascii="Arial" w:hAnsi="Arial" w:cs="Arial"/>
                <w:sz w:val="16"/>
                <w:szCs w:val="16"/>
              </w:rPr>
              <w:t>Lipegfilgrastim</w:t>
            </w:r>
          </w:p>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 mg in 0.6 mL single use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Lonquex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TB</w:t>
            </w:r>
          </w:p>
        </w:tc>
        <w:tc>
          <w:tcPr>
            <w:tcW w:w="477" w:type="pct"/>
          </w:tcPr>
          <w:p w:rsidR="00990B01" w:rsidRPr="00E106BD" w:rsidRDefault="00990B01" w:rsidP="00B11EFF">
            <w:pPr>
              <w:rPr>
                <w:rFonts w:ascii="Arial" w:hAnsi="Arial" w:cs="Arial"/>
                <w:sz w:val="16"/>
                <w:szCs w:val="16"/>
              </w:rPr>
            </w:pPr>
            <w:r w:rsidRPr="00E106BD">
              <w:rPr>
                <w:rFonts w:ascii="Arial" w:hAnsi="Arial" w:cs="Arial"/>
                <w:sz w:val="16"/>
                <w:szCs w:val="16"/>
              </w:rPr>
              <w:t>C7822 C7843 C9224 C9322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D </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577220">
            <w:pPr>
              <w:rPr>
                <w:rFonts w:ascii="Arial" w:hAnsi="Arial" w:cs="Arial"/>
                <w:sz w:val="16"/>
                <w:szCs w:val="16"/>
              </w:rPr>
            </w:pPr>
            <w:r w:rsidRPr="00E106BD">
              <w:rPr>
                <w:rFonts w:ascii="Arial" w:hAnsi="Arial" w:cs="Arial"/>
                <w:sz w:val="16"/>
                <w:szCs w:val="16"/>
              </w:rPr>
              <w:t>Lopinavir with Ritonavir</w:t>
            </w:r>
          </w:p>
        </w:tc>
        <w:tc>
          <w:tcPr>
            <w:tcW w:w="943" w:type="pct"/>
          </w:tcPr>
          <w:p w:rsidR="00990B01" w:rsidRPr="00E106BD" w:rsidRDefault="00990B01" w:rsidP="00577220">
            <w:pPr>
              <w:rPr>
                <w:rFonts w:ascii="Arial" w:hAnsi="Arial" w:cs="Arial"/>
                <w:sz w:val="16"/>
                <w:szCs w:val="16"/>
              </w:rPr>
            </w:pPr>
            <w:r w:rsidRPr="00E106BD">
              <w:rPr>
                <w:rFonts w:ascii="Arial" w:hAnsi="Arial" w:cs="Arial"/>
                <w:sz w:val="16"/>
                <w:szCs w:val="16"/>
              </w:rPr>
              <w:t>Tablet 100 mg</w:t>
            </w:r>
            <w:r w:rsidR="00E106BD">
              <w:rPr>
                <w:rFonts w:ascii="Arial" w:hAnsi="Arial" w:cs="Arial"/>
                <w:sz w:val="16"/>
                <w:szCs w:val="16"/>
              </w:rPr>
              <w:noBreakHyphen/>
            </w:r>
            <w:r w:rsidRPr="00E106BD">
              <w:rPr>
                <w:rFonts w:ascii="Arial" w:hAnsi="Arial" w:cs="Arial"/>
                <w:sz w:val="16"/>
                <w:szCs w:val="16"/>
              </w:rPr>
              <w:t>25 mg</w:t>
            </w:r>
          </w:p>
        </w:tc>
        <w:tc>
          <w:tcPr>
            <w:tcW w:w="365" w:type="pct"/>
          </w:tcPr>
          <w:p w:rsidR="00990B01" w:rsidRPr="00E106BD" w:rsidRDefault="00990B01" w:rsidP="0057722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577220">
            <w:pPr>
              <w:rPr>
                <w:rFonts w:ascii="Arial" w:hAnsi="Arial" w:cs="Arial"/>
                <w:sz w:val="16"/>
                <w:szCs w:val="16"/>
              </w:rPr>
            </w:pPr>
            <w:r w:rsidRPr="00E106BD">
              <w:rPr>
                <w:rFonts w:ascii="Arial" w:hAnsi="Arial" w:cs="Arial"/>
                <w:sz w:val="16"/>
                <w:szCs w:val="16"/>
              </w:rPr>
              <w:t>Kaletra</w:t>
            </w:r>
          </w:p>
        </w:tc>
        <w:tc>
          <w:tcPr>
            <w:tcW w:w="220" w:type="pct"/>
          </w:tcPr>
          <w:p w:rsidR="00990B01" w:rsidRPr="00E106BD" w:rsidRDefault="00990B01" w:rsidP="00577220">
            <w:pPr>
              <w:rPr>
                <w:rFonts w:ascii="Arial" w:hAnsi="Arial" w:cs="Arial"/>
                <w:sz w:val="16"/>
                <w:szCs w:val="16"/>
              </w:rPr>
            </w:pPr>
            <w:r w:rsidRPr="00E106BD">
              <w:rPr>
                <w:rFonts w:ascii="Arial" w:hAnsi="Arial" w:cs="Arial"/>
                <w:sz w:val="16"/>
                <w:szCs w:val="16"/>
              </w:rPr>
              <w:t>VE</w:t>
            </w:r>
          </w:p>
        </w:tc>
        <w:tc>
          <w:tcPr>
            <w:tcW w:w="477" w:type="pct"/>
          </w:tcPr>
          <w:p w:rsidR="00990B01" w:rsidRPr="00E106BD" w:rsidRDefault="00990B01" w:rsidP="00577220">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577220">
            <w:pPr>
              <w:rPr>
                <w:rFonts w:ascii="Arial" w:hAnsi="Arial" w:cs="Arial"/>
                <w:sz w:val="16"/>
                <w:szCs w:val="16"/>
              </w:rPr>
            </w:pPr>
          </w:p>
        </w:tc>
        <w:tc>
          <w:tcPr>
            <w:tcW w:w="344" w:type="pct"/>
          </w:tcPr>
          <w:p w:rsidR="00990B01" w:rsidRPr="00E106BD" w:rsidRDefault="00990B01" w:rsidP="0057722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57722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7722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577220">
            <w:pPr>
              <w:rPr>
                <w:rFonts w:ascii="Arial" w:hAnsi="Arial" w:cs="Arial"/>
                <w:sz w:val="16"/>
                <w:szCs w:val="16"/>
              </w:rPr>
            </w:pPr>
          </w:p>
        </w:tc>
        <w:tc>
          <w:tcPr>
            <w:tcW w:w="943" w:type="pct"/>
          </w:tcPr>
          <w:p w:rsidR="00990B01" w:rsidRPr="00E106BD" w:rsidRDefault="00990B01" w:rsidP="00577220">
            <w:pPr>
              <w:rPr>
                <w:rFonts w:ascii="Arial" w:hAnsi="Arial" w:cs="Arial"/>
                <w:sz w:val="16"/>
                <w:szCs w:val="16"/>
              </w:rPr>
            </w:pPr>
            <w:r w:rsidRPr="00E106BD">
              <w:rPr>
                <w:rFonts w:ascii="Arial" w:hAnsi="Arial" w:cs="Arial"/>
                <w:sz w:val="16"/>
                <w:szCs w:val="16"/>
              </w:rPr>
              <w:t>Tablet 200 mg</w:t>
            </w:r>
            <w:r w:rsidR="00E106BD">
              <w:rPr>
                <w:rFonts w:ascii="Arial" w:hAnsi="Arial" w:cs="Arial"/>
                <w:sz w:val="16"/>
                <w:szCs w:val="16"/>
              </w:rPr>
              <w:noBreakHyphen/>
            </w:r>
            <w:r w:rsidRPr="00E106BD">
              <w:rPr>
                <w:rFonts w:ascii="Arial" w:hAnsi="Arial" w:cs="Arial"/>
                <w:sz w:val="16"/>
                <w:szCs w:val="16"/>
              </w:rPr>
              <w:t>50 mg</w:t>
            </w:r>
          </w:p>
        </w:tc>
        <w:tc>
          <w:tcPr>
            <w:tcW w:w="365" w:type="pct"/>
          </w:tcPr>
          <w:p w:rsidR="00990B01" w:rsidRPr="00E106BD" w:rsidRDefault="00990B01" w:rsidP="0057722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577220">
            <w:pPr>
              <w:rPr>
                <w:rFonts w:ascii="Arial" w:hAnsi="Arial" w:cs="Arial"/>
                <w:sz w:val="16"/>
                <w:szCs w:val="16"/>
              </w:rPr>
            </w:pPr>
            <w:r w:rsidRPr="00E106BD">
              <w:rPr>
                <w:rFonts w:ascii="Arial" w:hAnsi="Arial" w:cs="Arial"/>
                <w:sz w:val="16"/>
                <w:szCs w:val="16"/>
              </w:rPr>
              <w:t>Kaletra</w:t>
            </w:r>
          </w:p>
        </w:tc>
        <w:tc>
          <w:tcPr>
            <w:tcW w:w="220" w:type="pct"/>
          </w:tcPr>
          <w:p w:rsidR="00990B01" w:rsidRPr="00E106BD" w:rsidRDefault="00990B01" w:rsidP="00577220">
            <w:pPr>
              <w:rPr>
                <w:rFonts w:ascii="Arial" w:hAnsi="Arial" w:cs="Arial"/>
                <w:sz w:val="16"/>
                <w:szCs w:val="16"/>
              </w:rPr>
            </w:pPr>
            <w:r w:rsidRPr="00E106BD">
              <w:rPr>
                <w:rFonts w:ascii="Arial" w:hAnsi="Arial" w:cs="Arial"/>
                <w:sz w:val="16"/>
                <w:szCs w:val="16"/>
              </w:rPr>
              <w:t>VE</w:t>
            </w:r>
          </w:p>
        </w:tc>
        <w:tc>
          <w:tcPr>
            <w:tcW w:w="477" w:type="pct"/>
          </w:tcPr>
          <w:p w:rsidR="00990B01" w:rsidRPr="00E106BD" w:rsidRDefault="00990B01" w:rsidP="00577220">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577220">
            <w:pPr>
              <w:rPr>
                <w:rFonts w:ascii="Arial" w:hAnsi="Arial" w:cs="Arial"/>
                <w:sz w:val="16"/>
                <w:szCs w:val="16"/>
              </w:rPr>
            </w:pPr>
          </w:p>
        </w:tc>
        <w:tc>
          <w:tcPr>
            <w:tcW w:w="344" w:type="pct"/>
          </w:tcPr>
          <w:p w:rsidR="00990B01" w:rsidRPr="00E106BD" w:rsidRDefault="00990B01" w:rsidP="00577220">
            <w:pPr>
              <w:rPr>
                <w:rFonts w:ascii="Arial" w:hAnsi="Arial" w:cs="Arial"/>
                <w:sz w:val="16"/>
                <w:szCs w:val="16"/>
              </w:rPr>
            </w:pPr>
            <w:r w:rsidRPr="00E106BD">
              <w:rPr>
                <w:rFonts w:ascii="Arial" w:hAnsi="Arial" w:cs="Arial"/>
                <w:sz w:val="16"/>
                <w:szCs w:val="16"/>
              </w:rPr>
              <w:t>240</w:t>
            </w:r>
          </w:p>
        </w:tc>
        <w:tc>
          <w:tcPr>
            <w:tcW w:w="297" w:type="pct"/>
          </w:tcPr>
          <w:p w:rsidR="00990B01" w:rsidRPr="00E106BD" w:rsidRDefault="00990B01" w:rsidP="0057722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7722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577220">
            <w:pPr>
              <w:rPr>
                <w:rFonts w:ascii="Arial" w:hAnsi="Arial" w:cs="Arial"/>
                <w:sz w:val="16"/>
                <w:szCs w:val="16"/>
              </w:rPr>
            </w:pPr>
          </w:p>
        </w:tc>
        <w:tc>
          <w:tcPr>
            <w:tcW w:w="943" w:type="pct"/>
          </w:tcPr>
          <w:p w:rsidR="00990B01" w:rsidRPr="00E106BD" w:rsidRDefault="00990B01" w:rsidP="00577220">
            <w:pPr>
              <w:rPr>
                <w:rFonts w:ascii="Arial" w:hAnsi="Arial" w:cs="Arial"/>
                <w:sz w:val="16"/>
                <w:szCs w:val="16"/>
              </w:rPr>
            </w:pPr>
            <w:r w:rsidRPr="00E106BD">
              <w:rPr>
                <w:rFonts w:ascii="Arial" w:hAnsi="Arial" w:cs="Arial"/>
                <w:sz w:val="16"/>
                <w:szCs w:val="16"/>
              </w:rPr>
              <w:t>Oral liquid 400 mg</w:t>
            </w:r>
            <w:r w:rsidR="00E106BD">
              <w:rPr>
                <w:rFonts w:ascii="Arial" w:hAnsi="Arial" w:cs="Arial"/>
                <w:sz w:val="16"/>
                <w:szCs w:val="16"/>
              </w:rPr>
              <w:noBreakHyphen/>
            </w:r>
            <w:r w:rsidRPr="00E106BD">
              <w:rPr>
                <w:rFonts w:ascii="Arial" w:hAnsi="Arial" w:cs="Arial"/>
                <w:sz w:val="16"/>
                <w:szCs w:val="16"/>
              </w:rPr>
              <w:t>100 mg per 5 mL, 60 mL</w:t>
            </w:r>
          </w:p>
        </w:tc>
        <w:tc>
          <w:tcPr>
            <w:tcW w:w="365" w:type="pct"/>
          </w:tcPr>
          <w:p w:rsidR="00990B01" w:rsidRPr="00E106BD" w:rsidRDefault="00990B01" w:rsidP="0057722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577220">
            <w:pPr>
              <w:rPr>
                <w:rFonts w:ascii="Arial" w:hAnsi="Arial" w:cs="Arial"/>
                <w:sz w:val="16"/>
                <w:szCs w:val="16"/>
              </w:rPr>
            </w:pPr>
            <w:r w:rsidRPr="00E106BD">
              <w:rPr>
                <w:rFonts w:ascii="Arial" w:hAnsi="Arial" w:cs="Arial"/>
                <w:sz w:val="16"/>
                <w:szCs w:val="16"/>
              </w:rPr>
              <w:t>Kaletra</w:t>
            </w:r>
          </w:p>
        </w:tc>
        <w:tc>
          <w:tcPr>
            <w:tcW w:w="220" w:type="pct"/>
          </w:tcPr>
          <w:p w:rsidR="00990B01" w:rsidRPr="00E106BD" w:rsidRDefault="00990B01" w:rsidP="00577220">
            <w:pPr>
              <w:rPr>
                <w:rFonts w:ascii="Arial" w:hAnsi="Arial" w:cs="Arial"/>
                <w:sz w:val="16"/>
                <w:szCs w:val="16"/>
              </w:rPr>
            </w:pPr>
            <w:r w:rsidRPr="00E106BD">
              <w:rPr>
                <w:rFonts w:ascii="Arial" w:hAnsi="Arial" w:cs="Arial"/>
                <w:sz w:val="16"/>
                <w:szCs w:val="16"/>
              </w:rPr>
              <w:t>VE</w:t>
            </w:r>
          </w:p>
        </w:tc>
        <w:tc>
          <w:tcPr>
            <w:tcW w:w="477" w:type="pct"/>
          </w:tcPr>
          <w:p w:rsidR="00990B01" w:rsidRPr="00E106BD" w:rsidRDefault="00990B01" w:rsidP="00577220">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577220">
            <w:pPr>
              <w:rPr>
                <w:rFonts w:ascii="Arial" w:hAnsi="Arial" w:cs="Arial"/>
                <w:sz w:val="16"/>
                <w:szCs w:val="16"/>
              </w:rPr>
            </w:pPr>
          </w:p>
        </w:tc>
        <w:tc>
          <w:tcPr>
            <w:tcW w:w="344" w:type="pct"/>
          </w:tcPr>
          <w:p w:rsidR="00990B01" w:rsidRPr="00E106BD" w:rsidRDefault="00990B01" w:rsidP="00577220">
            <w:pPr>
              <w:rPr>
                <w:rFonts w:ascii="Arial" w:hAnsi="Arial" w:cs="Arial"/>
                <w:sz w:val="16"/>
                <w:szCs w:val="16"/>
              </w:rPr>
            </w:pPr>
            <w:r w:rsidRPr="00E106BD">
              <w:rPr>
                <w:rFonts w:ascii="Arial" w:hAnsi="Arial" w:cs="Arial"/>
                <w:sz w:val="16"/>
                <w:szCs w:val="16"/>
              </w:rPr>
              <w:t>10</w:t>
            </w:r>
          </w:p>
        </w:tc>
        <w:tc>
          <w:tcPr>
            <w:tcW w:w="297" w:type="pct"/>
          </w:tcPr>
          <w:p w:rsidR="00990B01" w:rsidRPr="00E106BD" w:rsidRDefault="00990B01" w:rsidP="0057722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77220">
            <w:pPr>
              <w:rPr>
                <w:rFonts w:ascii="Arial" w:hAnsi="Arial" w:cs="Arial"/>
                <w:sz w:val="16"/>
                <w:szCs w:val="16"/>
              </w:rPr>
            </w:pPr>
            <w:r w:rsidRPr="00E106BD">
              <w:rPr>
                <w:rFonts w:ascii="Arial" w:hAnsi="Arial" w:cs="Arial"/>
                <w:sz w:val="16"/>
                <w:szCs w:val="16"/>
              </w:rPr>
              <w:t>D</w:t>
            </w:r>
          </w:p>
        </w:tc>
      </w:tr>
      <w:tr w:rsidR="00990B01" w:rsidRPr="00E106BD" w:rsidDel="00BB316B" w:rsidTr="00802FC7">
        <w:tblPrEx>
          <w:tblBorders>
            <w:top w:val="single" w:sz="4" w:space="0" w:color="auto"/>
          </w:tblBorders>
        </w:tblPrEx>
        <w:trPr>
          <w:tblCellSpacing w:w="22" w:type="dxa"/>
        </w:trPr>
        <w:tc>
          <w:tcPr>
            <w:tcW w:w="105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Lumacaftor with ivacaftor</w:t>
            </w:r>
          </w:p>
        </w:tc>
        <w:tc>
          <w:tcPr>
            <w:tcW w:w="94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Sachet containing granules, lumacaftor 100 mg and ivacaftor 125 mg</w:t>
            </w:r>
          </w:p>
        </w:tc>
        <w:tc>
          <w:tcPr>
            <w:tcW w:w="365"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Orkambi</w:t>
            </w:r>
          </w:p>
        </w:tc>
        <w:tc>
          <w:tcPr>
            <w:tcW w:w="22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VR</w:t>
            </w:r>
          </w:p>
        </w:tc>
        <w:tc>
          <w:tcPr>
            <w:tcW w:w="47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C10005 C10007</w:t>
            </w:r>
          </w:p>
        </w:tc>
        <w:tc>
          <w:tcPr>
            <w:tcW w:w="424" w:type="pct"/>
          </w:tcPr>
          <w:p w:rsidR="00990B01" w:rsidRPr="00E106BD" w:rsidDel="00BB316B" w:rsidRDefault="00990B01" w:rsidP="00EE4C4D">
            <w:pPr>
              <w:rPr>
                <w:rFonts w:ascii="Arial" w:hAnsi="Arial" w:cs="Arial"/>
                <w:sz w:val="16"/>
                <w:szCs w:val="16"/>
              </w:rPr>
            </w:pPr>
          </w:p>
        </w:tc>
        <w:tc>
          <w:tcPr>
            <w:tcW w:w="34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w:t>
            </w:r>
          </w:p>
        </w:tc>
        <w:tc>
          <w:tcPr>
            <w:tcW w:w="31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D</w:t>
            </w:r>
          </w:p>
        </w:tc>
      </w:tr>
      <w:tr w:rsidR="00990B01" w:rsidRPr="00E106BD" w:rsidDel="00BB316B" w:rsidTr="00802FC7">
        <w:tblPrEx>
          <w:tblBorders>
            <w:top w:val="single" w:sz="4" w:space="0" w:color="auto"/>
          </w:tblBorders>
        </w:tblPrEx>
        <w:trPr>
          <w:tblCellSpacing w:w="22" w:type="dxa"/>
        </w:trPr>
        <w:tc>
          <w:tcPr>
            <w:tcW w:w="1050" w:type="pct"/>
          </w:tcPr>
          <w:p w:rsidR="00990B01" w:rsidRPr="00E106BD" w:rsidDel="00BB316B" w:rsidRDefault="00990B01" w:rsidP="00EE4C4D">
            <w:pPr>
              <w:rPr>
                <w:rFonts w:ascii="Arial" w:hAnsi="Arial" w:cs="Arial"/>
                <w:sz w:val="16"/>
                <w:szCs w:val="16"/>
              </w:rPr>
            </w:pPr>
          </w:p>
        </w:tc>
        <w:tc>
          <w:tcPr>
            <w:tcW w:w="94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Sachet containing granules, lumacaftor 150 mg and ivacaftor 188 mg</w:t>
            </w:r>
          </w:p>
        </w:tc>
        <w:tc>
          <w:tcPr>
            <w:tcW w:w="365"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Orkambi</w:t>
            </w:r>
          </w:p>
        </w:tc>
        <w:tc>
          <w:tcPr>
            <w:tcW w:w="22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VR</w:t>
            </w:r>
          </w:p>
        </w:tc>
        <w:tc>
          <w:tcPr>
            <w:tcW w:w="47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C10005 C10007</w:t>
            </w:r>
          </w:p>
        </w:tc>
        <w:tc>
          <w:tcPr>
            <w:tcW w:w="424" w:type="pct"/>
          </w:tcPr>
          <w:p w:rsidR="00990B01" w:rsidRPr="00E106BD" w:rsidDel="00BB316B" w:rsidRDefault="00990B01" w:rsidP="00EE4C4D">
            <w:pPr>
              <w:rPr>
                <w:rFonts w:ascii="Arial" w:hAnsi="Arial" w:cs="Arial"/>
                <w:sz w:val="16"/>
                <w:szCs w:val="16"/>
              </w:rPr>
            </w:pPr>
          </w:p>
        </w:tc>
        <w:tc>
          <w:tcPr>
            <w:tcW w:w="34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w:t>
            </w:r>
          </w:p>
        </w:tc>
        <w:tc>
          <w:tcPr>
            <w:tcW w:w="31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D</w:t>
            </w:r>
          </w:p>
        </w:tc>
      </w:tr>
      <w:tr w:rsidR="00990B01" w:rsidRPr="00E106BD" w:rsidDel="00BB316B" w:rsidTr="00802FC7">
        <w:tblPrEx>
          <w:tblBorders>
            <w:top w:val="single" w:sz="4" w:space="0" w:color="auto"/>
          </w:tblBorders>
        </w:tblPrEx>
        <w:trPr>
          <w:tblCellSpacing w:w="22" w:type="dxa"/>
        </w:trPr>
        <w:tc>
          <w:tcPr>
            <w:tcW w:w="1050" w:type="pct"/>
          </w:tcPr>
          <w:p w:rsidR="00990B01" w:rsidRPr="00E106BD" w:rsidDel="00BB316B" w:rsidRDefault="00990B01" w:rsidP="00EE4C4D">
            <w:pPr>
              <w:rPr>
                <w:rFonts w:ascii="Arial" w:hAnsi="Arial" w:cs="Arial"/>
                <w:sz w:val="16"/>
                <w:szCs w:val="16"/>
              </w:rPr>
            </w:pPr>
          </w:p>
        </w:tc>
        <w:tc>
          <w:tcPr>
            <w:tcW w:w="94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 xml:space="preserve">Tablet containing lumacaftor </w:t>
            </w:r>
            <w:r w:rsidRPr="00E106BD">
              <w:rPr>
                <w:rFonts w:ascii="Arial" w:hAnsi="Arial" w:cs="Arial"/>
                <w:sz w:val="16"/>
                <w:szCs w:val="16"/>
              </w:rPr>
              <w:br/>
              <w:t>100 mg with ivacaftor 125 mg</w:t>
            </w:r>
          </w:p>
        </w:tc>
        <w:tc>
          <w:tcPr>
            <w:tcW w:w="365"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Orkambi</w:t>
            </w:r>
          </w:p>
        </w:tc>
        <w:tc>
          <w:tcPr>
            <w:tcW w:w="22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VR</w:t>
            </w:r>
          </w:p>
        </w:tc>
        <w:tc>
          <w:tcPr>
            <w:tcW w:w="47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C9891 C9920</w:t>
            </w:r>
          </w:p>
        </w:tc>
        <w:tc>
          <w:tcPr>
            <w:tcW w:w="424" w:type="pct"/>
          </w:tcPr>
          <w:p w:rsidR="00990B01" w:rsidRPr="00E106BD" w:rsidDel="00BB316B" w:rsidRDefault="00990B01" w:rsidP="00EE4C4D">
            <w:pPr>
              <w:rPr>
                <w:rFonts w:ascii="Arial" w:hAnsi="Arial" w:cs="Arial"/>
                <w:sz w:val="16"/>
                <w:szCs w:val="16"/>
              </w:rPr>
            </w:pPr>
          </w:p>
        </w:tc>
        <w:tc>
          <w:tcPr>
            <w:tcW w:w="34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112</w:t>
            </w:r>
          </w:p>
        </w:tc>
        <w:tc>
          <w:tcPr>
            <w:tcW w:w="29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w:t>
            </w:r>
          </w:p>
        </w:tc>
        <w:tc>
          <w:tcPr>
            <w:tcW w:w="31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D</w:t>
            </w:r>
          </w:p>
        </w:tc>
      </w:tr>
      <w:tr w:rsidR="00990B01" w:rsidRPr="00E106BD" w:rsidDel="00BB316B" w:rsidTr="00802FC7">
        <w:tblPrEx>
          <w:tblBorders>
            <w:top w:val="single" w:sz="4" w:space="0" w:color="auto"/>
          </w:tblBorders>
        </w:tblPrEx>
        <w:trPr>
          <w:tblCellSpacing w:w="22" w:type="dxa"/>
        </w:trPr>
        <w:tc>
          <w:tcPr>
            <w:tcW w:w="1050" w:type="pct"/>
          </w:tcPr>
          <w:p w:rsidR="00990B01" w:rsidRPr="00E106BD" w:rsidDel="00BB316B" w:rsidRDefault="00990B01" w:rsidP="00EE4C4D">
            <w:pPr>
              <w:rPr>
                <w:rFonts w:ascii="Arial" w:hAnsi="Arial" w:cs="Arial"/>
                <w:sz w:val="16"/>
                <w:szCs w:val="16"/>
              </w:rPr>
            </w:pPr>
          </w:p>
        </w:tc>
        <w:tc>
          <w:tcPr>
            <w:tcW w:w="94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 xml:space="preserve">Tablet containing lumacaftor </w:t>
            </w:r>
            <w:r w:rsidRPr="00E106BD">
              <w:rPr>
                <w:rFonts w:ascii="Arial" w:hAnsi="Arial" w:cs="Arial"/>
                <w:sz w:val="16"/>
                <w:szCs w:val="16"/>
              </w:rPr>
              <w:br/>
              <w:t>200 mg with ivacaftor 125 mg</w:t>
            </w:r>
          </w:p>
        </w:tc>
        <w:tc>
          <w:tcPr>
            <w:tcW w:w="365"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Orkambi</w:t>
            </w:r>
          </w:p>
        </w:tc>
        <w:tc>
          <w:tcPr>
            <w:tcW w:w="22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VR</w:t>
            </w:r>
          </w:p>
        </w:tc>
        <w:tc>
          <w:tcPr>
            <w:tcW w:w="47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C9857 C9943</w:t>
            </w:r>
          </w:p>
        </w:tc>
        <w:tc>
          <w:tcPr>
            <w:tcW w:w="424" w:type="pct"/>
          </w:tcPr>
          <w:p w:rsidR="00990B01" w:rsidRPr="00E106BD" w:rsidDel="00BB316B" w:rsidRDefault="00990B01" w:rsidP="00EE4C4D">
            <w:pPr>
              <w:rPr>
                <w:rFonts w:ascii="Arial" w:hAnsi="Arial" w:cs="Arial"/>
                <w:sz w:val="16"/>
                <w:szCs w:val="16"/>
              </w:rPr>
            </w:pPr>
          </w:p>
        </w:tc>
        <w:tc>
          <w:tcPr>
            <w:tcW w:w="34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112</w:t>
            </w:r>
          </w:p>
        </w:tc>
        <w:tc>
          <w:tcPr>
            <w:tcW w:w="29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w:t>
            </w:r>
          </w:p>
        </w:tc>
        <w:tc>
          <w:tcPr>
            <w:tcW w:w="31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D</w:t>
            </w:r>
          </w:p>
        </w:tc>
      </w:tr>
      <w:tr w:rsidR="00097AE8" w:rsidRPr="00E106BD" w:rsidTr="00802FC7">
        <w:tblPrEx>
          <w:tblBorders>
            <w:top w:val="single" w:sz="4" w:space="0" w:color="auto"/>
          </w:tblBorders>
        </w:tblPrEx>
        <w:trPr>
          <w:tblCellSpacing w:w="22" w:type="dxa"/>
        </w:trPr>
        <w:tc>
          <w:tcPr>
            <w:tcW w:w="1050" w:type="pct"/>
          </w:tcPr>
          <w:p w:rsidR="00097AE8" w:rsidRPr="00E106BD" w:rsidRDefault="00097AE8" w:rsidP="004E4760">
            <w:pPr>
              <w:rPr>
                <w:rFonts w:ascii="Arial" w:hAnsi="Arial" w:cs="Arial"/>
                <w:sz w:val="16"/>
                <w:szCs w:val="16"/>
              </w:rPr>
            </w:pPr>
            <w:r w:rsidRPr="00802FC7">
              <w:rPr>
                <w:rFonts w:ascii="Arial" w:hAnsi="Arial" w:cs="Arial"/>
                <w:sz w:val="16"/>
                <w:szCs w:val="16"/>
              </w:rPr>
              <w:t>Macitentan</w:t>
            </w:r>
          </w:p>
        </w:tc>
        <w:tc>
          <w:tcPr>
            <w:tcW w:w="943" w:type="pct"/>
          </w:tcPr>
          <w:p w:rsidR="00097AE8" w:rsidRPr="00E106BD" w:rsidRDefault="00097AE8" w:rsidP="004E4760">
            <w:pPr>
              <w:rPr>
                <w:rFonts w:ascii="Arial" w:hAnsi="Arial" w:cs="Arial"/>
                <w:sz w:val="16"/>
                <w:szCs w:val="16"/>
              </w:rPr>
            </w:pPr>
            <w:r w:rsidRPr="00E106BD">
              <w:rPr>
                <w:rFonts w:ascii="Arial" w:hAnsi="Arial" w:cs="Arial"/>
                <w:sz w:val="16"/>
                <w:szCs w:val="16"/>
              </w:rPr>
              <w:t>Tablet 10 mg</w:t>
            </w:r>
          </w:p>
        </w:tc>
        <w:tc>
          <w:tcPr>
            <w:tcW w:w="365" w:type="pct"/>
          </w:tcPr>
          <w:p w:rsidR="00097AE8" w:rsidRPr="00E106BD" w:rsidRDefault="00097AE8" w:rsidP="004E4760">
            <w:pPr>
              <w:rPr>
                <w:rFonts w:ascii="Arial" w:hAnsi="Arial" w:cs="Arial"/>
                <w:sz w:val="16"/>
                <w:szCs w:val="16"/>
              </w:rPr>
            </w:pPr>
            <w:r w:rsidRPr="00E106BD">
              <w:rPr>
                <w:rFonts w:ascii="Arial" w:hAnsi="Arial" w:cs="Arial"/>
                <w:sz w:val="16"/>
                <w:szCs w:val="16"/>
              </w:rPr>
              <w:t>Oral</w:t>
            </w:r>
          </w:p>
        </w:tc>
        <w:tc>
          <w:tcPr>
            <w:tcW w:w="374" w:type="pct"/>
          </w:tcPr>
          <w:p w:rsidR="00097AE8" w:rsidRPr="00E106BD" w:rsidRDefault="00097AE8" w:rsidP="004E4760">
            <w:pPr>
              <w:rPr>
                <w:rFonts w:ascii="Arial" w:hAnsi="Arial" w:cs="Arial"/>
                <w:sz w:val="16"/>
                <w:szCs w:val="16"/>
              </w:rPr>
            </w:pPr>
            <w:r w:rsidRPr="00E106BD">
              <w:rPr>
                <w:rFonts w:ascii="Arial" w:hAnsi="Arial" w:cs="Arial"/>
                <w:sz w:val="16"/>
                <w:szCs w:val="16"/>
              </w:rPr>
              <w:t>Opsumit</w:t>
            </w:r>
          </w:p>
        </w:tc>
        <w:tc>
          <w:tcPr>
            <w:tcW w:w="220" w:type="pct"/>
          </w:tcPr>
          <w:p w:rsidR="00097AE8" w:rsidRPr="00E106BD" w:rsidRDefault="00097AE8" w:rsidP="004E4760">
            <w:pPr>
              <w:rPr>
                <w:rFonts w:ascii="Arial" w:hAnsi="Arial" w:cs="Arial"/>
                <w:sz w:val="16"/>
                <w:szCs w:val="16"/>
              </w:rPr>
            </w:pPr>
            <w:r w:rsidRPr="00E106BD">
              <w:rPr>
                <w:rFonts w:ascii="Arial" w:hAnsi="Arial" w:cs="Arial"/>
                <w:sz w:val="16"/>
                <w:szCs w:val="16"/>
              </w:rPr>
              <w:t>JC</w:t>
            </w:r>
          </w:p>
        </w:tc>
        <w:tc>
          <w:tcPr>
            <w:tcW w:w="477" w:type="pct"/>
          </w:tcPr>
          <w:p w:rsidR="00097AE8" w:rsidRPr="00E106BD" w:rsidRDefault="00097AE8" w:rsidP="004E4760">
            <w:pPr>
              <w:rPr>
                <w:rFonts w:ascii="Arial" w:hAnsi="Arial" w:cs="Arial"/>
                <w:sz w:val="16"/>
                <w:szCs w:val="16"/>
              </w:rPr>
            </w:pPr>
            <w:r w:rsidRPr="00C5193F">
              <w:rPr>
                <w:rFonts w:ascii="Arial" w:hAnsi="Arial" w:cs="Arial"/>
                <w:sz w:val="16"/>
                <w:szCs w:val="16"/>
              </w:rPr>
              <w:t xml:space="preserve">C10228 C10236 C10285 </w:t>
            </w:r>
            <w:r w:rsidRPr="00802FC7">
              <w:rPr>
                <w:rFonts w:ascii="Arial" w:hAnsi="Arial" w:cs="Arial"/>
                <w:sz w:val="16"/>
                <w:szCs w:val="16"/>
              </w:rPr>
              <w:t>C10728 C10845 C10846 C10850 C10869</w:t>
            </w:r>
          </w:p>
        </w:tc>
        <w:tc>
          <w:tcPr>
            <w:tcW w:w="424" w:type="pct"/>
          </w:tcPr>
          <w:p w:rsidR="00097AE8" w:rsidRPr="00E106BD" w:rsidRDefault="00097AE8" w:rsidP="004E4760">
            <w:pPr>
              <w:rPr>
                <w:rFonts w:ascii="Arial" w:hAnsi="Arial" w:cs="Arial"/>
                <w:sz w:val="16"/>
                <w:szCs w:val="16"/>
              </w:rPr>
            </w:pPr>
            <w:r w:rsidRPr="00EE6BE6">
              <w:rPr>
                <w:rFonts w:ascii="Arial" w:hAnsi="Arial" w:cs="Arial"/>
                <w:sz w:val="16"/>
                <w:szCs w:val="16"/>
              </w:rPr>
              <w:t>P10228 P10236 P10285</w:t>
            </w:r>
          </w:p>
        </w:tc>
        <w:tc>
          <w:tcPr>
            <w:tcW w:w="344" w:type="pct"/>
          </w:tcPr>
          <w:p w:rsidR="00097AE8" w:rsidRPr="00E106BD" w:rsidRDefault="00097AE8" w:rsidP="004E4760">
            <w:pPr>
              <w:rPr>
                <w:rFonts w:ascii="Arial" w:hAnsi="Arial" w:cs="Arial"/>
                <w:sz w:val="16"/>
                <w:szCs w:val="16"/>
              </w:rPr>
            </w:pPr>
            <w:r w:rsidRPr="00C5193F">
              <w:rPr>
                <w:rFonts w:ascii="Arial" w:hAnsi="Arial" w:cs="Arial"/>
                <w:sz w:val="16"/>
                <w:szCs w:val="16"/>
              </w:rPr>
              <w:t>30</w:t>
            </w:r>
          </w:p>
        </w:tc>
        <w:tc>
          <w:tcPr>
            <w:tcW w:w="297" w:type="pct"/>
          </w:tcPr>
          <w:p w:rsidR="00097AE8" w:rsidRPr="00E106BD" w:rsidRDefault="00097AE8" w:rsidP="004E4760">
            <w:pPr>
              <w:rPr>
                <w:rFonts w:ascii="Arial" w:hAnsi="Arial" w:cs="Arial"/>
                <w:sz w:val="16"/>
                <w:szCs w:val="16"/>
              </w:rPr>
            </w:pPr>
            <w:r w:rsidRPr="00C5193F">
              <w:rPr>
                <w:rFonts w:ascii="Arial" w:hAnsi="Arial" w:cs="Arial"/>
                <w:sz w:val="16"/>
                <w:szCs w:val="16"/>
              </w:rPr>
              <w:t>0</w:t>
            </w:r>
          </w:p>
        </w:tc>
        <w:tc>
          <w:tcPr>
            <w:tcW w:w="313" w:type="pct"/>
          </w:tcPr>
          <w:p w:rsidR="00097AE8" w:rsidRPr="00E106BD" w:rsidRDefault="00097AE8" w:rsidP="004E4760">
            <w:pPr>
              <w:rPr>
                <w:rFonts w:ascii="Arial" w:hAnsi="Arial" w:cs="Arial"/>
                <w:sz w:val="16"/>
                <w:szCs w:val="16"/>
              </w:rPr>
            </w:pPr>
            <w:r w:rsidRPr="00C5193F">
              <w:rPr>
                <w:rFonts w:ascii="Arial" w:hAnsi="Arial" w:cs="Arial"/>
                <w:sz w:val="16"/>
                <w:szCs w:val="16"/>
              </w:rPr>
              <w:t>D</w:t>
            </w:r>
          </w:p>
        </w:tc>
      </w:tr>
      <w:tr w:rsidR="00097AE8" w:rsidRPr="00E106BD" w:rsidTr="00802FC7">
        <w:tblPrEx>
          <w:tblBorders>
            <w:top w:val="single" w:sz="4" w:space="0" w:color="auto"/>
          </w:tblBorders>
        </w:tblPrEx>
        <w:trPr>
          <w:tblCellSpacing w:w="22" w:type="dxa"/>
        </w:trPr>
        <w:tc>
          <w:tcPr>
            <w:tcW w:w="1050" w:type="pct"/>
          </w:tcPr>
          <w:p w:rsidR="00097AE8" w:rsidRPr="00C5193F" w:rsidRDefault="00097AE8" w:rsidP="004E4760">
            <w:pPr>
              <w:rPr>
                <w:sz w:val="16"/>
                <w:szCs w:val="16"/>
              </w:rPr>
            </w:pPr>
          </w:p>
        </w:tc>
        <w:tc>
          <w:tcPr>
            <w:tcW w:w="943" w:type="pct"/>
          </w:tcPr>
          <w:p w:rsidR="00097AE8" w:rsidRPr="00E106BD" w:rsidRDefault="00097AE8" w:rsidP="004E4760">
            <w:pPr>
              <w:rPr>
                <w:rFonts w:ascii="Arial" w:hAnsi="Arial" w:cs="Arial"/>
                <w:sz w:val="16"/>
                <w:szCs w:val="16"/>
              </w:rPr>
            </w:pPr>
          </w:p>
        </w:tc>
        <w:tc>
          <w:tcPr>
            <w:tcW w:w="365" w:type="pct"/>
          </w:tcPr>
          <w:p w:rsidR="00097AE8" w:rsidRPr="00E106BD" w:rsidRDefault="00097AE8" w:rsidP="004E4760">
            <w:pPr>
              <w:rPr>
                <w:rFonts w:ascii="Arial" w:hAnsi="Arial" w:cs="Arial"/>
                <w:sz w:val="16"/>
                <w:szCs w:val="16"/>
              </w:rPr>
            </w:pPr>
          </w:p>
        </w:tc>
        <w:tc>
          <w:tcPr>
            <w:tcW w:w="374" w:type="pct"/>
          </w:tcPr>
          <w:p w:rsidR="00097AE8" w:rsidRPr="00E106BD" w:rsidRDefault="00097AE8" w:rsidP="004E4760">
            <w:pPr>
              <w:rPr>
                <w:rFonts w:ascii="Arial" w:hAnsi="Arial" w:cs="Arial"/>
                <w:sz w:val="16"/>
                <w:szCs w:val="16"/>
              </w:rPr>
            </w:pPr>
          </w:p>
        </w:tc>
        <w:tc>
          <w:tcPr>
            <w:tcW w:w="220" w:type="pct"/>
          </w:tcPr>
          <w:p w:rsidR="00097AE8" w:rsidRPr="00E106BD" w:rsidRDefault="00097AE8" w:rsidP="004E4760">
            <w:pPr>
              <w:rPr>
                <w:rFonts w:ascii="Arial" w:hAnsi="Arial" w:cs="Arial"/>
                <w:sz w:val="16"/>
                <w:szCs w:val="16"/>
              </w:rPr>
            </w:pPr>
          </w:p>
        </w:tc>
        <w:tc>
          <w:tcPr>
            <w:tcW w:w="477" w:type="pct"/>
          </w:tcPr>
          <w:p w:rsidR="00097AE8" w:rsidRPr="00C5193F" w:rsidRDefault="00097AE8" w:rsidP="004E4760">
            <w:pPr>
              <w:rPr>
                <w:rFonts w:ascii="Arial" w:hAnsi="Arial" w:cs="Arial"/>
                <w:sz w:val="16"/>
                <w:szCs w:val="16"/>
              </w:rPr>
            </w:pPr>
            <w:r w:rsidRPr="00C5193F">
              <w:rPr>
                <w:rFonts w:ascii="Arial" w:hAnsi="Arial" w:cs="Arial"/>
                <w:sz w:val="16"/>
              </w:rPr>
              <w:t>C10228 C10236 C10285 C10728 C10845 C10846 C10850 C10869</w:t>
            </w:r>
          </w:p>
        </w:tc>
        <w:tc>
          <w:tcPr>
            <w:tcW w:w="424" w:type="pct"/>
          </w:tcPr>
          <w:p w:rsidR="00097AE8" w:rsidRPr="00EE6BE6" w:rsidRDefault="00097AE8" w:rsidP="004E4760">
            <w:pPr>
              <w:rPr>
                <w:rFonts w:ascii="Arial" w:hAnsi="Arial" w:cs="Arial"/>
                <w:sz w:val="16"/>
                <w:szCs w:val="16"/>
              </w:rPr>
            </w:pPr>
            <w:r w:rsidRPr="00EE6BE6">
              <w:rPr>
                <w:rFonts w:ascii="Arial" w:hAnsi="Arial" w:cs="Arial"/>
                <w:sz w:val="16"/>
                <w:szCs w:val="16"/>
              </w:rPr>
              <w:t>P10728 P10845 P10846 P10850 P10869</w:t>
            </w:r>
          </w:p>
        </w:tc>
        <w:tc>
          <w:tcPr>
            <w:tcW w:w="344" w:type="pct"/>
          </w:tcPr>
          <w:p w:rsidR="00097AE8" w:rsidRPr="00C5193F" w:rsidRDefault="00097AE8" w:rsidP="004E4760">
            <w:pPr>
              <w:rPr>
                <w:rFonts w:ascii="Arial" w:hAnsi="Arial" w:cs="Arial"/>
                <w:sz w:val="16"/>
                <w:szCs w:val="16"/>
              </w:rPr>
            </w:pPr>
            <w:r w:rsidRPr="00C5193F">
              <w:rPr>
                <w:rFonts w:ascii="Arial" w:hAnsi="Arial" w:cs="Arial"/>
                <w:sz w:val="16"/>
              </w:rPr>
              <w:t>30</w:t>
            </w:r>
          </w:p>
        </w:tc>
        <w:tc>
          <w:tcPr>
            <w:tcW w:w="297" w:type="pct"/>
          </w:tcPr>
          <w:p w:rsidR="00097AE8" w:rsidRPr="00C5193F" w:rsidRDefault="00097AE8" w:rsidP="004E4760">
            <w:pPr>
              <w:rPr>
                <w:rFonts w:ascii="Arial" w:hAnsi="Arial" w:cs="Arial"/>
                <w:sz w:val="16"/>
                <w:szCs w:val="16"/>
              </w:rPr>
            </w:pPr>
            <w:r w:rsidRPr="00C5193F">
              <w:rPr>
                <w:rFonts w:ascii="Arial" w:hAnsi="Arial" w:cs="Arial"/>
                <w:sz w:val="16"/>
              </w:rPr>
              <w:t>5</w:t>
            </w:r>
          </w:p>
        </w:tc>
        <w:tc>
          <w:tcPr>
            <w:tcW w:w="313" w:type="pct"/>
          </w:tcPr>
          <w:p w:rsidR="00097AE8" w:rsidRPr="00C5193F" w:rsidRDefault="00097AE8" w:rsidP="004E4760">
            <w:pPr>
              <w:rPr>
                <w:rFonts w:ascii="Arial" w:hAnsi="Arial" w:cs="Arial"/>
                <w:sz w:val="16"/>
                <w:szCs w:val="16"/>
              </w:rPr>
            </w:pPr>
            <w:r w:rsidRPr="00C5193F">
              <w:rPr>
                <w:rFonts w:ascii="Arial" w:hAnsi="Arial" w:cs="Arial"/>
                <w:sz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Mannitol</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Pack containing 280 capsules containing powder for inhalation 40 mg and 2 inhalers</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Inhalation by mouth</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bronchitol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XA</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C7362 C7367 C9527 C9593</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Maraviroc</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Celsentri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C5008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Celsentri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C5008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r w:rsidRPr="00E106BD">
              <w:rPr>
                <w:rFonts w:ascii="Arial" w:hAnsi="Arial" w:cs="Arial"/>
                <w:sz w:val="16"/>
                <w:szCs w:val="16"/>
              </w:rPr>
              <w:t>Mepolizumab</w:t>
            </w:r>
          </w:p>
        </w:tc>
        <w:tc>
          <w:tcPr>
            <w:tcW w:w="943" w:type="pct"/>
          </w:tcPr>
          <w:p w:rsidR="00BB32B3" w:rsidRPr="00E106BD" w:rsidRDefault="00BB32B3" w:rsidP="004E4760">
            <w:pPr>
              <w:rPr>
                <w:rFonts w:ascii="Arial" w:hAnsi="Arial" w:cs="Arial"/>
                <w:sz w:val="16"/>
                <w:szCs w:val="16"/>
              </w:rPr>
            </w:pPr>
            <w:r w:rsidRPr="00037848">
              <w:rPr>
                <w:rFonts w:ascii="Arial" w:hAnsi="Arial" w:cs="Arial"/>
                <w:sz w:val="16"/>
                <w:szCs w:val="16"/>
              </w:rPr>
              <w:t>Injection 100 mg in 1 mL single dose pre-filled pen</w:t>
            </w:r>
          </w:p>
        </w:tc>
        <w:tc>
          <w:tcPr>
            <w:tcW w:w="365" w:type="pct"/>
          </w:tcPr>
          <w:p w:rsidR="00BB32B3" w:rsidRPr="00E106BD" w:rsidRDefault="00BB32B3" w:rsidP="004E4760">
            <w:pPr>
              <w:rPr>
                <w:rFonts w:ascii="Arial" w:hAnsi="Arial" w:cs="Arial"/>
                <w:sz w:val="16"/>
                <w:szCs w:val="16"/>
              </w:rPr>
            </w:pPr>
            <w:r w:rsidRPr="00037848">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037848">
              <w:rPr>
                <w:rFonts w:ascii="Arial" w:hAnsi="Arial" w:cs="Arial"/>
                <w:sz w:val="16"/>
                <w:szCs w:val="16"/>
              </w:rPr>
              <w:t>Nucala</w:t>
            </w:r>
          </w:p>
        </w:tc>
        <w:tc>
          <w:tcPr>
            <w:tcW w:w="220" w:type="pct"/>
          </w:tcPr>
          <w:p w:rsidR="00BB32B3" w:rsidRPr="00E106BD" w:rsidRDefault="00BB32B3" w:rsidP="004E4760">
            <w:pPr>
              <w:rPr>
                <w:rFonts w:ascii="Arial" w:hAnsi="Arial" w:cs="Arial"/>
                <w:sz w:val="16"/>
                <w:szCs w:val="16"/>
              </w:rPr>
            </w:pPr>
            <w:r w:rsidRPr="00037848">
              <w:rPr>
                <w:rFonts w:ascii="Arial" w:hAnsi="Arial" w:cs="Arial"/>
                <w:sz w:val="16"/>
                <w:szCs w:val="16"/>
              </w:rPr>
              <w:t>GK</w:t>
            </w:r>
          </w:p>
        </w:tc>
        <w:tc>
          <w:tcPr>
            <w:tcW w:w="477" w:type="pct"/>
          </w:tcPr>
          <w:p w:rsidR="00BB32B3" w:rsidRPr="00E106BD" w:rsidRDefault="00BB32B3" w:rsidP="004E4760">
            <w:pPr>
              <w:rPr>
                <w:rFonts w:ascii="Arial" w:hAnsi="Arial" w:cs="Arial"/>
                <w:sz w:val="16"/>
                <w:szCs w:val="16"/>
              </w:rPr>
            </w:pPr>
            <w:r w:rsidRPr="00777894">
              <w:rPr>
                <w:rFonts w:ascii="Arial" w:hAnsi="Arial" w:cs="Arial"/>
                <w:sz w:val="16"/>
                <w:szCs w:val="16"/>
              </w:rPr>
              <w:t>C9885 C10221 C10222 C10280 C10483 C10484</w:t>
            </w:r>
          </w:p>
        </w:tc>
        <w:tc>
          <w:tcPr>
            <w:tcW w:w="424" w:type="pct"/>
          </w:tcPr>
          <w:p w:rsidR="00BB32B3" w:rsidRPr="00E106BD" w:rsidRDefault="00BB32B3" w:rsidP="004E4760">
            <w:pPr>
              <w:rPr>
                <w:rFonts w:ascii="Arial" w:hAnsi="Arial" w:cs="Arial"/>
                <w:sz w:val="16"/>
                <w:szCs w:val="16"/>
              </w:rPr>
            </w:pPr>
            <w:r w:rsidRPr="00777894">
              <w:rPr>
                <w:rFonts w:ascii="Arial" w:hAnsi="Arial" w:cs="Arial"/>
                <w:sz w:val="16"/>
                <w:szCs w:val="16"/>
              </w:rPr>
              <w:t>P9885</w:t>
            </w:r>
          </w:p>
        </w:tc>
        <w:tc>
          <w:tcPr>
            <w:tcW w:w="344" w:type="pct"/>
          </w:tcPr>
          <w:p w:rsidR="00BB32B3" w:rsidRPr="00E106BD" w:rsidRDefault="00BB32B3" w:rsidP="004E4760">
            <w:pPr>
              <w:rPr>
                <w:rFonts w:ascii="Arial" w:hAnsi="Arial" w:cs="Arial"/>
                <w:sz w:val="16"/>
                <w:szCs w:val="16"/>
              </w:rPr>
            </w:pPr>
            <w:r w:rsidRPr="00037848">
              <w:rPr>
                <w:rFonts w:ascii="Arial" w:hAnsi="Arial" w:cs="Arial"/>
                <w:sz w:val="16"/>
              </w:rPr>
              <w:t>1</w:t>
            </w:r>
          </w:p>
        </w:tc>
        <w:tc>
          <w:tcPr>
            <w:tcW w:w="297" w:type="pct"/>
          </w:tcPr>
          <w:p w:rsidR="00BB32B3" w:rsidRPr="00E106BD" w:rsidRDefault="00BB32B3" w:rsidP="004E4760">
            <w:pPr>
              <w:rPr>
                <w:rFonts w:ascii="Arial" w:hAnsi="Arial" w:cs="Arial"/>
                <w:sz w:val="16"/>
                <w:szCs w:val="16"/>
              </w:rPr>
            </w:pPr>
            <w:r w:rsidRPr="00037848">
              <w:rPr>
                <w:rFonts w:ascii="Arial" w:hAnsi="Arial" w:cs="Arial"/>
                <w:sz w:val="16"/>
              </w:rPr>
              <w:t>0</w:t>
            </w:r>
          </w:p>
        </w:tc>
        <w:tc>
          <w:tcPr>
            <w:tcW w:w="313" w:type="pct"/>
          </w:tcPr>
          <w:p w:rsidR="00BB32B3" w:rsidRPr="00E106BD" w:rsidRDefault="00BB32B3" w:rsidP="004E4760">
            <w:pPr>
              <w:rPr>
                <w:rFonts w:ascii="Arial" w:hAnsi="Arial" w:cs="Arial"/>
                <w:sz w:val="16"/>
                <w:szCs w:val="16"/>
              </w:rPr>
            </w:pPr>
            <w:r w:rsidRPr="00037848">
              <w:rPr>
                <w:rFonts w:ascii="Arial" w:hAnsi="Arial" w:cs="Arial"/>
                <w:sz w:val="16"/>
                <w:szCs w:val="16"/>
              </w:rPr>
              <w:t>D</w:t>
            </w:r>
          </w:p>
        </w:tc>
      </w:tr>
      <w:tr w:rsidR="00BB32B3" w:rsidRPr="00E106BD" w:rsidTr="00802FC7">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p>
        </w:tc>
        <w:tc>
          <w:tcPr>
            <w:tcW w:w="220" w:type="pct"/>
          </w:tcPr>
          <w:p w:rsidR="00BB32B3" w:rsidRPr="00E106BD" w:rsidRDefault="00BB32B3" w:rsidP="004E4760">
            <w:pPr>
              <w:rPr>
                <w:rFonts w:ascii="Arial" w:hAnsi="Arial" w:cs="Arial"/>
                <w:sz w:val="16"/>
                <w:szCs w:val="16"/>
              </w:rPr>
            </w:pPr>
          </w:p>
        </w:tc>
        <w:tc>
          <w:tcPr>
            <w:tcW w:w="477" w:type="pct"/>
          </w:tcPr>
          <w:p w:rsidR="00BB32B3" w:rsidRPr="00E106BD" w:rsidRDefault="00BB32B3" w:rsidP="004E4760">
            <w:pPr>
              <w:rPr>
                <w:rFonts w:ascii="Arial" w:hAnsi="Arial" w:cs="Arial"/>
                <w:sz w:val="16"/>
                <w:szCs w:val="16"/>
              </w:rPr>
            </w:pPr>
            <w:r w:rsidRPr="00777894">
              <w:rPr>
                <w:rFonts w:ascii="Arial" w:hAnsi="Arial" w:cs="Arial"/>
                <w:sz w:val="16"/>
                <w:szCs w:val="16"/>
              </w:rPr>
              <w:t>C9885 C10221 C10222 C10280 C10483 C10484</w:t>
            </w:r>
          </w:p>
        </w:tc>
        <w:tc>
          <w:tcPr>
            <w:tcW w:w="424" w:type="pct"/>
          </w:tcPr>
          <w:p w:rsidR="00BB32B3" w:rsidRPr="00777894" w:rsidRDefault="00BB32B3" w:rsidP="004E4760">
            <w:pPr>
              <w:rPr>
                <w:rFonts w:ascii="Arial" w:hAnsi="Arial" w:cs="Arial"/>
                <w:sz w:val="16"/>
                <w:szCs w:val="16"/>
              </w:rPr>
            </w:pPr>
            <w:r w:rsidRPr="00777894">
              <w:rPr>
                <w:rFonts w:ascii="Arial" w:hAnsi="Arial" w:cs="Arial"/>
                <w:sz w:val="16"/>
                <w:szCs w:val="16"/>
              </w:rPr>
              <w:t>P10280 P10483 P10484</w:t>
            </w:r>
          </w:p>
        </w:tc>
        <w:tc>
          <w:tcPr>
            <w:tcW w:w="344" w:type="pct"/>
          </w:tcPr>
          <w:p w:rsidR="00BB32B3" w:rsidRPr="00E106BD" w:rsidRDefault="00BB32B3" w:rsidP="004E4760">
            <w:pPr>
              <w:rPr>
                <w:rFonts w:ascii="Arial" w:hAnsi="Arial" w:cs="Arial"/>
                <w:sz w:val="16"/>
                <w:szCs w:val="16"/>
              </w:rPr>
            </w:pPr>
            <w:r w:rsidRPr="00037848">
              <w:rPr>
                <w:rFonts w:ascii="Arial" w:hAnsi="Arial" w:cs="Arial"/>
                <w:sz w:val="16"/>
              </w:rPr>
              <w:t>1</w:t>
            </w:r>
          </w:p>
        </w:tc>
        <w:tc>
          <w:tcPr>
            <w:tcW w:w="297" w:type="pct"/>
          </w:tcPr>
          <w:p w:rsidR="00BB32B3" w:rsidRPr="00E106BD" w:rsidRDefault="00BB32B3" w:rsidP="004E4760">
            <w:pPr>
              <w:rPr>
                <w:rFonts w:ascii="Arial" w:hAnsi="Arial" w:cs="Arial"/>
                <w:sz w:val="16"/>
                <w:szCs w:val="16"/>
              </w:rPr>
            </w:pPr>
            <w:r w:rsidRPr="00037848">
              <w:rPr>
                <w:rFonts w:ascii="Arial" w:hAnsi="Arial" w:cs="Arial"/>
                <w:sz w:val="16"/>
              </w:rPr>
              <w:t>5</w:t>
            </w:r>
          </w:p>
        </w:tc>
        <w:tc>
          <w:tcPr>
            <w:tcW w:w="313" w:type="pct"/>
          </w:tcPr>
          <w:p w:rsidR="00BB32B3" w:rsidRPr="00E106BD" w:rsidRDefault="00BB32B3" w:rsidP="004E4760">
            <w:pPr>
              <w:rPr>
                <w:rFonts w:ascii="Arial" w:hAnsi="Arial" w:cs="Arial"/>
                <w:sz w:val="16"/>
                <w:szCs w:val="16"/>
              </w:rPr>
            </w:pPr>
            <w:r w:rsidRPr="00037848">
              <w:rPr>
                <w:rFonts w:ascii="Arial" w:hAnsi="Arial" w:cs="Arial"/>
                <w:sz w:val="16"/>
                <w:szCs w:val="16"/>
              </w:rPr>
              <w:t>D</w:t>
            </w:r>
          </w:p>
        </w:tc>
      </w:tr>
      <w:tr w:rsidR="00BB32B3" w:rsidRPr="00E106BD" w:rsidTr="00802FC7">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p>
        </w:tc>
        <w:tc>
          <w:tcPr>
            <w:tcW w:w="220" w:type="pct"/>
          </w:tcPr>
          <w:p w:rsidR="00BB32B3" w:rsidRPr="00E106BD" w:rsidRDefault="00BB32B3" w:rsidP="004E4760">
            <w:pPr>
              <w:rPr>
                <w:rFonts w:ascii="Arial" w:hAnsi="Arial" w:cs="Arial"/>
                <w:sz w:val="16"/>
                <w:szCs w:val="16"/>
              </w:rPr>
            </w:pPr>
          </w:p>
        </w:tc>
        <w:tc>
          <w:tcPr>
            <w:tcW w:w="477" w:type="pct"/>
          </w:tcPr>
          <w:p w:rsidR="00BB32B3" w:rsidRPr="00E106BD" w:rsidRDefault="00BB32B3" w:rsidP="004E4760">
            <w:pPr>
              <w:rPr>
                <w:rFonts w:ascii="Arial" w:hAnsi="Arial" w:cs="Arial"/>
                <w:sz w:val="16"/>
                <w:szCs w:val="16"/>
              </w:rPr>
            </w:pPr>
            <w:r w:rsidRPr="00777894">
              <w:rPr>
                <w:rFonts w:ascii="Arial" w:hAnsi="Arial" w:cs="Arial"/>
                <w:sz w:val="16"/>
                <w:szCs w:val="16"/>
              </w:rPr>
              <w:t>C9885 C10221 C10222 C10280 C10483 C10484</w:t>
            </w:r>
          </w:p>
        </w:tc>
        <w:tc>
          <w:tcPr>
            <w:tcW w:w="424" w:type="pct"/>
          </w:tcPr>
          <w:p w:rsidR="00BB32B3" w:rsidRPr="00777894" w:rsidRDefault="00BB32B3" w:rsidP="004E4760">
            <w:pPr>
              <w:rPr>
                <w:rFonts w:ascii="Arial" w:hAnsi="Arial" w:cs="Arial"/>
                <w:sz w:val="16"/>
                <w:szCs w:val="16"/>
              </w:rPr>
            </w:pPr>
            <w:r w:rsidRPr="00CF30FE">
              <w:rPr>
                <w:rFonts w:ascii="Arial" w:hAnsi="Arial" w:cs="Arial"/>
                <w:sz w:val="16"/>
                <w:szCs w:val="16"/>
              </w:rPr>
              <w:t>P10221 P10222</w:t>
            </w:r>
          </w:p>
        </w:tc>
        <w:tc>
          <w:tcPr>
            <w:tcW w:w="344" w:type="pct"/>
          </w:tcPr>
          <w:p w:rsidR="00BB32B3" w:rsidRPr="00E106BD" w:rsidRDefault="00BB32B3" w:rsidP="004E4760">
            <w:pPr>
              <w:rPr>
                <w:rFonts w:ascii="Arial" w:hAnsi="Arial" w:cs="Arial"/>
                <w:sz w:val="16"/>
                <w:szCs w:val="16"/>
              </w:rPr>
            </w:pPr>
            <w:r w:rsidRPr="00777894">
              <w:rPr>
                <w:rFonts w:ascii="Arial" w:hAnsi="Arial" w:cs="Arial"/>
                <w:sz w:val="16"/>
                <w:szCs w:val="16"/>
              </w:rPr>
              <w:t>1</w:t>
            </w:r>
          </w:p>
        </w:tc>
        <w:tc>
          <w:tcPr>
            <w:tcW w:w="297" w:type="pct"/>
          </w:tcPr>
          <w:p w:rsidR="00BB32B3" w:rsidRPr="00E106BD" w:rsidRDefault="00BB32B3" w:rsidP="004E4760">
            <w:pPr>
              <w:rPr>
                <w:rFonts w:ascii="Arial" w:hAnsi="Arial" w:cs="Arial"/>
                <w:sz w:val="16"/>
                <w:szCs w:val="16"/>
              </w:rPr>
            </w:pPr>
            <w:r w:rsidRPr="00037848">
              <w:rPr>
                <w:rFonts w:ascii="Arial" w:hAnsi="Arial" w:cs="Arial"/>
                <w:sz w:val="16"/>
              </w:rPr>
              <w:t>7</w:t>
            </w:r>
          </w:p>
        </w:tc>
        <w:tc>
          <w:tcPr>
            <w:tcW w:w="313" w:type="pct"/>
          </w:tcPr>
          <w:p w:rsidR="00BB32B3" w:rsidRPr="00E106BD" w:rsidRDefault="00BB32B3" w:rsidP="004E4760">
            <w:pPr>
              <w:rPr>
                <w:rFonts w:ascii="Arial" w:hAnsi="Arial" w:cs="Arial"/>
                <w:sz w:val="16"/>
                <w:szCs w:val="16"/>
              </w:rPr>
            </w:pPr>
            <w:r w:rsidRPr="00037848">
              <w:rPr>
                <w:rFonts w:ascii="Arial" w:hAnsi="Arial" w:cs="Arial"/>
                <w:sz w:val="16"/>
                <w:szCs w:val="16"/>
              </w:rPr>
              <w:t>D</w:t>
            </w:r>
          </w:p>
        </w:tc>
      </w:tr>
      <w:tr w:rsidR="00BB32B3" w:rsidRPr="00E106BD" w:rsidDel="00476F09" w:rsidTr="00802FC7">
        <w:tblPrEx>
          <w:tblBorders>
            <w:top w:val="single" w:sz="4" w:space="0" w:color="auto"/>
          </w:tblBorders>
        </w:tblPrEx>
        <w:trPr>
          <w:tblCellSpacing w:w="22" w:type="dxa"/>
        </w:trPr>
        <w:tc>
          <w:tcPr>
            <w:tcW w:w="1050" w:type="pct"/>
          </w:tcPr>
          <w:p w:rsidR="00BB32B3" w:rsidRPr="00E106BD" w:rsidDel="00476F09" w:rsidRDefault="00BB32B3" w:rsidP="004E4760">
            <w:pPr>
              <w:rPr>
                <w:rFonts w:ascii="Arial" w:hAnsi="Arial" w:cs="Arial"/>
                <w:sz w:val="16"/>
                <w:szCs w:val="16"/>
              </w:rPr>
            </w:pPr>
          </w:p>
        </w:tc>
        <w:tc>
          <w:tcPr>
            <w:tcW w:w="943"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Powder for injection 100 mg</w:t>
            </w:r>
          </w:p>
        </w:tc>
        <w:tc>
          <w:tcPr>
            <w:tcW w:w="365"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Nucala</w:t>
            </w:r>
          </w:p>
        </w:tc>
        <w:tc>
          <w:tcPr>
            <w:tcW w:w="220"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GK</w:t>
            </w:r>
          </w:p>
        </w:tc>
        <w:tc>
          <w:tcPr>
            <w:tcW w:w="477" w:type="pct"/>
          </w:tcPr>
          <w:p w:rsidR="00BB32B3" w:rsidRPr="00E106BD" w:rsidDel="00476F09" w:rsidRDefault="00BB32B3" w:rsidP="00607286">
            <w:pPr>
              <w:rPr>
                <w:rFonts w:ascii="Arial" w:hAnsi="Arial" w:cs="Arial"/>
                <w:sz w:val="16"/>
                <w:szCs w:val="16"/>
              </w:rPr>
            </w:pPr>
            <w:r w:rsidRPr="00E106BD">
              <w:rPr>
                <w:rFonts w:ascii="Arial" w:hAnsi="Arial" w:cs="Arial"/>
                <w:sz w:val="16"/>
                <w:szCs w:val="16"/>
              </w:rPr>
              <w:t>C9885</w:t>
            </w:r>
            <w:r w:rsidRPr="00E106BD">
              <w:rPr>
                <w:sz w:val="16"/>
                <w:szCs w:val="16"/>
              </w:rPr>
              <w:t xml:space="preserve"> </w:t>
            </w:r>
            <w:r w:rsidRPr="00E106BD">
              <w:rPr>
                <w:rStyle w:val="charAmendmentKeyword"/>
                <w:b w:val="0"/>
                <w:sz w:val="16"/>
                <w:szCs w:val="16"/>
              </w:rPr>
              <w:t>C10221 C10222 C10280</w:t>
            </w:r>
          </w:p>
        </w:tc>
        <w:tc>
          <w:tcPr>
            <w:tcW w:w="424" w:type="pct"/>
          </w:tcPr>
          <w:p w:rsidR="00BB32B3" w:rsidRPr="00E106BD" w:rsidDel="00476F09" w:rsidRDefault="00BB32B3" w:rsidP="004E4760">
            <w:pPr>
              <w:rPr>
                <w:rFonts w:ascii="Arial" w:hAnsi="Arial" w:cs="Arial"/>
                <w:sz w:val="16"/>
                <w:szCs w:val="16"/>
              </w:rPr>
            </w:pPr>
            <w:r w:rsidRPr="00E106BD">
              <w:rPr>
                <w:rStyle w:val="charAmendmentKeyword"/>
                <w:b w:val="0"/>
                <w:sz w:val="16"/>
                <w:szCs w:val="16"/>
              </w:rPr>
              <w:t>P9885</w:t>
            </w:r>
          </w:p>
        </w:tc>
        <w:tc>
          <w:tcPr>
            <w:tcW w:w="344"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1</w:t>
            </w:r>
          </w:p>
        </w:tc>
        <w:tc>
          <w:tcPr>
            <w:tcW w:w="297"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0</w:t>
            </w:r>
          </w:p>
        </w:tc>
        <w:tc>
          <w:tcPr>
            <w:tcW w:w="313"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D</w:t>
            </w:r>
          </w:p>
        </w:tc>
      </w:tr>
      <w:tr w:rsidR="00BB32B3" w:rsidRPr="00E106BD" w:rsidDel="00476F09" w:rsidTr="00802FC7">
        <w:tblPrEx>
          <w:tblBorders>
            <w:top w:val="single" w:sz="4" w:space="0" w:color="auto"/>
          </w:tblBorders>
        </w:tblPrEx>
        <w:trPr>
          <w:tblCellSpacing w:w="22" w:type="dxa"/>
        </w:trPr>
        <w:tc>
          <w:tcPr>
            <w:tcW w:w="1050" w:type="pct"/>
          </w:tcPr>
          <w:p w:rsidR="00BB32B3" w:rsidRPr="00E106BD" w:rsidDel="00476F09" w:rsidRDefault="00BB32B3" w:rsidP="004E4760">
            <w:pPr>
              <w:rPr>
                <w:rFonts w:ascii="Arial" w:hAnsi="Arial" w:cs="Arial"/>
                <w:sz w:val="16"/>
                <w:szCs w:val="16"/>
              </w:rPr>
            </w:pPr>
          </w:p>
        </w:tc>
        <w:tc>
          <w:tcPr>
            <w:tcW w:w="943" w:type="pct"/>
          </w:tcPr>
          <w:p w:rsidR="00BB32B3" w:rsidRPr="00E106BD" w:rsidDel="00476F09" w:rsidRDefault="00BB32B3" w:rsidP="004E4760">
            <w:pPr>
              <w:rPr>
                <w:rFonts w:ascii="Arial" w:hAnsi="Arial" w:cs="Arial"/>
                <w:sz w:val="16"/>
                <w:szCs w:val="16"/>
              </w:rPr>
            </w:pPr>
          </w:p>
        </w:tc>
        <w:tc>
          <w:tcPr>
            <w:tcW w:w="365" w:type="pct"/>
          </w:tcPr>
          <w:p w:rsidR="00BB32B3" w:rsidRPr="00E106BD" w:rsidDel="00476F09" w:rsidRDefault="00BB32B3" w:rsidP="004E4760">
            <w:pPr>
              <w:rPr>
                <w:rFonts w:ascii="Arial" w:hAnsi="Arial" w:cs="Arial"/>
                <w:sz w:val="16"/>
                <w:szCs w:val="16"/>
              </w:rPr>
            </w:pPr>
          </w:p>
        </w:tc>
        <w:tc>
          <w:tcPr>
            <w:tcW w:w="374" w:type="pct"/>
          </w:tcPr>
          <w:p w:rsidR="00BB32B3" w:rsidRPr="00E106BD" w:rsidDel="00476F09" w:rsidRDefault="00BB32B3" w:rsidP="004E4760">
            <w:pPr>
              <w:rPr>
                <w:rFonts w:ascii="Arial" w:hAnsi="Arial" w:cs="Arial"/>
                <w:sz w:val="16"/>
                <w:szCs w:val="16"/>
              </w:rPr>
            </w:pPr>
          </w:p>
        </w:tc>
        <w:tc>
          <w:tcPr>
            <w:tcW w:w="220" w:type="pct"/>
          </w:tcPr>
          <w:p w:rsidR="00BB32B3" w:rsidRPr="00E106BD" w:rsidDel="00476F09" w:rsidRDefault="00BB32B3" w:rsidP="004E4760">
            <w:pPr>
              <w:rPr>
                <w:rFonts w:ascii="Arial" w:hAnsi="Arial" w:cs="Arial"/>
                <w:sz w:val="16"/>
                <w:szCs w:val="16"/>
              </w:rPr>
            </w:pPr>
          </w:p>
        </w:tc>
        <w:tc>
          <w:tcPr>
            <w:tcW w:w="477" w:type="pct"/>
          </w:tcPr>
          <w:p w:rsidR="00BB32B3" w:rsidRPr="00E106BD" w:rsidDel="00476F09" w:rsidRDefault="00BB32B3" w:rsidP="00607286">
            <w:pPr>
              <w:rPr>
                <w:rFonts w:ascii="Arial" w:hAnsi="Arial" w:cs="Arial"/>
                <w:sz w:val="16"/>
                <w:szCs w:val="16"/>
              </w:rPr>
            </w:pPr>
            <w:r w:rsidRPr="00E106BD">
              <w:rPr>
                <w:rFonts w:ascii="Arial" w:hAnsi="Arial" w:cs="Arial"/>
                <w:sz w:val="16"/>
                <w:szCs w:val="16"/>
              </w:rPr>
              <w:t>C9885</w:t>
            </w:r>
            <w:r w:rsidRPr="00E106BD">
              <w:rPr>
                <w:sz w:val="16"/>
                <w:szCs w:val="16"/>
              </w:rPr>
              <w:t xml:space="preserve"> </w:t>
            </w:r>
            <w:r w:rsidRPr="00E106BD">
              <w:rPr>
                <w:rStyle w:val="charAmendmentKeyword"/>
                <w:b w:val="0"/>
                <w:sz w:val="16"/>
                <w:szCs w:val="16"/>
              </w:rPr>
              <w:t>C10221 C10222 C10280</w:t>
            </w:r>
          </w:p>
        </w:tc>
        <w:tc>
          <w:tcPr>
            <w:tcW w:w="424" w:type="pct"/>
          </w:tcPr>
          <w:p w:rsidR="00BB32B3" w:rsidRPr="00E106BD" w:rsidDel="00476F09" w:rsidRDefault="00BB32B3" w:rsidP="004E4760">
            <w:pPr>
              <w:rPr>
                <w:rFonts w:ascii="Arial" w:hAnsi="Arial" w:cs="Arial"/>
                <w:b/>
                <w:sz w:val="16"/>
                <w:szCs w:val="16"/>
              </w:rPr>
            </w:pPr>
            <w:r w:rsidRPr="00E106BD">
              <w:rPr>
                <w:rStyle w:val="charAmendmentKeyword"/>
                <w:b w:val="0"/>
                <w:sz w:val="16"/>
                <w:szCs w:val="16"/>
              </w:rPr>
              <w:t>P10280</w:t>
            </w:r>
          </w:p>
        </w:tc>
        <w:tc>
          <w:tcPr>
            <w:tcW w:w="344"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1</w:t>
            </w:r>
          </w:p>
        </w:tc>
        <w:tc>
          <w:tcPr>
            <w:tcW w:w="297"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D</w:t>
            </w:r>
          </w:p>
        </w:tc>
      </w:tr>
      <w:tr w:rsidR="00BB32B3" w:rsidRPr="00E106BD" w:rsidDel="00476F09" w:rsidTr="00802FC7">
        <w:tblPrEx>
          <w:tblBorders>
            <w:top w:val="single" w:sz="4" w:space="0" w:color="auto"/>
          </w:tblBorders>
        </w:tblPrEx>
        <w:trPr>
          <w:tblCellSpacing w:w="22" w:type="dxa"/>
        </w:trPr>
        <w:tc>
          <w:tcPr>
            <w:tcW w:w="1050" w:type="pct"/>
          </w:tcPr>
          <w:p w:rsidR="00BB32B3" w:rsidRPr="00E106BD" w:rsidDel="00476F09" w:rsidRDefault="00BB32B3" w:rsidP="004E4760">
            <w:pPr>
              <w:rPr>
                <w:rFonts w:ascii="Arial" w:hAnsi="Arial" w:cs="Arial"/>
                <w:sz w:val="16"/>
                <w:szCs w:val="16"/>
              </w:rPr>
            </w:pPr>
          </w:p>
        </w:tc>
        <w:tc>
          <w:tcPr>
            <w:tcW w:w="943" w:type="pct"/>
          </w:tcPr>
          <w:p w:rsidR="00BB32B3" w:rsidRPr="00E106BD" w:rsidDel="00476F09" w:rsidRDefault="00BB32B3" w:rsidP="004E4760">
            <w:pPr>
              <w:rPr>
                <w:rFonts w:ascii="Arial" w:hAnsi="Arial" w:cs="Arial"/>
                <w:sz w:val="16"/>
                <w:szCs w:val="16"/>
              </w:rPr>
            </w:pPr>
          </w:p>
        </w:tc>
        <w:tc>
          <w:tcPr>
            <w:tcW w:w="365" w:type="pct"/>
          </w:tcPr>
          <w:p w:rsidR="00BB32B3" w:rsidRPr="00E106BD" w:rsidDel="00476F09" w:rsidRDefault="00BB32B3" w:rsidP="004E4760">
            <w:pPr>
              <w:rPr>
                <w:rFonts w:ascii="Arial" w:hAnsi="Arial" w:cs="Arial"/>
                <w:sz w:val="16"/>
                <w:szCs w:val="16"/>
              </w:rPr>
            </w:pPr>
          </w:p>
        </w:tc>
        <w:tc>
          <w:tcPr>
            <w:tcW w:w="374" w:type="pct"/>
          </w:tcPr>
          <w:p w:rsidR="00BB32B3" w:rsidRPr="00E106BD" w:rsidDel="00476F09" w:rsidRDefault="00BB32B3" w:rsidP="004E4760">
            <w:pPr>
              <w:rPr>
                <w:rFonts w:ascii="Arial" w:hAnsi="Arial" w:cs="Arial"/>
                <w:sz w:val="16"/>
                <w:szCs w:val="16"/>
              </w:rPr>
            </w:pPr>
          </w:p>
        </w:tc>
        <w:tc>
          <w:tcPr>
            <w:tcW w:w="220" w:type="pct"/>
          </w:tcPr>
          <w:p w:rsidR="00BB32B3" w:rsidRPr="00E106BD" w:rsidDel="00476F09" w:rsidRDefault="00BB32B3" w:rsidP="004E4760">
            <w:pPr>
              <w:rPr>
                <w:rFonts w:ascii="Arial" w:hAnsi="Arial" w:cs="Arial"/>
                <w:sz w:val="16"/>
                <w:szCs w:val="16"/>
              </w:rPr>
            </w:pPr>
          </w:p>
        </w:tc>
        <w:tc>
          <w:tcPr>
            <w:tcW w:w="477" w:type="pct"/>
          </w:tcPr>
          <w:p w:rsidR="00BB32B3" w:rsidRPr="00E106BD" w:rsidDel="00476F09" w:rsidRDefault="00BB32B3" w:rsidP="00607286">
            <w:pPr>
              <w:rPr>
                <w:rFonts w:ascii="Arial" w:hAnsi="Arial" w:cs="Arial"/>
                <w:sz w:val="16"/>
                <w:szCs w:val="16"/>
              </w:rPr>
            </w:pPr>
            <w:r w:rsidRPr="00E106BD">
              <w:rPr>
                <w:rFonts w:ascii="Arial" w:hAnsi="Arial" w:cs="Arial"/>
                <w:sz w:val="16"/>
                <w:szCs w:val="16"/>
              </w:rPr>
              <w:t xml:space="preserve">C9885 </w:t>
            </w:r>
            <w:r w:rsidRPr="00E106BD">
              <w:rPr>
                <w:rStyle w:val="charAmendmentKeyword"/>
                <w:b w:val="0"/>
                <w:sz w:val="16"/>
                <w:szCs w:val="16"/>
              </w:rPr>
              <w:t>C10221 C10222 C10280</w:t>
            </w:r>
          </w:p>
        </w:tc>
        <w:tc>
          <w:tcPr>
            <w:tcW w:w="424" w:type="pct"/>
          </w:tcPr>
          <w:p w:rsidR="00BB32B3" w:rsidRPr="00E106BD" w:rsidDel="00476F09" w:rsidRDefault="00BB32B3" w:rsidP="004E4760">
            <w:pPr>
              <w:rPr>
                <w:rFonts w:ascii="Arial" w:hAnsi="Arial" w:cs="Arial"/>
                <w:b/>
                <w:sz w:val="16"/>
                <w:szCs w:val="16"/>
              </w:rPr>
            </w:pPr>
            <w:r w:rsidRPr="00E106BD">
              <w:rPr>
                <w:rStyle w:val="charAmendmentKeyword"/>
                <w:b w:val="0"/>
                <w:sz w:val="16"/>
                <w:szCs w:val="16"/>
              </w:rPr>
              <w:t>P10221 P10222</w:t>
            </w:r>
          </w:p>
        </w:tc>
        <w:tc>
          <w:tcPr>
            <w:tcW w:w="344"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1</w:t>
            </w:r>
          </w:p>
        </w:tc>
        <w:tc>
          <w:tcPr>
            <w:tcW w:w="297"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7</w:t>
            </w:r>
          </w:p>
        </w:tc>
        <w:tc>
          <w:tcPr>
            <w:tcW w:w="313"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E4760">
            <w:pPr>
              <w:rPr>
                <w:rFonts w:ascii="Arial" w:hAnsi="Arial" w:cs="Arial"/>
                <w:sz w:val="16"/>
                <w:szCs w:val="16"/>
              </w:rPr>
            </w:pPr>
            <w:r w:rsidRPr="00E106BD">
              <w:rPr>
                <w:rFonts w:ascii="Arial" w:hAnsi="Arial" w:cs="Arial"/>
                <w:sz w:val="16"/>
                <w:szCs w:val="16"/>
              </w:rPr>
              <w:t>Methoxy polyethylene glycol</w:t>
            </w:r>
            <w:r>
              <w:rPr>
                <w:rFonts w:ascii="Arial" w:hAnsi="Arial" w:cs="Arial"/>
                <w:sz w:val="16"/>
                <w:szCs w:val="16"/>
              </w:rPr>
              <w:noBreakHyphen/>
            </w:r>
            <w:r w:rsidRPr="00E106BD">
              <w:rPr>
                <w:rFonts w:ascii="Arial" w:hAnsi="Arial" w:cs="Arial"/>
                <w:sz w:val="16"/>
                <w:szCs w:val="16"/>
              </w:rPr>
              <w:t>epoetin beta</w:t>
            </w: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30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77"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24"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50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77"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24"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tblCellSpacing w:w="22" w:type="dxa"/>
        </w:trPr>
        <w:tc>
          <w:tcPr>
            <w:tcW w:w="1050" w:type="pct"/>
          </w:tcPr>
          <w:p w:rsidR="00BB32B3" w:rsidRPr="00E106BD" w:rsidRDefault="00BB32B3" w:rsidP="00F40872">
            <w:pPr>
              <w:keepNext/>
              <w:keepLines/>
              <w:rPr>
                <w:rFonts w:ascii="Arial" w:hAnsi="Arial" w:cs="Arial"/>
                <w:sz w:val="16"/>
                <w:szCs w:val="16"/>
              </w:rPr>
            </w:pPr>
          </w:p>
        </w:tc>
        <w:tc>
          <w:tcPr>
            <w:tcW w:w="943"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Injection 75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RO</w:t>
            </w:r>
          </w:p>
        </w:tc>
        <w:tc>
          <w:tcPr>
            <w:tcW w:w="477" w:type="pct"/>
          </w:tcPr>
          <w:p w:rsidR="00BB32B3" w:rsidRPr="00E106BD" w:rsidRDefault="00BB32B3" w:rsidP="00CF1779">
            <w:pPr>
              <w:rPr>
                <w:rFonts w:ascii="Arial" w:hAnsi="Arial" w:cs="Arial"/>
                <w:sz w:val="16"/>
                <w:szCs w:val="16"/>
              </w:rPr>
            </w:pPr>
            <w:r w:rsidRPr="00E106BD">
              <w:rPr>
                <w:rFonts w:ascii="Arial" w:hAnsi="Arial" w:cs="Arial"/>
                <w:sz w:val="16"/>
                <w:szCs w:val="16"/>
              </w:rPr>
              <w:t>C6294 C9688</w:t>
            </w:r>
          </w:p>
        </w:tc>
        <w:tc>
          <w:tcPr>
            <w:tcW w:w="424" w:type="pct"/>
          </w:tcPr>
          <w:p w:rsidR="00BB32B3" w:rsidRPr="00E106BD" w:rsidRDefault="00BB32B3" w:rsidP="00F40872">
            <w:pPr>
              <w:keepNext/>
              <w:keepLines/>
              <w:rPr>
                <w:rFonts w:ascii="Arial" w:hAnsi="Arial" w:cs="Arial"/>
                <w:sz w:val="16"/>
                <w:szCs w:val="16"/>
              </w:rPr>
            </w:pPr>
          </w:p>
        </w:tc>
        <w:tc>
          <w:tcPr>
            <w:tcW w:w="344"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100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77"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24"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120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77"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24"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200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77"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24"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360 micrograms in 0.6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77"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24"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r w:rsidRPr="00E106BD">
              <w:rPr>
                <w:rFonts w:ascii="Arial" w:hAnsi="Arial" w:cs="Arial"/>
                <w:sz w:val="16"/>
                <w:szCs w:val="16"/>
              </w:rPr>
              <w:t>Midostaurin</w:t>
            </w: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Capsule 25 mg</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Rydapt</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NV</w:t>
            </w:r>
          </w:p>
        </w:tc>
        <w:tc>
          <w:tcPr>
            <w:tcW w:w="477" w:type="pct"/>
          </w:tcPr>
          <w:p w:rsidR="00BB32B3" w:rsidRPr="00E106BD" w:rsidRDefault="00BB32B3" w:rsidP="004E4760">
            <w:pPr>
              <w:rPr>
                <w:rFonts w:ascii="Arial" w:hAnsi="Arial" w:cs="Arial"/>
                <w:sz w:val="16"/>
                <w:szCs w:val="16"/>
              </w:rPr>
            </w:pPr>
            <w:r w:rsidRPr="00E106BD">
              <w:rPr>
                <w:rFonts w:ascii="Arial" w:hAnsi="Arial" w:cs="Arial"/>
                <w:sz w:val="16"/>
                <w:szCs w:val="16"/>
              </w:rPr>
              <w:t>C8138 C8177 C8193 C8218</w:t>
            </w:r>
          </w:p>
        </w:tc>
        <w:tc>
          <w:tcPr>
            <w:tcW w:w="424" w:type="pct"/>
          </w:tcPr>
          <w:p w:rsidR="00BB32B3" w:rsidRPr="00E106BD" w:rsidRDefault="00BB32B3" w:rsidP="004E4760">
            <w:pPr>
              <w:rPr>
                <w:rFonts w:ascii="Arial" w:hAnsi="Arial" w:cs="Arial"/>
                <w:sz w:val="16"/>
                <w:szCs w:val="16"/>
              </w:rPr>
            </w:pPr>
            <w:r w:rsidRPr="00E106BD">
              <w:rPr>
                <w:rFonts w:ascii="Arial" w:hAnsi="Arial" w:cs="Arial"/>
                <w:sz w:val="16"/>
                <w:szCs w:val="16"/>
              </w:rPr>
              <w:t>P8193</w:t>
            </w: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56</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p>
        </w:tc>
        <w:tc>
          <w:tcPr>
            <w:tcW w:w="220" w:type="pct"/>
          </w:tcPr>
          <w:p w:rsidR="00BB32B3" w:rsidRPr="00E106BD" w:rsidRDefault="00BB32B3" w:rsidP="004E4760">
            <w:pPr>
              <w:rPr>
                <w:rFonts w:ascii="Arial" w:hAnsi="Arial" w:cs="Arial"/>
                <w:sz w:val="16"/>
                <w:szCs w:val="16"/>
              </w:rPr>
            </w:pPr>
          </w:p>
        </w:tc>
        <w:tc>
          <w:tcPr>
            <w:tcW w:w="477" w:type="pct"/>
          </w:tcPr>
          <w:p w:rsidR="00BB32B3" w:rsidRPr="00E106BD" w:rsidRDefault="00BB32B3" w:rsidP="004E4760">
            <w:pPr>
              <w:rPr>
                <w:rFonts w:ascii="Arial" w:hAnsi="Arial" w:cs="Arial"/>
                <w:sz w:val="16"/>
                <w:szCs w:val="16"/>
              </w:rPr>
            </w:pPr>
            <w:r w:rsidRPr="00E106BD">
              <w:rPr>
                <w:rFonts w:ascii="Arial" w:hAnsi="Arial" w:cs="Arial"/>
                <w:sz w:val="16"/>
                <w:szCs w:val="16"/>
              </w:rPr>
              <w:t>C8138 C8177 C8193 C8218</w:t>
            </w:r>
          </w:p>
        </w:tc>
        <w:tc>
          <w:tcPr>
            <w:tcW w:w="424" w:type="pct"/>
          </w:tcPr>
          <w:p w:rsidR="00BB32B3" w:rsidRPr="00E106BD" w:rsidRDefault="00BB32B3" w:rsidP="004E4760">
            <w:pPr>
              <w:rPr>
                <w:rFonts w:ascii="Arial" w:hAnsi="Arial" w:cs="Arial"/>
                <w:sz w:val="16"/>
                <w:szCs w:val="16"/>
              </w:rPr>
            </w:pPr>
            <w:r w:rsidRPr="00E106BD">
              <w:rPr>
                <w:rFonts w:ascii="Arial" w:hAnsi="Arial" w:cs="Arial"/>
                <w:sz w:val="16"/>
                <w:szCs w:val="16"/>
              </w:rPr>
              <w:t>P8218</w:t>
            </w: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112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1</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p>
        </w:tc>
        <w:tc>
          <w:tcPr>
            <w:tcW w:w="220" w:type="pct"/>
          </w:tcPr>
          <w:p w:rsidR="00BB32B3" w:rsidRPr="00E106BD" w:rsidRDefault="00BB32B3" w:rsidP="004E4760">
            <w:pPr>
              <w:rPr>
                <w:rFonts w:ascii="Arial" w:hAnsi="Arial" w:cs="Arial"/>
                <w:sz w:val="16"/>
                <w:szCs w:val="16"/>
              </w:rPr>
            </w:pPr>
          </w:p>
        </w:tc>
        <w:tc>
          <w:tcPr>
            <w:tcW w:w="477" w:type="pct"/>
          </w:tcPr>
          <w:p w:rsidR="00BB32B3" w:rsidRPr="00E106BD" w:rsidRDefault="00BB32B3" w:rsidP="004E4760">
            <w:pPr>
              <w:rPr>
                <w:rFonts w:ascii="Arial" w:hAnsi="Arial" w:cs="Arial"/>
                <w:sz w:val="16"/>
                <w:szCs w:val="16"/>
              </w:rPr>
            </w:pPr>
            <w:r w:rsidRPr="00E106BD">
              <w:rPr>
                <w:rFonts w:ascii="Arial" w:hAnsi="Arial" w:cs="Arial"/>
                <w:sz w:val="16"/>
                <w:szCs w:val="16"/>
              </w:rPr>
              <w:t>C8138 C8177 C8193 C8218</w:t>
            </w:r>
          </w:p>
        </w:tc>
        <w:tc>
          <w:tcPr>
            <w:tcW w:w="424" w:type="pct"/>
          </w:tcPr>
          <w:p w:rsidR="00BB32B3" w:rsidRPr="00E106BD" w:rsidRDefault="00BB32B3" w:rsidP="004E4760">
            <w:pPr>
              <w:rPr>
                <w:rFonts w:ascii="Arial" w:hAnsi="Arial" w:cs="Arial"/>
                <w:sz w:val="16"/>
                <w:szCs w:val="16"/>
              </w:rPr>
            </w:pPr>
            <w:r w:rsidRPr="00E106BD">
              <w:rPr>
                <w:rFonts w:ascii="Arial" w:hAnsi="Arial" w:cs="Arial"/>
                <w:sz w:val="16"/>
                <w:szCs w:val="16"/>
              </w:rPr>
              <w:t>P8138 P8177</w:t>
            </w: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112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r w:rsidRPr="00E106BD">
              <w:rPr>
                <w:rFonts w:ascii="Arial" w:hAnsi="Arial" w:cs="Arial"/>
                <w:sz w:val="16"/>
                <w:szCs w:val="16"/>
              </w:rPr>
              <w:t>Mycophenolic Acid</w:t>
            </w:r>
          </w:p>
        </w:tc>
        <w:tc>
          <w:tcPr>
            <w:tcW w:w="943"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Tablet (enteric coated) containing mycophenolate sodium equivalent to 180 mg mycophenolic acid</w:t>
            </w:r>
          </w:p>
        </w:tc>
        <w:tc>
          <w:tcPr>
            <w:tcW w:w="365"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Myfortic</w:t>
            </w:r>
          </w:p>
        </w:tc>
        <w:tc>
          <w:tcPr>
            <w:tcW w:w="220"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NV</w:t>
            </w:r>
          </w:p>
        </w:tc>
        <w:tc>
          <w:tcPr>
            <w:tcW w:w="477" w:type="pct"/>
          </w:tcPr>
          <w:p w:rsidR="00BB32B3" w:rsidRPr="00E106BD" w:rsidDel="000467C4" w:rsidRDefault="00BB32B3">
            <w:pPr>
              <w:rPr>
                <w:rFonts w:ascii="Arial" w:hAnsi="Arial" w:cs="Arial"/>
                <w:sz w:val="16"/>
                <w:szCs w:val="16"/>
              </w:rPr>
            </w:pPr>
            <w:r w:rsidRPr="00E106BD">
              <w:rPr>
                <w:rFonts w:ascii="Arial" w:hAnsi="Arial" w:cs="Arial"/>
                <w:sz w:val="16"/>
                <w:szCs w:val="16"/>
              </w:rPr>
              <w:t>C4084 C4095 C9692 C9809</w:t>
            </w:r>
          </w:p>
        </w:tc>
        <w:tc>
          <w:tcPr>
            <w:tcW w:w="424" w:type="pct"/>
          </w:tcPr>
          <w:p w:rsidR="00BB32B3" w:rsidRPr="00E106BD" w:rsidRDefault="00BB32B3" w:rsidP="004E4760">
            <w:pPr>
              <w:rPr>
                <w:rFonts w:ascii="Arial" w:hAnsi="Arial" w:cs="Arial"/>
                <w:sz w:val="16"/>
                <w:szCs w:val="16"/>
              </w:rPr>
            </w:pPr>
          </w:p>
        </w:tc>
        <w:tc>
          <w:tcPr>
            <w:tcW w:w="344"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240</w:t>
            </w:r>
          </w:p>
        </w:tc>
        <w:tc>
          <w:tcPr>
            <w:tcW w:w="297"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802FC7">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Tablet (enteric coated) containing mycophenolate sodium equivalent to 360 mg mycophenolic acid</w:t>
            </w:r>
          </w:p>
        </w:tc>
        <w:tc>
          <w:tcPr>
            <w:tcW w:w="365"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Myfortic</w:t>
            </w:r>
          </w:p>
        </w:tc>
        <w:tc>
          <w:tcPr>
            <w:tcW w:w="220"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NV</w:t>
            </w:r>
          </w:p>
        </w:tc>
        <w:tc>
          <w:tcPr>
            <w:tcW w:w="477" w:type="pct"/>
          </w:tcPr>
          <w:p w:rsidR="00BB32B3" w:rsidRPr="00E106BD" w:rsidDel="000467C4" w:rsidRDefault="00BB32B3">
            <w:pPr>
              <w:rPr>
                <w:rFonts w:ascii="Arial" w:hAnsi="Arial" w:cs="Arial"/>
                <w:sz w:val="16"/>
                <w:szCs w:val="16"/>
              </w:rPr>
            </w:pPr>
            <w:r w:rsidRPr="00E106BD">
              <w:rPr>
                <w:rFonts w:ascii="Arial" w:hAnsi="Arial" w:cs="Arial"/>
                <w:sz w:val="16"/>
                <w:szCs w:val="16"/>
              </w:rPr>
              <w:t>C4084 C4095 C9692 C9809</w:t>
            </w:r>
          </w:p>
        </w:tc>
        <w:tc>
          <w:tcPr>
            <w:tcW w:w="424" w:type="pct"/>
          </w:tcPr>
          <w:p w:rsidR="00BB32B3" w:rsidRPr="00E106BD" w:rsidRDefault="00BB32B3" w:rsidP="004E4760">
            <w:pPr>
              <w:rPr>
                <w:rFonts w:ascii="Arial" w:hAnsi="Arial" w:cs="Arial"/>
                <w:sz w:val="16"/>
                <w:szCs w:val="16"/>
              </w:rPr>
            </w:pPr>
          </w:p>
        </w:tc>
        <w:tc>
          <w:tcPr>
            <w:tcW w:w="344"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240</w:t>
            </w:r>
          </w:p>
        </w:tc>
        <w:tc>
          <w:tcPr>
            <w:tcW w:w="297"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Capsule containing mycophenolate mofetil 250 mg</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A260A2">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Mycophenolate</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TX</w:t>
            </w:r>
          </w:p>
        </w:tc>
        <w:tc>
          <w:tcPr>
            <w:tcW w:w="477" w:type="pct"/>
          </w:tcPr>
          <w:p w:rsidR="00BB32B3" w:rsidRPr="00E106BD" w:rsidRDefault="00BB32B3">
            <w:pPr>
              <w:rPr>
                <w:rFonts w:ascii="Arial" w:hAnsi="Arial" w:cs="Arial"/>
                <w:sz w:val="16"/>
                <w:szCs w:val="16"/>
              </w:rPr>
            </w:pPr>
            <w:r w:rsidRPr="00E106BD">
              <w:rPr>
                <w:rFonts w:ascii="Arial" w:hAnsi="Arial" w:cs="Arial"/>
                <w:sz w:val="16"/>
                <w:szCs w:val="16"/>
              </w:rPr>
              <w:t>C5600 C5653 C9689 C9690</w:t>
            </w:r>
          </w:p>
        </w:tc>
        <w:tc>
          <w:tcPr>
            <w:tcW w:w="424"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600</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CellCept</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77" w:type="pct"/>
          </w:tcPr>
          <w:p w:rsidR="00BB32B3" w:rsidRPr="00E106BD" w:rsidRDefault="00BB32B3">
            <w:pPr>
              <w:rPr>
                <w:rFonts w:ascii="Arial" w:hAnsi="Arial" w:cs="Arial"/>
                <w:sz w:val="16"/>
                <w:szCs w:val="16"/>
              </w:rPr>
            </w:pPr>
            <w:r w:rsidRPr="00E106BD">
              <w:rPr>
                <w:rFonts w:ascii="Arial" w:hAnsi="Arial" w:cs="Arial"/>
                <w:sz w:val="16"/>
                <w:szCs w:val="16"/>
              </w:rPr>
              <w:t>C5600 C5653 C9689 C9690</w:t>
            </w:r>
          </w:p>
        </w:tc>
        <w:tc>
          <w:tcPr>
            <w:tcW w:w="424"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600</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802FC7">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Ceptolate</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AF</w:t>
            </w:r>
          </w:p>
        </w:tc>
        <w:tc>
          <w:tcPr>
            <w:tcW w:w="477" w:type="pct"/>
          </w:tcPr>
          <w:p w:rsidR="00BB32B3" w:rsidRPr="00E106BD" w:rsidRDefault="00BB32B3">
            <w:pPr>
              <w:rPr>
                <w:rFonts w:ascii="Arial" w:hAnsi="Arial" w:cs="Arial"/>
                <w:sz w:val="16"/>
                <w:szCs w:val="16"/>
              </w:rPr>
            </w:pPr>
            <w:r w:rsidRPr="00E106BD">
              <w:rPr>
                <w:rFonts w:ascii="Arial" w:hAnsi="Arial" w:cs="Arial"/>
                <w:sz w:val="16"/>
                <w:szCs w:val="16"/>
              </w:rPr>
              <w:t>C5600 C5653 C9689 C9690</w:t>
            </w:r>
          </w:p>
        </w:tc>
        <w:tc>
          <w:tcPr>
            <w:tcW w:w="424"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600</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802FC7">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Mycophenolate Sandoz</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SZ</w:t>
            </w:r>
          </w:p>
        </w:tc>
        <w:tc>
          <w:tcPr>
            <w:tcW w:w="477" w:type="pct"/>
          </w:tcPr>
          <w:p w:rsidR="00BB32B3" w:rsidRPr="00E106BD" w:rsidRDefault="00BB32B3">
            <w:pPr>
              <w:rPr>
                <w:rFonts w:ascii="Arial" w:hAnsi="Arial" w:cs="Arial"/>
                <w:sz w:val="16"/>
                <w:szCs w:val="16"/>
              </w:rPr>
            </w:pPr>
            <w:r w:rsidRPr="00E106BD">
              <w:rPr>
                <w:rFonts w:ascii="Arial" w:hAnsi="Arial" w:cs="Arial"/>
                <w:sz w:val="16"/>
                <w:szCs w:val="16"/>
              </w:rPr>
              <w:t>C5600 C5653 C9689 C9690</w:t>
            </w:r>
          </w:p>
        </w:tc>
        <w:tc>
          <w:tcPr>
            <w:tcW w:w="424"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600</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Pharmacor Mycophenolate 250</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CR</w:t>
            </w:r>
          </w:p>
        </w:tc>
        <w:tc>
          <w:tcPr>
            <w:tcW w:w="477" w:type="pct"/>
          </w:tcPr>
          <w:p w:rsidR="00BB32B3" w:rsidRPr="00E106BD" w:rsidRDefault="00BB32B3">
            <w:pPr>
              <w:rPr>
                <w:rFonts w:ascii="Arial" w:hAnsi="Arial" w:cs="Arial"/>
                <w:sz w:val="16"/>
                <w:szCs w:val="16"/>
              </w:rPr>
            </w:pPr>
            <w:r w:rsidRPr="00E106BD">
              <w:rPr>
                <w:rFonts w:ascii="Arial" w:hAnsi="Arial" w:cs="Arial"/>
                <w:sz w:val="16"/>
                <w:szCs w:val="16"/>
              </w:rPr>
              <w:t>C5600 C5653 C9689 C9690</w:t>
            </w:r>
          </w:p>
        </w:tc>
        <w:tc>
          <w:tcPr>
            <w:tcW w:w="424"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600</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C</w:t>
            </w:r>
          </w:p>
        </w:tc>
      </w:tr>
      <w:tr w:rsidR="00BB32B3" w:rsidRPr="00E106BD" w:rsidDel="00404472" w:rsidTr="00802FC7">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Tablet containing mycophenolate mofetil 500 mg</w:t>
            </w:r>
          </w:p>
        </w:tc>
        <w:tc>
          <w:tcPr>
            <w:tcW w:w="365"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404472" w:rsidRDefault="00BB32B3" w:rsidP="00D949DB">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Mycophenolate</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TX</w:t>
            </w:r>
          </w:p>
        </w:tc>
        <w:tc>
          <w:tcPr>
            <w:tcW w:w="477"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24"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802FC7">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CellCept</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RO</w:t>
            </w:r>
          </w:p>
        </w:tc>
        <w:tc>
          <w:tcPr>
            <w:tcW w:w="477"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24"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802FC7">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Ceptolate</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AF</w:t>
            </w:r>
          </w:p>
        </w:tc>
        <w:tc>
          <w:tcPr>
            <w:tcW w:w="477"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24"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802FC7">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 xml:space="preserve">MycoCept </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RF</w:t>
            </w:r>
          </w:p>
        </w:tc>
        <w:tc>
          <w:tcPr>
            <w:tcW w:w="477" w:type="pct"/>
          </w:tcPr>
          <w:p w:rsidR="00BB32B3" w:rsidRPr="00E106BD" w:rsidRDefault="00BB32B3">
            <w:pPr>
              <w:rPr>
                <w:rFonts w:ascii="Arial" w:hAnsi="Arial" w:cs="Arial"/>
                <w:sz w:val="16"/>
                <w:szCs w:val="16"/>
              </w:rPr>
            </w:pPr>
            <w:r w:rsidRPr="00E106BD">
              <w:rPr>
                <w:rFonts w:ascii="Arial" w:hAnsi="Arial" w:cs="Arial"/>
                <w:sz w:val="16"/>
                <w:szCs w:val="16"/>
              </w:rPr>
              <w:t>C5554 C5795 C9691 C9693</w:t>
            </w:r>
          </w:p>
        </w:tc>
        <w:tc>
          <w:tcPr>
            <w:tcW w:w="424" w:type="pct"/>
          </w:tcPr>
          <w:p w:rsidR="00BB32B3" w:rsidRPr="00E106BD" w:rsidDel="00404472"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eastAsia="Arial" w:hAnsi="Arial" w:cs="Arial"/>
                <w:sz w:val="16"/>
                <w:szCs w:val="22"/>
                <w:lang w:eastAsia="zh-CN"/>
              </w:rPr>
              <w:t>300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802FC7">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Mycophenolate AN</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EA</w:t>
            </w:r>
          </w:p>
        </w:tc>
        <w:tc>
          <w:tcPr>
            <w:tcW w:w="477"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24"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802FC7">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Mycophenolate APOTEX</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GX</w:t>
            </w:r>
          </w:p>
        </w:tc>
        <w:tc>
          <w:tcPr>
            <w:tcW w:w="477" w:type="pct"/>
          </w:tcPr>
          <w:p w:rsidR="00BB32B3" w:rsidRPr="00E106BD" w:rsidRDefault="00BB32B3">
            <w:pPr>
              <w:rPr>
                <w:rFonts w:ascii="Arial" w:hAnsi="Arial" w:cs="Arial"/>
                <w:sz w:val="16"/>
                <w:szCs w:val="16"/>
              </w:rPr>
            </w:pPr>
            <w:r w:rsidRPr="00E106BD">
              <w:rPr>
                <w:rFonts w:ascii="Arial" w:hAnsi="Arial" w:cs="Arial"/>
                <w:sz w:val="16"/>
                <w:szCs w:val="16"/>
              </w:rPr>
              <w:t>C5554 C5795 C9691 C9693</w:t>
            </w:r>
          </w:p>
        </w:tc>
        <w:tc>
          <w:tcPr>
            <w:tcW w:w="424" w:type="pct"/>
          </w:tcPr>
          <w:p w:rsidR="00BB32B3" w:rsidRPr="00E106BD" w:rsidDel="00404472"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802FC7">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Mycophenolate GH</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GQ</w:t>
            </w:r>
          </w:p>
        </w:tc>
        <w:tc>
          <w:tcPr>
            <w:tcW w:w="477" w:type="pct"/>
          </w:tcPr>
          <w:p w:rsidR="00BB32B3" w:rsidRPr="00E106BD" w:rsidRDefault="00BB32B3">
            <w:pPr>
              <w:rPr>
                <w:rFonts w:ascii="Arial" w:hAnsi="Arial" w:cs="Arial"/>
                <w:sz w:val="16"/>
                <w:szCs w:val="16"/>
              </w:rPr>
            </w:pPr>
            <w:r w:rsidRPr="00E106BD">
              <w:rPr>
                <w:rFonts w:ascii="Arial" w:hAnsi="Arial" w:cs="Arial"/>
                <w:sz w:val="16"/>
                <w:szCs w:val="16"/>
              </w:rPr>
              <w:t>C5554 C5795 C9691 C9693</w:t>
            </w:r>
          </w:p>
        </w:tc>
        <w:tc>
          <w:tcPr>
            <w:tcW w:w="424" w:type="pct"/>
          </w:tcPr>
          <w:p w:rsidR="00BB32B3" w:rsidRPr="00E106BD" w:rsidDel="00404472"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802FC7">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Mycophenolate Sandoz</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SZ</w:t>
            </w:r>
          </w:p>
        </w:tc>
        <w:tc>
          <w:tcPr>
            <w:tcW w:w="477"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24"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802FC7">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Pharmacor Mycophenolate 500</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CR</w:t>
            </w:r>
          </w:p>
        </w:tc>
        <w:tc>
          <w:tcPr>
            <w:tcW w:w="477"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24"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Powder for oral suspension containing mycophenolate mofetil 1 g per 5 mL, 165 mL</w:t>
            </w:r>
          </w:p>
        </w:tc>
        <w:tc>
          <w:tcPr>
            <w:tcW w:w="365"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CellCept</w:t>
            </w:r>
          </w:p>
        </w:tc>
        <w:tc>
          <w:tcPr>
            <w:tcW w:w="220"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RO</w:t>
            </w:r>
          </w:p>
        </w:tc>
        <w:tc>
          <w:tcPr>
            <w:tcW w:w="477" w:type="pct"/>
          </w:tcPr>
          <w:p w:rsidR="00BB32B3" w:rsidRPr="00E106BD" w:rsidDel="000467C4" w:rsidRDefault="00BB32B3">
            <w:pPr>
              <w:rPr>
                <w:rFonts w:ascii="Arial" w:hAnsi="Arial" w:cs="Arial"/>
                <w:sz w:val="16"/>
                <w:szCs w:val="16"/>
              </w:rPr>
            </w:pPr>
            <w:r w:rsidRPr="00E106BD">
              <w:rPr>
                <w:rFonts w:ascii="Arial" w:hAnsi="Arial" w:cs="Arial"/>
                <w:sz w:val="16"/>
                <w:szCs w:val="16"/>
              </w:rPr>
              <w:t>C5554 C5795 C9691 C9693</w:t>
            </w:r>
          </w:p>
        </w:tc>
        <w:tc>
          <w:tcPr>
            <w:tcW w:w="424" w:type="pct"/>
          </w:tcPr>
          <w:p w:rsidR="00BB32B3" w:rsidRPr="00E106BD" w:rsidRDefault="00BB32B3" w:rsidP="00404472">
            <w:pPr>
              <w:rPr>
                <w:rFonts w:ascii="Arial" w:hAnsi="Arial" w:cs="Arial"/>
                <w:sz w:val="16"/>
                <w:szCs w:val="16"/>
              </w:rPr>
            </w:pPr>
          </w:p>
        </w:tc>
        <w:tc>
          <w:tcPr>
            <w:tcW w:w="344"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C</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Natalizumab</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Solution concentrate for I.V. infusion 300 mg in 15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Tysabri</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BD</w:t>
            </w:r>
          </w:p>
        </w:tc>
        <w:tc>
          <w:tcPr>
            <w:tcW w:w="477" w:type="pct"/>
          </w:tcPr>
          <w:p w:rsidR="00BB32B3" w:rsidRPr="00E106BD" w:rsidRDefault="00BB32B3">
            <w:pPr>
              <w:rPr>
                <w:rFonts w:ascii="Arial" w:hAnsi="Arial" w:cs="Arial"/>
                <w:sz w:val="16"/>
                <w:szCs w:val="16"/>
              </w:rPr>
            </w:pPr>
            <w:r w:rsidRPr="00E106BD">
              <w:rPr>
                <w:rFonts w:ascii="Arial" w:hAnsi="Arial" w:cs="Arial"/>
                <w:sz w:val="16"/>
                <w:szCs w:val="16"/>
              </w:rPr>
              <w:t>C9744 C9818</w:t>
            </w:r>
          </w:p>
        </w:tc>
        <w:tc>
          <w:tcPr>
            <w:tcW w:w="424"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Del="00982274" w:rsidTr="00802FC7">
        <w:tblPrEx>
          <w:tblBorders>
            <w:top w:val="single" w:sz="4" w:space="0" w:color="auto"/>
          </w:tblBorders>
        </w:tblPrEx>
        <w:trPr>
          <w:cantSplit/>
          <w:tblCellSpacing w:w="22" w:type="dxa"/>
        </w:trPr>
        <w:tc>
          <w:tcPr>
            <w:tcW w:w="1050"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Nevirapine</w:t>
            </w:r>
          </w:p>
        </w:tc>
        <w:tc>
          <w:tcPr>
            <w:tcW w:w="943"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Tablet 200 mg</w:t>
            </w:r>
          </w:p>
        </w:tc>
        <w:tc>
          <w:tcPr>
            <w:tcW w:w="365"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Nevirapine Alphapharm</w:t>
            </w:r>
          </w:p>
        </w:tc>
        <w:tc>
          <w:tcPr>
            <w:tcW w:w="220"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AF</w:t>
            </w:r>
          </w:p>
        </w:tc>
        <w:tc>
          <w:tcPr>
            <w:tcW w:w="477"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C4454 C4512</w:t>
            </w:r>
          </w:p>
        </w:tc>
        <w:tc>
          <w:tcPr>
            <w:tcW w:w="424" w:type="pct"/>
          </w:tcPr>
          <w:p w:rsidR="00BB32B3" w:rsidRPr="00E106BD" w:rsidDel="00982274" w:rsidRDefault="00BB32B3" w:rsidP="00404472">
            <w:pPr>
              <w:rPr>
                <w:rFonts w:ascii="Arial" w:hAnsi="Arial" w:cs="Arial"/>
                <w:sz w:val="16"/>
                <w:szCs w:val="16"/>
              </w:rPr>
            </w:pPr>
          </w:p>
        </w:tc>
        <w:tc>
          <w:tcPr>
            <w:tcW w:w="344"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120</w:t>
            </w:r>
          </w:p>
        </w:tc>
        <w:tc>
          <w:tcPr>
            <w:tcW w:w="297"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D</w:t>
            </w:r>
          </w:p>
        </w:tc>
      </w:tr>
      <w:tr w:rsidR="00BB32B3" w:rsidRPr="00E106BD" w:rsidDel="00982274" w:rsidTr="00802FC7">
        <w:tblPrEx>
          <w:tblBorders>
            <w:top w:val="single" w:sz="4" w:space="0" w:color="auto"/>
          </w:tblBorders>
        </w:tblPrEx>
        <w:trPr>
          <w:cantSplit/>
          <w:tblCellSpacing w:w="22" w:type="dxa"/>
        </w:trPr>
        <w:tc>
          <w:tcPr>
            <w:tcW w:w="1050" w:type="pct"/>
          </w:tcPr>
          <w:p w:rsidR="00BB32B3" w:rsidRPr="00E106BD" w:rsidDel="00982274" w:rsidRDefault="00BB32B3" w:rsidP="00404472">
            <w:pPr>
              <w:rPr>
                <w:rFonts w:ascii="Arial" w:hAnsi="Arial" w:cs="Arial"/>
                <w:sz w:val="16"/>
                <w:szCs w:val="16"/>
              </w:rPr>
            </w:pPr>
          </w:p>
        </w:tc>
        <w:tc>
          <w:tcPr>
            <w:tcW w:w="943"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Tablet 400 mg (extended release)</w:t>
            </w:r>
          </w:p>
        </w:tc>
        <w:tc>
          <w:tcPr>
            <w:tcW w:w="365"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Nevirapine XR APOTEX</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TX</w:t>
            </w:r>
          </w:p>
        </w:tc>
        <w:tc>
          <w:tcPr>
            <w:tcW w:w="477" w:type="pct"/>
          </w:tcPr>
          <w:p w:rsidR="00BB32B3" w:rsidRPr="00E106BD" w:rsidRDefault="00BB32B3" w:rsidP="00404472">
            <w:pPr>
              <w:rPr>
                <w:rFonts w:ascii="Arial" w:hAnsi="Arial" w:cs="Arial"/>
                <w:sz w:val="16"/>
                <w:szCs w:val="16"/>
              </w:rPr>
            </w:pPr>
            <w:r w:rsidRPr="00E106BD">
              <w:rPr>
                <w:rFonts w:ascii="Arial" w:hAnsi="Arial" w:cs="Arial"/>
                <w:sz w:val="16"/>
                <w:szCs w:val="16"/>
              </w:rPr>
              <w:t>C4454 C4526</w:t>
            </w:r>
          </w:p>
        </w:tc>
        <w:tc>
          <w:tcPr>
            <w:tcW w:w="424" w:type="pct"/>
          </w:tcPr>
          <w:p w:rsidR="00BB32B3" w:rsidRPr="00E106BD" w:rsidDel="00982274"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60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keepNext/>
              <w:keepLines/>
              <w:rPr>
                <w:rFonts w:ascii="Arial" w:hAnsi="Arial" w:cs="Arial"/>
                <w:sz w:val="16"/>
                <w:szCs w:val="16"/>
              </w:rPr>
            </w:pPr>
          </w:p>
        </w:tc>
        <w:tc>
          <w:tcPr>
            <w:tcW w:w="943" w:type="pct"/>
          </w:tcPr>
          <w:p w:rsidR="00BB32B3" w:rsidRPr="00E106BD" w:rsidRDefault="00BB32B3" w:rsidP="00404472">
            <w:pPr>
              <w:keepNext/>
              <w:keepLines/>
              <w:rPr>
                <w:rFonts w:ascii="Arial" w:hAnsi="Arial" w:cs="Arial"/>
                <w:sz w:val="16"/>
                <w:szCs w:val="16"/>
              </w:rPr>
            </w:pPr>
          </w:p>
        </w:tc>
        <w:tc>
          <w:tcPr>
            <w:tcW w:w="365" w:type="pct"/>
          </w:tcPr>
          <w:p w:rsidR="00BB32B3" w:rsidRPr="00E106BD" w:rsidRDefault="00BB32B3" w:rsidP="00404472">
            <w:pPr>
              <w:keepNext/>
              <w:keepLines/>
              <w:rPr>
                <w:rFonts w:ascii="Arial" w:hAnsi="Arial" w:cs="Arial"/>
                <w:sz w:val="16"/>
                <w:szCs w:val="16"/>
              </w:rPr>
            </w:pPr>
          </w:p>
        </w:tc>
        <w:tc>
          <w:tcPr>
            <w:tcW w:w="374"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Viramune XR</w:t>
            </w:r>
          </w:p>
        </w:tc>
        <w:tc>
          <w:tcPr>
            <w:tcW w:w="220"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BY</w:t>
            </w:r>
          </w:p>
        </w:tc>
        <w:tc>
          <w:tcPr>
            <w:tcW w:w="477"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C4454 C4526</w:t>
            </w:r>
          </w:p>
        </w:tc>
        <w:tc>
          <w:tcPr>
            <w:tcW w:w="424" w:type="pct"/>
          </w:tcPr>
          <w:p w:rsidR="00BB32B3" w:rsidRPr="00E106BD" w:rsidRDefault="00BB32B3" w:rsidP="00404472">
            <w:pPr>
              <w:keepNext/>
              <w:keepLines/>
              <w:rPr>
                <w:rFonts w:ascii="Arial" w:hAnsi="Arial" w:cs="Arial"/>
                <w:sz w:val="16"/>
                <w:szCs w:val="16"/>
              </w:rPr>
            </w:pPr>
          </w:p>
        </w:tc>
        <w:tc>
          <w:tcPr>
            <w:tcW w:w="344"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60</w:t>
            </w:r>
          </w:p>
        </w:tc>
        <w:tc>
          <w:tcPr>
            <w:tcW w:w="297"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Oral suspension 50 mg (as hemihydrate) per 5 mL, 240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Viramune</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BY</w:t>
            </w:r>
          </w:p>
        </w:tc>
        <w:tc>
          <w:tcPr>
            <w:tcW w:w="477" w:type="pct"/>
          </w:tcPr>
          <w:p w:rsidR="00BB32B3" w:rsidRPr="00E106BD" w:rsidRDefault="00BB32B3" w:rsidP="00404472">
            <w:pPr>
              <w:rPr>
                <w:rFonts w:ascii="Arial" w:hAnsi="Arial" w:cs="Arial"/>
                <w:sz w:val="16"/>
                <w:szCs w:val="16"/>
              </w:rPr>
            </w:pPr>
            <w:r w:rsidRPr="00E106BD">
              <w:rPr>
                <w:rFonts w:ascii="Arial" w:hAnsi="Arial" w:cs="Arial"/>
                <w:sz w:val="16"/>
                <w:szCs w:val="16"/>
              </w:rPr>
              <w:t>C4454 C4512</w:t>
            </w:r>
          </w:p>
        </w:tc>
        <w:tc>
          <w:tcPr>
            <w:tcW w:w="424"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Nusinersen</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Solution for injection 12 mg in 5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Spinraza</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BD</w:t>
            </w:r>
          </w:p>
        </w:tc>
        <w:tc>
          <w:tcPr>
            <w:tcW w:w="477" w:type="pct"/>
          </w:tcPr>
          <w:p w:rsidR="00BB32B3" w:rsidRPr="00E106BD" w:rsidRDefault="00BB32B3" w:rsidP="006A76F5">
            <w:pPr>
              <w:rPr>
                <w:rFonts w:ascii="Arial" w:hAnsi="Arial" w:cs="Arial"/>
                <w:sz w:val="16"/>
                <w:szCs w:val="16"/>
              </w:rPr>
            </w:pPr>
            <w:r w:rsidRPr="00E106BD">
              <w:rPr>
                <w:rFonts w:ascii="Arial" w:hAnsi="Arial" w:cs="Arial"/>
                <w:sz w:val="16"/>
                <w:szCs w:val="16"/>
              </w:rPr>
              <w:t>C7849 C10112</w:t>
            </w:r>
          </w:p>
        </w:tc>
        <w:tc>
          <w:tcPr>
            <w:tcW w:w="424"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Ocrelizumab</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Solution concentrate for I.V. infusion 300 mg in 10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Ocrevus</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RO</w:t>
            </w:r>
          </w:p>
        </w:tc>
        <w:tc>
          <w:tcPr>
            <w:tcW w:w="477" w:type="pct"/>
          </w:tcPr>
          <w:p w:rsidR="00BB32B3" w:rsidRPr="00E106BD" w:rsidRDefault="00BB32B3">
            <w:pPr>
              <w:rPr>
                <w:rFonts w:ascii="Arial" w:hAnsi="Arial" w:cs="Arial"/>
                <w:sz w:val="16"/>
                <w:szCs w:val="16"/>
              </w:rPr>
            </w:pPr>
            <w:r w:rsidRPr="00E106BD">
              <w:rPr>
                <w:rFonts w:ascii="Arial" w:hAnsi="Arial" w:cs="Arial"/>
                <w:sz w:val="16"/>
                <w:szCs w:val="16"/>
              </w:rPr>
              <w:t>C7386 C7699 C9523 C9635</w:t>
            </w:r>
          </w:p>
        </w:tc>
        <w:tc>
          <w:tcPr>
            <w:tcW w:w="424"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0</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50 micrograms (as acetate) in 1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B2416B">
            <w:pPr>
              <w:rPr>
                <w:rFonts w:ascii="Arial" w:hAnsi="Arial" w:cs="Arial"/>
                <w:sz w:val="16"/>
                <w:szCs w:val="16"/>
              </w:rPr>
            </w:pPr>
            <w:r w:rsidRPr="00E106BD">
              <w:rPr>
                <w:rFonts w:ascii="Arial" w:hAnsi="Arial" w:cs="Arial"/>
                <w:sz w:val="16"/>
                <w:szCs w:val="16"/>
              </w:rPr>
              <w:t>Octreotide GH</w:t>
            </w:r>
          </w:p>
        </w:tc>
        <w:tc>
          <w:tcPr>
            <w:tcW w:w="220" w:type="pct"/>
          </w:tcPr>
          <w:p w:rsidR="00BB32B3" w:rsidRPr="00E106BD" w:rsidRDefault="00BB32B3" w:rsidP="00B2416B">
            <w:pPr>
              <w:rPr>
                <w:rFonts w:ascii="Arial" w:hAnsi="Arial" w:cs="Arial"/>
                <w:sz w:val="16"/>
                <w:szCs w:val="16"/>
              </w:rPr>
            </w:pPr>
            <w:r w:rsidRPr="00E106BD">
              <w:rPr>
                <w:rFonts w:ascii="Arial" w:hAnsi="Arial" w:cs="Arial"/>
                <w:sz w:val="16"/>
                <w:szCs w:val="16"/>
              </w:rPr>
              <w:t>HQ</w:t>
            </w:r>
          </w:p>
        </w:tc>
        <w:tc>
          <w:tcPr>
            <w:tcW w:w="477" w:type="pct"/>
          </w:tcPr>
          <w:p w:rsidR="00BB32B3" w:rsidRPr="00E106BD" w:rsidRDefault="00BB32B3" w:rsidP="00B2416B">
            <w:pPr>
              <w:rPr>
                <w:rFonts w:ascii="Arial" w:hAnsi="Arial" w:cs="Arial"/>
                <w:sz w:val="16"/>
                <w:szCs w:val="16"/>
              </w:rPr>
            </w:pPr>
            <w:r w:rsidRPr="00E106BD">
              <w:rPr>
                <w:rFonts w:ascii="Arial" w:hAnsi="Arial" w:cs="Arial"/>
                <w:sz w:val="16"/>
                <w:szCs w:val="16"/>
              </w:rPr>
              <w:t>C6369 C6390 C8165 C9232 C9233 C9289</w:t>
            </w:r>
          </w:p>
        </w:tc>
        <w:tc>
          <w:tcPr>
            <w:tcW w:w="424" w:type="pct"/>
          </w:tcPr>
          <w:p w:rsidR="00BB32B3" w:rsidRPr="00E106BD" w:rsidRDefault="00BB32B3" w:rsidP="00B2416B">
            <w:pPr>
              <w:rPr>
                <w:rFonts w:ascii="Arial" w:hAnsi="Arial" w:cs="Arial"/>
                <w:sz w:val="16"/>
                <w:szCs w:val="16"/>
              </w:rPr>
            </w:pPr>
          </w:p>
        </w:tc>
        <w:tc>
          <w:tcPr>
            <w:tcW w:w="344" w:type="pct"/>
          </w:tcPr>
          <w:p w:rsidR="00BB32B3" w:rsidRPr="00E106BD" w:rsidRDefault="00BB32B3" w:rsidP="00B2416B">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B2416B">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B2416B">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 MaxRx</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GQ</w:t>
            </w:r>
          </w:p>
        </w:tc>
        <w:tc>
          <w:tcPr>
            <w:tcW w:w="477" w:type="pct"/>
          </w:tcPr>
          <w:p w:rsidR="00BB32B3" w:rsidRPr="00E106BD" w:rsidRDefault="00BB32B3" w:rsidP="005C2207">
            <w:pPr>
              <w:rPr>
                <w:rFonts w:ascii="Arial" w:hAnsi="Arial" w:cs="Arial"/>
                <w:sz w:val="16"/>
                <w:szCs w:val="16"/>
              </w:rPr>
            </w:pPr>
            <w:r w:rsidRPr="00E106BD">
              <w:rPr>
                <w:rFonts w:ascii="Arial" w:hAnsi="Arial" w:cs="Arial"/>
                <w:sz w:val="16"/>
                <w:szCs w:val="16"/>
              </w:rPr>
              <w:t>C6369 C6390 C8165 C9232 C9233 C9289</w:t>
            </w:r>
          </w:p>
        </w:tc>
        <w:tc>
          <w:tcPr>
            <w:tcW w:w="424"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 (SUN)</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RA</w:t>
            </w:r>
          </w:p>
        </w:tc>
        <w:tc>
          <w:tcPr>
            <w:tcW w:w="477" w:type="pct"/>
          </w:tcPr>
          <w:p w:rsidR="00BB32B3" w:rsidRPr="00E106BD" w:rsidRDefault="00BB32B3" w:rsidP="007A4180">
            <w:pPr>
              <w:rPr>
                <w:rFonts w:ascii="Arial" w:hAnsi="Arial" w:cs="Arial"/>
                <w:sz w:val="16"/>
                <w:szCs w:val="16"/>
              </w:rPr>
            </w:pPr>
            <w:r w:rsidRPr="00E106BD">
              <w:rPr>
                <w:rFonts w:ascii="Arial" w:hAnsi="Arial" w:cs="Arial"/>
                <w:sz w:val="16"/>
                <w:szCs w:val="16"/>
              </w:rPr>
              <w:t>C6369 C6390 C8165 C9232 C9233 C9289</w:t>
            </w:r>
          </w:p>
        </w:tc>
        <w:tc>
          <w:tcPr>
            <w:tcW w:w="424"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0.05</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77" w:type="pct"/>
          </w:tcPr>
          <w:p w:rsidR="00BB32B3" w:rsidRPr="00E106BD" w:rsidRDefault="00BB32B3" w:rsidP="005C2207">
            <w:pPr>
              <w:rPr>
                <w:rFonts w:ascii="Arial" w:hAnsi="Arial" w:cs="Arial"/>
                <w:sz w:val="16"/>
                <w:szCs w:val="16"/>
              </w:rPr>
            </w:pPr>
            <w:r w:rsidRPr="00E106BD">
              <w:rPr>
                <w:rFonts w:ascii="Arial" w:hAnsi="Arial" w:cs="Arial"/>
                <w:sz w:val="16"/>
                <w:szCs w:val="16"/>
              </w:rPr>
              <w:t>C6369 C6390 C8165 C9232 C9233 C9289</w:t>
            </w:r>
          </w:p>
        </w:tc>
        <w:tc>
          <w:tcPr>
            <w:tcW w:w="424"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100 micrograms (as acetate) in 1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B2416B">
            <w:pPr>
              <w:rPr>
                <w:rFonts w:ascii="Arial" w:hAnsi="Arial" w:cs="Arial"/>
                <w:sz w:val="16"/>
                <w:szCs w:val="16"/>
              </w:rPr>
            </w:pPr>
            <w:r w:rsidRPr="00E106BD">
              <w:rPr>
                <w:rFonts w:ascii="Arial" w:hAnsi="Arial" w:cs="Arial"/>
                <w:sz w:val="16"/>
                <w:szCs w:val="16"/>
              </w:rPr>
              <w:t>Octreotide GH</w:t>
            </w:r>
          </w:p>
        </w:tc>
        <w:tc>
          <w:tcPr>
            <w:tcW w:w="220" w:type="pct"/>
          </w:tcPr>
          <w:p w:rsidR="00BB32B3" w:rsidRPr="00E106BD" w:rsidRDefault="00BB32B3" w:rsidP="00B2416B">
            <w:pPr>
              <w:rPr>
                <w:rFonts w:ascii="Arial" w:hAnsi="Arial" w:cs="Arial"/>
                <w:sz w:val="16"/>
                <w:szCs w:val="16"/>
              </w:rPr>
            </w:pPr>
            <w:r w:rsidRPr="00E106BD">
              <w:rPr>
                <w:rFonts w:ascii="Arial" w:hAnsi="Arial" w:cs="Arial"/>
                <w:sz w:val="16"/>
                <w:szCs w:val="16"/>
              </w:rPr>
              <w:t>HQ</w:t>
            </w:r>
          </w:p>
        </w:tc>
        <w:tc>
          <w:tcPr>
            <w:tcW w:w="477" w:type="pct"/>
          </w:tcPr>
          <w:p w:rsidR="00BB32B3" w:rsidRPr="00E106BD" w:rsidRDefault="00BB32B3" w:rsidP="00B2416B">
            <w:pPr>
              <w:rPr>
                <w:rFonts w:ascii="Arial" w:hAnsi="Arial" w:cs="Arial"/>
                <w:sz w:val="16"/>
                <w:szCs w:val="16"/>
              </w:rPr>
            </w:pPr>
            <w:r w:rsidRPr="00E106BD">
              <w:rPr>
                <w:rFonts w:ascii="Arial" w:hAnsi="Arial" w:cs="Arial"/>
                <w:sz w:val="16"/>
                <w:szCs w:val="16"/>
              </w:rPr>
              <w:t>C6369 C6390 C8165 C9232 C9233 C9289</w:t>
            </w:r>
          </w:p>
        </w:tc>
        <w:tc>
          <w:tcPr>
            <w:tcW w:w="424" w:type="pct"/>
          </w:tcPr>
          <w:p w:rsidR="00BB32B3" w:rsidRPr="00E106BD" w:rsidRDefault="00BB32B3" w:rsidP="00B2416B">
            <w:pPr>
              <w:rPr>
                <w:rFonts w:ascii="Arial" w:hAnsi="Arial" w:cs="Arial"/>
                <w:sz w:val="16"/>
                <w:szCs w:val="16"/>
              </w:rPr>
            </w:pPr>
          </w:p>
        </w:tc>
        <w:tc>
          <w:tcPr>
            <w:tcW w:w="344" w:type="pct"/>
          </w:tcPr>
          <w:p w:rsidR="00BB32B3" w:rsidRPr="00E106BD" w:rsidRDefault="00BB32B3" w:rsidP="00B2416B">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B2416B">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B2416B">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 MaxRx</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GQ</w:t>
            </w:r>
          </w:p>
        </w:tc>
        <w:tc>
          <w:tcPr>
            <w:tcW w:w="477" w:type="pct"/>
          </w:tcPr>
          <w:p w:rsidR="00BB32B3" w:rsidRPr="00E106BD" w:rsidRDefault="00BB32B3" w:rsidP="007A4180">
            <w:pPr>
              <w:rPr>
                <w:rFonts w:ascii="Arial" w:hAnsi="Arial" w:cs="Arial"/>
                <w:sz w:val="16"/>
                <w:szCs w:val="16"/>
              </w:rPr>
            </w:pPr>
            <w:r w:rsidRPr="00E106BD">
              <w:rPr>
                <w:rFonts w:ascii="Arial" w:hAnsi="Arial" w:cs="Arial"/>
                <w:sz w:val="16"/>
                <w:szCs w:val="16"/>
              </w:rPr>
              <w:t>C6369 C6390 C8165 C9232 C9233 C9289</w:t>
            </w:r>
          </w:p>
        </w:tc>
        <w:tc>
          <w:tcPr>
            <w:tcW w:w="424"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 (SUN)</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RA</w:t>
            </w:r>
          </w:p>
        </w:tc>
        <w:tc>
          <w:tcPr>
            <w:tcW w:w="477" w:type="pct"/>
          </w:tcPr>
          <w:p w:rsidR="00BB32B3" w:rsidRPr="00E106BD" w:rsidRDefault="00BB32B3" w:rsidP="005C2207">
            <w:pPr>
              <w:rPr>
                <w:rFonts w:ascii="Arial" w:hAnsi="Arial" w:cs="Arial"/>
                <w:sz w:val="16"/>
                <w:szCs w:val="16"/>
              </w:rPr>
            </w:pPr>
            <w:r w:rsidRPr="00E106BD">
              <w:rPr>
                <w:rFonts w:ascii="Arial" w:hAnsi="Arial" w:cs="Arial"/>
                <w:sz w:val="16"/>
                <w:szCs w:val="16"/>
              </w:rPr>
              <w:t>C6369 C6390 C8165 C9232 C9233 C9289</w:t>
            </w:r>
          </w:p>
        </w:tc>
        <w:tc>
          <w:tcPr>
            <w:tcW w:w="424"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0.1</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77" w:type="pct"/>
          </w:tcPr>
          <w:p w:rsidR="00BB32B3" w:rsidRPr="00E106BD" w:rsidRDefault="00BB32B3" w:rsidP="007A4180">
            <w:pPr>
              <w:rPr>
                <w:rFonts w:ascii="Arial" w:hAnsi="Arial" w:cs="Arial"/>
                <w:sz w:val="16"/>
                <w:szCs w:val="16"/>
              </w:rPr>
            </w:pPr>
            <w:r w:rsidRPr="00E106BD">
              <w:rPr>
                <w:rFonts w:ascii="Arial" w:hAnsi="Arial" w:cs="Arial"/>
                <w:sz w:val="16"/>
                <w:szCs w:val="16"/>
              </w:rPr>
              <w:t>C6369 C6390 C8165 C9232 C9233 C9289</w:t>
            </w:r>
          </w:p>
        </w:tc>
        <w:tc>
          <w:tcPr>
            <w:tcW w:w="424"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500 micrograms (as acetate) in 1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B2416B">
            <w:pPr>
              <w:rPr>
                <w:rFonts w:ascii="Arial" w:hAnsi="Arial" w:cs="Arial"/>
                <w:sz w:val="16"/>
                <w:szCs w:val="16"/>
              </w:rPr>
            </w:pPr>
            <w:r w:rsidRPr="00E106BD">
              <w:rPr>
                <w:rFonts w:ascii="Arial" w:hAnsi="Arial" w:cs="Arial"/>
                <w:sz w:val="16"/>
                <w:szCs w:val="16"/>
              </w:rPr>
              <w:t>Octreotide GH</w:t>
            </w:r>
          </w:p>
        </w:tc>
        <w:tc>
          <w:tcPr>
            <w:tcW w:w="220" w:type="pct"/>
          </w:tcPr>
          <w:p w:rsidR="00BB32B3" w:rsidRPr="00E106BD" w:rsidRDefault="00BB32B3" w:rsidP="00B2416B">
            <w:pPr>
              <w:rPr>
                <w:rFonts w:ascii="Arial" w:hAnsi="Arial" w:cs="Arial"/>
                <w:sz w:val="16"/>
                <w:szCs w:val="16"/>
              </w:rPr>
            </w:pPr>
            <w:r w:rsidRPr="00E106BD">
              <w:rPr>
                <w:rFonts w:ascii="Arial" w:hAnsi="Arial" w:cs="Arial"/>
                <w:sz w:val="16"/>
                <w:szCs w:val="16"/>
              </w:rPr>
              <w:t>HQ</w:t>
            </w:r>
          </w:p>
        </w:tc>
        <w:tc>
          <w:tcPr>
            <w:tcW w:w="477" w:type="pct"/>
          </w:tcPr>
          <w:p w:rsidR="00BB32B3" w:rsidRPr="00E106BD" w:rsidRDefault="00BB32B3" w:rsidP="00B2416B">
            <w:pPr>
              <w:rPr>
                <w:rFonts w:ascii="Arial" w:hAnsi="Arial" w:cs="Arial"/>
                <w:sz w:val="16"/>
                <w:szCs w:val="16"/>
              </w:rPr>
            </w:pPr>
            <w:r w:rsidRPr="00E106BD">
              <w:rPr>
                <w:rFonts w:ascii="Arial" w:hAnsi="Arial" w:cs="Arial"/>
                <w:sz w:val="16"/>
                <w:szCs w:val="16"/>
              </w:rPr>
              <w:t>C6369 C6390 C8165 C9232 C9233 C9289</w:t>
            </w:r>
          </w:p>
        </w:tc>
        <w:tc>
          <w:tcPr>
            <w:tcW w:w="424" w:type="pct"/>
          </w:tcPr>
          <w:p w:rsidR="00BB32B3" w:rsidRPr="00E106BD" w:rsidRDefault="00BB32B3" w:rsidP="00B2416B">
            <w:pPr>
              <w:rPr>
                <w:rFonts w:ascii="Arial" w:hAnsi="Arial" w:cs="Arial"/>
                <w:sz w:val="16"/>
                <w:szCs w:val="16"/>
              </w:rPr>
            </w:pPr>
          </w:p>
        </w:tc>
        <w:tc>
          <w:tcPr>
            <w:tcW w:w="344" w:type="pct"/>
          </w:tcPr>
          <w:p w:rsidR="00BB32B3" w:rsidRPr="00E106BD" w:rsidRDefault="00BB32B3" w:rsidP="00B2416B">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B2416B">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B2416B">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keepNext/>
              <w:keepLines/>
              <w:rPr>
                <w:rFonts w:ascii="Arial" w:hAnsi="Arial" w:cs="Arial"/>
                <w:sz w:val="16"/>
                <w:szCs w:val="16"/>
              </w:rPr>
            </w:pPr>
          </w:p>
        </w:tc>
        <w:tc>
          <w:tcPr>
            <w:tcW w:w="943" w:type="pct"/>
          </w:tcPr>
          <w:p w:rsidR="00BB32B3" w:rsidRPr="00E106BD" w:rsidRDefault="00BB32B3" w:rsidP="00404472">
            <w:pPr>
              <w:keepNext/>
              <w:keepLines/>
              <w:rPr>
                <w:rFonts w:ascii="Arial" w:hAnsi="Arial" w:cs="Arial"/>
                <w:sz w:val="16"/>
                <w:szCs w:val="16"/>
              </w:rPr>
            </w:pPr>
          </w:p>
        </w:tc>
        <w:tc>
          <w:tcPr>
            <w:tcW w:w="365" w:type="pct"/>
          </w:tcPr>
          <w:p w:rsidR="00BB32B3" w:rsidRPr="00E106BD" w:rsidRDefault="00BB32B3" w:rsidP="00404472">
            <w:pPr>
              <w:keepNext/>
              <w:keepLines/>
              <w:rPr>
                <w:rFonts w:ascii="Arial" w:hAnsi="Arial" w:cs="Arial"/>
                <w:sz w:val="16"/>
                <w:szCs w:val="16"/>
              </w:rPr>
            </w:pPr>
          </w:p>
        </w:tc>
        <w:tc>
          <w:tcPr>
            <w:tcW w:w="374"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Octreotide MaxRx</w:t>
            </w:r>
          </w:p>
        </w:tc>
        <w:tc>
          <w:tcPr>
            <w:tcW w:w="220"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GQ</w:t>
            </w:r>
          </w:p>
        </w:tc>
        <w:tc>
          <w:tcPr>
            <w:tcW w:w="477" w:type="pct"/>
          </w:tcPr>
          <w:p w:rsidR="00BB32B3" w:rsidRPr="00E106BD" w:rsidRDefault="00BB32B3" w:rsidP="007A4180">
            <w:pPr>
              <w:keepNext/>
              <w:keepLines/>
              <w:rPr>
                <w:rFonts w:ascii="Arial" w:hAnsi="Arial" w:cs="Arial"/>
                <w:sz w:val="16"/>
                <w:szCs w:val="16"/>
              </w:rPr>
            </w:pPr>
            <w:r w:rsidRPr="00E106BD">
              <w:rPr>
                <w:rFonts w:ascii="Arial" w:hAnsi="Arial" w:cs="Arial"/>
                <w:sz w:val="16"/>
                <w:szCs w:val="16"/>
              </w:rPr>
              <w:t>C6369 C6390 C8165 C9232 C9233 C9289</w:t>
            </w:r>
          </w:p>
        </w:tc>
        <w:tc>
          <w:tcPr>
            <w:tcW w:w="424" w:type="pct"/>
          </w:tcPr>
          <w:p w:rsidR="00BB32B3" w:rsidRPr="00E106BD" w:rsidRDefault="00BB32B3" w:rsidP="00404472">
            <w:pPr>
              <w:keepNext/>
              <w:keepLines/>
              <w:rPr>
                <w:rFonts w:ascii="Arial" w:hAnsi="Arial" w:cs="Arial"/>
                <w:sz w:val="16"/>
                <w:szCs w:val="16"/>
              </w:rPr>
            </w:pPr>
          </w:p>
        </w:tc>
        <w:tc>
          <w:tcPr>
            <w:tcW w:w="344"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 (SUN)</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RA</w:t>
            </w:r>
          </w:p>
        </w:tc>
        <w:tc>
          <w:tcPr>
            <w:tcW w:w="477" w:type="pct"/>
          </w:tcPr>
          <w:p w:rsidR="00BB32B3" w:rsidRPr="00E106BD" w:rsidRDefault="00BB32B3" w:rsidP="005C2207">
            <w:pPr>
              <w:rPr>
                <w:rFonts w:ascii="Arial" w:hAnsi="Arial" w:cs="Arial"/>
                <w:sz w:val="16"/>
                <w:szCs w:val="16"/>
              </w:rPr>
            </w:pPr>
            <w:r w:rsidRPr="00E106BD">
              <w:rPr>
                <w:rFonts w:ascii="Arial" w:hAnsi="Arial" w:cs="Arial"/>
                <w:sz w:val="16"/>
                <w:szCs w:val="16"/>
              </w:rPr>
              <w:t>C6369 C6390 C8165 C9232 C9233 C9289</w:t>
            </w:r>
          </w:p>
        </w:tc>
        <w:tc>
          <w:tcPr>
            <w:tcW w:w="424"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0.5</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77" w:type="pct"/>
          </w:tcPr>
          <w:p w:rsidR="00BB32B3" w:rsidRPr="00E106BD" w:rsidRDefault="00BB32B3" w:rsidP="005C2207">
            <w:pPr>
              <w:rPr>
                <w:rFonts w:ascii="Arial" w:hAnsi="Arial" w:cs="Arial"/>
                <w:sz w:val="16"/>
                <w:szCs w:val="16"/>
              </w:rPr>
            </w:pPr>
            <w:r w:rsidRPr="00E106BD">
              <w:rPr>
                <w:rFonts w:ascii="Arial" w:hAnsi="Arial" w:cs="Arial"/>
                <w:sz w:val="16"/>
                <w:szCs w:val="16"/>
              </w:rPr>
              <w:t>C6369 C6390 C8165 C9232 C9233 C9289</w:t>
            </w:r>
          </w:p>
        </w:tc>
        <w:tc>
          <w:tcPr>
            <w:tcW w:w="424" w:type="pct"/>
          </w:tcPr>
          <w:p w:rsidR="00BB32B3" w:rsidRPr="00E106BD" w:rsidRDefault="00BB32B3" w:rsidP="00404472">
            <w:pPr>
              <w:rPr>
                <w:rFonts w:ascii="Arial" w:hAnsi="Arial" w:cs="Arial"/>
                <w:i/>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(modified release) 10 mg (as acetate), vial and diluent syringe</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LAR</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77" w:type="pct"/>
          </w:tcPr>
          <w:p w:rsidR="00BB32B3" w:rsidRPr="00E106BD" w:rsidRDefault="00BB32B3" w:rsidP="005C2207">
            <w:pPr>
              <w:rPr>
                <w:rFonts w:ascii="Arial" w:hAnsi="Arial" w:cs="Arial"/>
                <w:sz w:val="16"/>
                <w:szCs w:val="16"/>
              </w:rPr>
            </w:pPr>
            <w:r w:rsidRPr="00E106BD">
              <w:rPr>
                <w:rFonts w:ascii="Arial" w:hAnsi="Arial" w:cs="Arial"/>
                <w:sz w:val="16"/>
                <w:szCs w:val="16"/>
              </w:rPr>
              <w:t>C5901 C5906 C8161 C8197 C8198 C8208 C9262 C9288 C9313</w:t>
            </w:r>
          </w:p>
        </w:tc>
        <w:tc>
          <w:tcPr>
            <w:tcW w:w="424"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(modified release) 20 mg (as acetate), vial and diluent syringe</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LAR</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77" w:type="pct"/>
          </w:tcPr>
          <w:p w:rsidR="00BB32B3" w:rsidRPr="00E106BD" w:rsidRDefault="00BB32B3" w:rsidP="005C2207">
            <w:pPr>
              <w:rPr>
                <w:rFonts w:ascii="Arial" w:hAnsi="Arial" w:cs="Arial"/>
                <w:sz w:val="16"/>
                <w:szCs w:val="16"/>
              </w:rPr>
            </w:pPr>
            <w:r w:rsidRPr="00E106BD">
              <w:rPr>
                <w:rFonts w:ascii="Arial" w:hAnsi="Arial" w:cs="Arial"/>
                <w:sz w:val="16"/>
                <w:szCs w:val="16"/>
              </w:rPr>
              <w:t>C5901 C5906 C8161 C8197 C8198 C8208 C9262 C9288 C9313</w:t>
            </w:r>
          </w:p>
        </w:tc>
        <w:tc>
          <w:tcPr>
            <w:tcW w:w="424"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(modified release) 30 mg (as acetate), vial and diluent syringe</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LAR</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77" w:type="pct"/>
          </w:tcPr>
          <w:p w:rsidR="00BB32B3" w:rsidRPr="00E106BD" w:rsidRDefault="00BB32B3" w:rsidP="00C15E9C">
            <w:pPr>
              <w:rPr>
                <w:rFonts w:ascii="Arial" w:hAnsi="Arial" w:cs="Arial"/>
                <w:sz w:val="16"/>
                <w:szCs w:val="16"/>
              </w:rPr>
            </w:pPr>
            <w:r w:rsidRPr="00E106BD">
              <w:rPr>
                <w:rFonts w:ascii="Arial" w:hAnsi="Arial" w:cs="Arial"/>
                <w:sz w:val="16"/>
                <w:szCs w:val="16"/>
              </w:rPr>
              <w:t>C5901 C5906 C8161 C8197 C8198 C8208 C9262 C9288 C9313 C10061 C10075 C10077</w:t>
            </w:r>
          </w:p>
        </w:tc>
        <w:tc>
          <w:tcPr>
            <w:tcW w:w="424"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Del="006B340E" w:rsidTr="00802FC7">
        <w:tblPrEx>
          <w:tblBorders>
            <w:top w:val="single" w:sz="4" w:space="0" w:color="auto"/>
          </w:tblBorders>
        </w:tblPrEx>
        <w:trPr>
          <w:cantSplit/>
          <w:tblCellSpacing w:w="22" w:type="dxa"/>
        </w:trPr>
        <w:tc>
          <w:tcPr>
            <w:tcW w:w="1050"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Omalizumab</w:t>
            </w:r>
          </w:p>
        </w:tc>
        <w:tc>
          <w:tcPr>
            <w:tcW w:w="943"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Injection 75 mg in 0.5 mL single dose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 xml:space="preserve">Injection </w:t>
            </w:r>
          </w:p>
        </w:tc>
        <w:tc>
          <w:tcPr>
            <w:tcW w:w="374"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Xolair</w:t>
            </w:r>
          </w:p>
        </w:tc>
        <w:tc>
          <w:tcPr>
            <w:tcW w:w="220"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NV</w:t>
            </w:r>
          </w:p>
        </w:tc>
        <w:tc>
          <w:tcPr>
            <w:tcW w:w="477" w:type="pct"/>
          </w:tcPr>
          <w:p w:rsidR="00BB32B3" w:rsidRPr="00E106BD" w:rsidDel="006B340E" w:rsidRDefault="00BB32B3" w:rsidP="00607286">
            <w:pPr>
              <w:rPr>
                <w:rFonts w:ascii="Arial" w:hAnsi="Arial" w:cs="Arial"/>
                <w:sz w:val="16"/>
                <w:szCs w:val="16"/>
              </w:rPr>
            </w:pPr>
            <w:r w:rsidRPr="00E106BD">
              <w:rPr>
                <w:rFonts w:ascii="Arial" w:hAnsi="Arial" w:cs="Arial"/>
                <w:sz w:val="16"/>
                <w:szCs w:val="16"/>
              </w:rPr>
              <w:t xml:space="preserve">C9855 </w:t>
            </w:r>
            <w:r w:rsidRPr="00E106BD">
              <w:rPr>
                <w:rStyle w:val="charAmendmentKeyword"/>
                <w:b w:val="0"/>
                <w:sz w:val="16"/>
                <w:szCs w:val="16"/>
              </w:rPr>
              <w:t>C10219 C10223 C10226 C10265 C10279 C10299</w:t>
            </w:r>
          </w:p>
        </w:tc>
        <w:tc>
          <w:tcPr>
            <w:tcW w:w="424" w:type="pct"/>
          </w:tcPr>
          <w:p w:rsidR="00BB32B3" w:rsidRPr="00E106BD" w:rsidDel="006B340E" w:rsidRDefault="00BB32B3" w:rsidP="007A2CE5">
            <w:pPr>
              <w:rPr>
                <w:rFonts w:ascii="Arial" w:hAnsi="Arial" w:cs="Arial"/>
                <w:sz w:val="16"/>
                <w:szCs w:val="16"/>
              </w:rPr>
            </w:pPr>
          </w:p>
        </w:tc>
        <w:tc>
          <w:tcPr>
            <w:tcW w:w="344"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D</w:t>
            </w:r>
          </w:p>
        </w:tc>
      </w:tr>
      <w:tr w:rsidR="00BB32B3" w:rsidRPr="00E106BD" w:rsidDel="006B340E" w:rsidTr="00802FC7">
        <w:tblPrEx>
          <w:tblBorders>
            <w:top w:val="single" w:sz="4" w:space="0" w:color="auto"/>
          </w:tblBorders>
        </w:tblPrEx>
        <w:trPr>
          <w:cantSplit/>
          <w:tblCellSpacing w:w="22" w:type="dxa"/>
        </w:trPr>
        <w:tc>
          <w:tcPr>
            <w:tcW w:w="1050" w:type="pct"/>
          </w:tcPr>
          <w:p w:rsidR="00BB32B3" w:rsidRPr="00E106BD" w:rsidDel="006B340E" w:rsidRDefault="00BB32B3" w:rsidP="00404472">
            <w:pPr>
              <w:rPr>
                <w:rFonts w:ascii="Arial" w:hAnsi="Arial" w:cs="Arial"/>
                <w:sz w:val="16"/>
                <w:szCs w:val="16"/>
              </w:rPr>
            </w:pPr>
          </w:p>
        </w:tc>
        <w:tc>
          <w:tcPr>
            <w:tcW w:w="943"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Injection 150 mg in 1 mL single dose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 xml:space="preserve">Injection </w:t>
            </w:r>
          </w:p>
        </w:tc>
        <w:tc>
          <w:tcPr>
            <w:tcW w:w="374"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Xolair</w:t>
            </w:r>
          </w:p>
        </w:tc>
        <w:tc>
          <w:tcPr>
            <w:tcW w:w="220"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NV</w:t>
            </w:r>
          </w:p>
        </w:tc>
        <w:tc>
          <w:tcPr>
            <w:tcW w:w="477" w:type="pct"/>
          </w:tcPr>
          <w:p w:rsidR="00BB32B3" w:rsidRPr="00E106BD" w:rsidDel="006B340E" w:rsidRDefault="00BB32B3">
            <w:pPr>
              <w:rPr>
                <w:rFonts w:ascii="Arial" w:hAnsi="Arial" w:cs="Arial"/>
                <w:sz w:val="16"/>
                <w:szCs w:val="16"/>
              </w:rPr>
            </w:pPr>
            <w:r w:rsidRPr="00E106BD">
              <w:rPr>
                <w:rFonts w:ascii="Arial" w:hAnsi="Arial" w:cs="Arial"/>
                <w:sz w:val="16"/>
                <w:szCs w:val="16"/>
              </w:rPr>
              <w:t xml:space="preserve">C7046 C7055 C9855 </w:t>
            </w:r>
            <w:r w:rsidRPr="00E106BD">
              <w:rPr>
                <w:rStyle w:val="charAmendmentKeyword"/>
                <w:b w:val="0"/>
                <w:sz w:val="16"/>
                <w:szCs w:val="16"/>
              </w:rPr>
              <w:t>C10219 C10223 C10226 C10265 C10279 C10299</w:t>
            </w:r>
          </w:p>
        </w:tc>
        <w:tc>
          <w:tcPr>
            <w:tcW w:w="424" w:type="pct"/>
          </w:tcPr>
          <w:p w:rsidR="00BB32B3" w:rsidRPr="00E106BD" w:rsidDel="006B340E" w:rsidRDefault="00BB32B3" w:rsidP="00404472">
            <w:pPr>
              <w:rPr>
                <w:rFonts w:ascii="Arial" w:hAnsi="Arial" w:cs="Arial"/>
                <w:sz w:val="16"/>
                <w:szCs w:val="16"/>
              </w:rPr>
            </w:pPr>
          </w:p>
        </w:tc>
        <w:tc>
          <w:tcPr>
            <w:tcW w:w="344"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Pamidronic Acid</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Concentrated injection containing pamidronate disodium 15 mg in 5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Pamisol</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PF</w:t>
            </w:r>
          </w:p>
        </w:tc>
        <w:tc>
          <w:tcPr>
            <w:tcW w:w="477" w:type="pct"/>
          </w:tcPr>
          <w:p w:rsidR="00BB32B3" w:rsidRPr="00E106BD" w:rsidRDefault="00BB32B3" w:rsidP="00404472">
            <w:pPr>
              <w:rPr>
                <w:rFonts w:ascii="Arial" w:hAnsi="Arial" w:cs="Arial"/>
                <w:sz w:val="16"/>
                <w:szCs w:val="16"/>
              </w:rPr>
            </w:pPr>
            <w:r w:rsidRPr="00E106BD">
              <w:rPr>
                <w:rFonts w:ascii="Arial" w:hAnsi="Arial" w:cs="Arial"/>
                <w:sz w:val="16"/>
                <w:szCs w:val="16"/>
              </w:rPr>
              <w:t>C4433 C9234</w:t>
            </w:r>
          </w:p>
        </w:tc>
        <w:tc>
          <w:tcPr>
            <w:tcW w:w="424"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4</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BA48CD" w:rsidTr="00802FC7">
        <w:tblPrEx>
          <w:tblBorders>
            <w:top w:val="single" w:sz="4" w:space="0" w:color="auto"/>
          </w:tblBorders>
        </w:tblPrEx>
        <w:trPr>
          <w:cantSplit/>
          <w:tblCellSpacing w:w="22" w:type="dxa"/>
        </w:trPr>
        <w:tc>
          <w:tcPr>
            <w:tcW w:w="1050" w:type="pct"/>
          </w:tcPr>
          <w:p w:rsidR="00BB32B3" w:rsidRPr="00E106BD" w:rsidDel="00BA48CD" w:rsidRDefault="00BB32B3" w:rsidP="00404472">
            <w:pPr>
              <w:rPr>
                <w:rFonts w:ascii="Arial" w:hAnsi="Arial" w:cs="Arial"/>
                <w:sz w:val="16"/>
                <w:szCs w:val="16"/>
              </w:rPr>
            </w:pPr>
          </w:p>
        </w:tc>
        <w:tc>
          <w:tcPr>
            <w:tcW w:w="943"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Concentrated injection containing pamidronate disodium 30 mg in 10 mL</w:t>
            </w:r>
          </w:p>
        </w:tc>
        <w:tc>
          <w:tcPr>
            <w:tcW w:w="365"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Pamisol</w:t>
            </w:r>
          </w:p>
        </w:tc>
        <w:tc>
          <w:tcPr>
            <w:tcW w:w="220"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PF</w:t>
            </w:r>
          </w:p>
        </w:tc>
        <w:tc>
          <w:tcPr>
            <w:tcW w:w="477"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C4433 C9234</w:t>
            </w:r>
          </w:p>
        </w:tc>
        <w:tc>
          <w:tcPr>
            <w:tcW w:w="424" w:type="pct"/>
          </w:tcPr>
          <w:p w:rsidR="00BB32B3" w:rsidRPr="00E106BD" w:rsidDel="00BA48CD" w:rsidRDefault="00BB32B3" w:rsidP="00404472">
            <w:pPr>
              <w:rPr>
                <w:rFonts w:ascii="Arial" w:hAnsi="Arial" w:cs="Arial"/>
                <w:sz w:val="16"/>
                <w:szCs w:val="16"/>
              </w:rPr>
            </w:pPr>
          </w:p>
        </w:tc>
        <w:tc>
          <w:tcPr>
            <w:tcW w:w="344"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2</w:t>
            </w:r>
          </w:p>
        </w:tc>
        <w:tc>
          <w:tcPr>
            <w:tcW w:w="313"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Concentrated injection containing pamidronate disodium 60 mg in 10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Pamisol</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PF</w:t>
            </w:r>
          </w:p>
        </w:tc>
        <w:tc>
          <w:tcPr>
            <w:tcW w:w="477" w:type="pct"/>
          </w:tcPr>
          <w:p w:rsidR="00BB32B3" w:rsidRPr="00E106BD" w:rsidRDefault="00BB32B3" w:rsidP="00404472">
            <w:pPr>
              <w:rPr>
                <w:rFonts w:ascii="Arial" w:hAnsi="Arial" w:cs="Arial"/>
                <w:sz w:val="16"/>
                <w:szCs w:val="16"/>
              </w:rPr>
            </w:pPr>
            <w:r w:rsidRPr="00E106BD">
              <w:rPr>
                <w:rFonts w:ascii="Arial" w:hAnsi="Arial" w:cs="Arial"/>
                <w:sz w:val="16"/>
                <w:szCs w:val="16"/>
              </w:rPr>
              <w:t>C4433 C9234</w:t>
            </w:r>
          </w:p>
        </w:tc>
        <w:tc>
          <w:tcPr>
            <w:tcW w:w="424"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BA48CD" w:rsidTr="00802FC7">
        <w:tblPrEx>
          <w:tblBorders>
            <w:top w:val="single" w:sz="4" w:space="0" w:color="auto"/>
          </w:tblBorders>
        </w:tblPrEx>
        <w:trPr>
          <w:cantSplit/>
          <w:tblCellSpacing w:w="22" w:type="dxa"/>
        </w:trPr>
        <w:tc>
          <w:tcPr>
            <w:tcW w:w="1050" w:type="pct"/>
          </w:tcPr>
          <w:p w:rsidR="00BB32B3" w:rsidRPr="00E106BD" w:rsidDel="00BA48CD" w:rsidRDefault="00BB32B3" w:rsidP="00404472">
            <w:pPr>
              <w:rPr>
                <w:rFonts w:ascii="Arial" w:hAnsi="Arial" w:cs="Arial"/>
                <w:sz w:val="16"/>
                <w:szCs w:val="16"/>
                <w:vertAlign w:val="subscript"/>
              </w:rPr>
            </w:pPr>
          </w:p>
        </w:tc>
        <w:tc>
          <w:tcPr>
            <w:tcW w:w="943" w:type="pct"/>
          </w:tcPr>
          <w:p w:rsidR="00BB32B3" w:rsidRPr="00E106BD" w:rsidDel="00BA48CD" w:rsidRDefault="00BB32B3" w:rsidP="00404472">
            <w:pPr>
              <w:rPr>
                <w:rFonts w:ascii="Arial" w:hAnsi="Arial" w:cs="Arial"/>
                <w:sz w:val="16"/>
                <w:szCs w:val="16"/>
                <w:vertAlign w:val="subscript"/>
              </w:rPr>
            </w:pPr>
            <w:r w:rsidRPr="00E106BD">
              <w:rPr>
                <w:rFonts w:ascii="Arial" w:hAnsi="Arial" w:cs="Arial"/>
                <w:sz w:val="16"/>
                <w:szCs w:val="16"/>
              </w:rPr>
              <w:t>Concentrated injection containing pamidronate disodium 90 mg in 10 mL</w:t>
            </w:r>
          </w:p>
        </w:tc>
        <w:tc>
          <w:tcPr>
            <w:tcW w:w="365" w:type="pct"/>
          </w:tcPr>
          <w:p w:rsidR="00BB32B3" w:rsidRPr="00E106BD" w:rsidDel="00BA48CD" w:rsidRDefault="00BB32B3" w:rsidP="00404472">
            <w:pPr>
              <w:rPr>
                <w:rFonts w:ascii="Arial" w:hAnsi="Arial" w:cs="Arial"/>
                <w:sz w:val="16"/>
                <w:szCs w:val="16"/>
                <w:vertAlign w:val="subscript"/>
              </w:rPr>
            </w:pPr>
            <w:r w:rsidRPr="00E106BD">
              <w:rPr>
                <w:rFonts w:ascii="Arial" w:hAnsi="Arial" w:cs="Arial"/>
                <w:sz w:val="16"/>
                <w:szCs w:val="16"/>
              </w:rPr>
              <w:t>Injection</w:t>
            </w:r>
          </w:p>
        </w:tc>
        <w:tc>
          <w:tcPr>
            <w:tcW w:w="374" w:type="pct"/>
          </w:tcPr>
          <w:p w:rsidR="00BB32B3" w:rsidRPr="00E106BD" w:rsidDel="00BA48CD" w:rsidRDefault="00BB32B3" w:rsidP="00404472">
            <w:pPr>
              <w:rPr>
                <w:rFonts w:ascii="Arial" w:hAnsi="Arial" w:cs="Arial"/>
                <w:sz w:val="16"/>
                <w:szCs w:val="16"/>
                <w:vertAlign w:val="subscript"/>
              </w:rPr>
            </w:pPr>
            <w:r w:rsidRPr="00E106BD">
              <w:rPr>
                <w:rFonts w:ascii="Arial" w:hAnsi="Arial" w:cs="Arial"/>
                <w:sz w:val="16"/>
                <w:szCs w:val="16"/>
              </w:rPr>
              <w:t>Pamisol</w:t>
            </w:r>
          </w:p>
        </w:tc>
        <w:tc>
          <w:tcPr>
            <w:tcW w:w="220" w:type="pct"/>
          </w:tcPr>
          <w:p w:rsidR="00BB32B3" w:rsidRPr="00E106BD" w:rsidDel="00BA48CD" w:rsidRDefault="00BB32B3" w:rsidP="00404472">
            <w:pPr>
              <w:rPr>
                <w:rFonts w:ascii="Arial" w:hAnsi="Arial" w:cs="Arial"/>
                <w:sz w:val="16"/>
                <w:szCs w:val="16"/>
                <w:vertAlign w:val="subscript"/>
              </w:rPr>
            </w:pPr>
            <w:r w:rsidRPr="00E106BD">
              <w:rPr>
                <w:rFonts w:ascii="Arial" w:hAnsi="Arial" w:cs="Arial"/>
                <w:sz w:val="16"/>
                <w:szCs w:val="16"/>
              </w:rPr>
              <w:t>PF</w:t>
            </w:r>
          </w:p>
        </w:tc>
        <w:tc>
          <w:tcPr>
            <w:tcW w:w="477" w:type="pct"/>
          </w:tcPr>
          <w:p w:rsidR="00BB32B3" w:rsidRPr="00E106BD" w:rsidDel="00BA48CD" w:rsidRDefault="00BB32B3" w:rsidP="00F60457">
            <w:pPr>
              <w:rPr>
                <w:rFonts w:ascii="Arial" w:hAnsi="Arial" w:cs="Arial"/>
                <w:sz w:val="16"/>
                <w:szCs w:val="16"/>
                <w:vertAlign w:val="subscript"/>
              </w:rPr>
            </w:pPr>
            <w:r w:rsidRPr="00E106BD">
              <w:rPr>
                <w:rFonts w:ascii="Arial" w:hAnsi="Arial" w:cs="Arial"/>
                <w:sz w:val="16"/>
                <w:szCs w:val="16"/>
              </w:rPr>
              <w:t>C4433 C5218 C5291 C9234 C9315 C9335</w:t>
            </w:r>
          </w:p>
        </w:tc>
        <w:tc>
          <w:tcPr>
            <w:tcW w:w="424" w:type="pct"/>
          </w:tcPr>
          <w:p w:rsidR="00BB32B3" w:rsidRPr="00E106BD" w:rsidDel="00BA48CD" w:rsidRDefault="00BB32B3" w:rsidP="00404472">
            <w:pPr>
              <w:rPr>
                <w:rFonts w:ascii="Arial" w:hAnsi="Arial" w:cs="Arial"/>
                <w:sz w:val="16"/>
                <w:szCs w:val="16"/>
              </w:rPr>
            </w:pPr>
          </w:p>
        </w:tc>
        <w:tc>
          <w:tcPr>
            <w:tcW w:w="344"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1</w:t>
            </w:r>
          </w:p>
        </w:tc>
        <w:tc>
          <w:tcPr>
            <w:tcW w:w="297"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PB</w:t>
            </w:r>
          </w:p>
        </w:tc>
      </w:tr>
      <w:tr w:rsidR="00BB32B3" w:rsidRPr="00E106BD" w:rsidTr="00802FC7">
        <w:tblPrEx>
          <w:tblBorders>
            <w:top w:val="single" w:sz="4" w:space="0" w:color="auto"/>
          </w:tblBorders>
        </w:tblPrEx>
        <w:trPr>
          <w:tblCellSpacing w:w="22" w:type="dxa"/>
        </w:trPr>
        <w:tc>
          <w:tcPr>
            <w:tcW w:w="1050"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Pasireotide</w:t>
            </w:r>
          </w:p>
        </w:tc>
        <w:tc>
          <w:tcPr>
            <w:tcW w:w="943"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Injection (modified release) 20 mg (as embonate), vial and diluent syringe</w:t>
            </w:r>
          </w:p>
        </w:tc>
        <w:tc>
          <w:tcPr>
            <w:tcW w:w="365"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Signifor LAR</w:t>
            </w:r>
          </w:p>
        </w:tc>
        <w:tc>
          <w:tcPr>
            <w:tcW w:w="220" w:type="pct"/>
          </w:tcPr>
          <w:p w:rsidR="00BB32B3" w:rsidRPr="00E106BD" w:rsidRDefault="00BB32B3" w:rsidP="00A34E33">
            <w:pPr>
              <w:keepNext/>
              <w:rPr>
                <w:rFonts w:ascii="Arial" w:hAnsi="Arial" w:cs="Arial"/>
                <w:sz w:val="16"/>
                <w:szCs w:val="16"/>
              </w:rPr>
            </w:pPr>
            <w:r>
              <w:rPr>
                <w:rFonts w:ascii="Arial" w:hAnsi="Arial" w:cs="Arial"/>
                <w:sz w:val="16"/>
                <w:szCs w:val="16"/>
              </w:rPr>
              <w:t>RJ</w:t>
            </w:r>
          </w:p>
        </w:tc>
        <w:tc>
          <w:tcPr>
            <w:tcW w:w="477" w:type="pct"/>
          </w:tcPr>
          <w:p w:rsidR="00BB32B3" w:rsidRPr="00E106BD" w:rsidRDefault="00BB32B3" w:rsidP="00B67611">
            <w:pPr>
              <w:keepNext/>
              <w:rPr>
                <w:rFonts w:ascii="Arial" w:hAnsi="Arial" w:cs="Arial"/>
                <w:sz w:val="16"/>
                <w:szCs w:val="16"/>
              </w:rPr>
            </w:pPr>
            <w:r w:rsidRPr="00E106BD">
              <w:rPr>
                <w:rFonts w:ascii="Arial" w:hAnsi="Arial" w:cs="Arial"/>
                <w:sz w:val="16"/>
                <w:szCs w:val="16"/>
              </w:rPr>
              <w:t>C9088 C9089</w:t>
            </w:r>
          </w:p>
        </w:tc>
        <w:tc>
          <w:tcPr>
            <w:tcW w:w="424" w:type="pct"/>
          </w:tcPr>
          <w:p w:rsidR="00BB32B3" w:rsidRPr="00E106BD" w:rsidRDefault="00BB32B3" w:rsidP="00A34E33">
            <w:pPr>
              <w:keepNext/>
              <w:rPr>
                <w:rFonts w:ascii="Arial" w:hAnsi="Arial" w:cs="Arial"/>
                <w:sz w:val="16"/>
                <w:szCs w:val="16"/>
              </w:rPr>
            </w:pPr>
          </w:p>
        </w:tc>
        <w:tc>
          <w:tcPr>
            <w:tcW w:w="344"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5521B5">
            <w:pPr>
              <w:rPr>
                <w:rFonts w:ascii="Arial" w:hAnsi="Arial" w:cs="Arial"/>
                <w:sz w:val="16"/>
                <w:szCs w:val="16"/>
              </w:rPr>
            </w:pPr>
          </w:p>
        </w:tc>
        <w:tc>
          <w:tcPr>
            <w:tcW w:w="943" w:type="pct"/>
          </w:tcPr>
          <w:p w:rsidR="00BB32B3" w:rsidRPr="00E106BD" w:rsidRDefault="00BB32B3" w:rsidP="005521B5">
            <w:pPr>
              <w:rPr>
                <w:rFonts w:ascii="Arial" w:hAnsi="Arial" w:cs="Arial"/>
                <w:sz w:val="16"/>
                <w:szCs w:val="16"/>
              </w:rPr>
            </w:pPr>
            <w:r w:rsidRPr="00E106BD">
              <w:rPr>
                <w:rFonts w:ascii="Arial" w:hAnsi="Arial" w:cs="Arial"/>
                <w:sz w:val="16"/>
                <w:szCs w:val="16"/>
              </w:rPr>
              <w:t>Injection (modified release) 40 mg (as embonate), vial and diluent syringe</w:t>
            </w:r>
          </w:p>
        </w:tc>
        <w:tc>
          <w:tcPr>
            <w:tcW w:w="365" w:type="pct"/>
          </w:tcPr>
          <w:p w:rsidR="00BB32B3" w:rsidRPr="00E106BD" w:rsidRDefault="00BB32B3" w:rsidP="005521B5">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5521B5">
            <w:pPr>
              <w:rPr>
                <w:rFonts w:ascii="Arial" w:hAnsi="Arial" w:cs="Arial"/>
                <w:sz w:val="16"/>
                <w:szCs w:val="16"/>
              </w:rPr>
            </w:pPr>
            <w:r w:rsidRPr="00E106BD">
              <w:rPr>
                <w:rFonts w:ascii="Arial" w:hAnsi="Arial" w:cs="Arial"/>
                <w:sz w:val="16"/>
                <w:szCs w:val="16"/>
              </w:rPr>
              <w:t>Signifor LAR</w:t>
            </w:r>
          </w:p>
        </w:tc>
        <w:tc>
          <w:tcPr>
            <w:tcW w:w="220" w:type="pct"/>
          </w:tcPr>
          <w:p w:rsidR="00BB32B3" w:rsidRPr="00E106BD" w:rsidRDefault="00BB32B3" w:rsidP="005521B5">
            <w:pPr>
              <w:rPr>
                <w:rFonts w:ascii="Arial" w:hAnsi="Arial" w:cs="Arial"/>
                <w:sz w:val="16"/>
                <w:szCs w:val="16"/>
              </w:rPr>
            </w:pPr>
            <w:r>
              <w:rPr>
                <w:rFonts w:ascii="Arial" w:hAnsi="Arial" w:cs="Arial"/>
                <w:sz w:val="16"/>
                <w:szCs w:val="16"/>
              </w:rPr>
              <w:t>RJ</w:t>
            </w:r>
          </w:p>
        </w:tc>
        <w:tc>
          <w:tcPr>
            <w:tcW w:w="477" w:type="pct"/>
          </w:tcPr>
          <w:p w:rsidR="00BB32B3" w:rsidRPr="00E106BD" w:rsidRDefault="00BB32B3" w:rsidP="00B67611">
            <w:pPr>
              <w:rPr>
                <w:rFonts w:ascii="Arial" w:hAnsi="Arial" w:cs="Arial"/>
                <w:sz w:val="16"/>
                <w:szCs w:val="16"/>
              </w:rPr>
            </w:pPr>
            <w:r w:rsidRPr="00E106BD">
              <w:rPr>
                <w:rFonts w:ascii="Arial" w:hAnsi="Arial" w:cs="Arial"/>
                <w:sz w:val="16"/>
                <w:szCs w:val="16"/>
              </w:rPr>
              <w:t>C9088 C9089</w:t>
            </w:r>
          </w:p>
        </w:tc>
        <w:tc>
          <w:tcPr>
            <w:tcW w:w="424" w:type="pct"/>
          </w:tcPr>
          <w:p w:rsidR="00BB32B3" w:rsidRPr="00E106BD" w:rsidRDefault="00BB32B3" w:rsidP="005521B5">
            <w:pPr>
              <w:rPr>
                <w:rFonts w:ascii="Arial" w:hAnsi="Arial" w:cs="Arial"/>
                <w:sz w:val="16"/>
                <w:szCs w:val="16"/>
              </w:rPr>
            </w:pPr>
          </w:p>
        </w:tc>
        <w:tc>
          <w:tcPr>
            <w:tcW w:w="344" w:type="pct"/>
          </w:tcPr>
          <w:p w:rsidR="00BB32B3" w:rsidRPr="00E106BD" w:rsidRDefault="00BB32B3" w:rsidP="005521B5">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5521B5">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5521B5">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cantSplit/>
          <w:tblCellSpacing w:w="22" w:type="dxa"/>
        </w:trPr>
        <w:tc>
          <w:tcPr>
            <w:tcW w:w="1050" w:type="pct"/>
          </w:tcPr>
          <w:p w:rsidR="00BB32B3" w:rsidRPr="00E106BD" w:rsidRDefault="00BB32B3" w:rsidP="009D2528">
            <w:pPr>
              <w:rPr>
                <w:rFonts w:ascii="Arial" w:hAnsi="Arial" w:cs="Arial"/>
                <w:sz w:val="16"/>
                <w:szCs w:val="16"/>
              </w:rPr>
            </w:pPr>
          </w:p>
        </w:tc>
        <w:tc>
          <w:tcPr>
            <w:tcW w:w="943" w:type="pct"/>
          </w:tcPr>
          <w:p w:rsidR="00BB32B3" w:rsidRPr="00E106BD" w:rsidRDefault="00BB32B3" w:rsidP="009D2528">
            <w:pPr>
              <w:rPr>
                <w:rFonts w:ascii="Arial" w:hAnsi="Arial" w:cs="Arial"/>
                <w:sz w:val="16"/>
                <w:szCs w:val="16"/>
              </w:rPr>
            </w:pPr>
            <w:r w:rsidRPr="00E106BD">
              <w:rPr>
                <w:rFonts w:ascii="Arial" w:hAnsi="Arial" w:cs="Arial"/>
                <w:sz w:val="16"/>
                <w:szCs w:val="16"/>
              </w:rPr>
              <w:t>Injection (modified release) 60 mg (as embonate), vial and diluent syringe</w:t>
            </w:r>
          </w:p>
        </w:tc>
        <w:tc>
          <w:tcPr>
            <w:tcW w:w="365" w:type="pct"/>
          </w:tcPr>
          <w:p w:rsidR="00BB32B3" w:rsidRPr="00E106BD" w:rsidRDefault="00BB32B3" w:rsidP="009D2528">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9D2528">
            <w:pPr>
              <w:rPr>
                <w:rFonts w:ascii="Arial" w:hAnsi="Arial" w:cs="Arial"/>
                <w:sz w:val="16"/>
                <w:szCs w:val="16"/>
              </w:rPr>
            </w:pPr>
            <w:r w:rsidRPr="00E106BD">
              <w:rPr>
                <w:rFonts w:ascii="Arial" w:hAnsi="Arial" w:cs="Arial"/>
                <w:sz w:val="16"/>
                <w:szCs w:val="16"/>
              </w:rPr>
              <w:t>Signifor LAR</w:t>
            </w:r>
          </w:p>
        </w:tc>
        <w:tc>
          <w:tcPr>
            <w:tcW w:w="220" w:type="pct"/>
          </w:tcPr>
          <w:p w:rsidR="00BB32B3" w:rsidRPr="00E106BD" w:rsidRDefault="00BB32B3" w:rsidP="009D2528">
            <w:pPr>
              <w:rPr>
                <w:rFonts w:ascii="Arial" w:hAnsi="Arial" w:cs="Arial"/>
                <w:sz w:val="16"/>
                <w:szCs w:val="16"/>
              </w:rPr>
            </w:pPr>
            <w:r>
              <w:rPr>
                <w:rFonts w:ascii="Arial" w:hAnsi="Arial" w:cs="Arial"/>
                <w:sz w:val="16"/>
                <w:szCs w:val="16"/>
              </w:rPr>
              <w:t>RJ</w:t>
            </w:r>
          </w:p>
        </w:tc>
        <w:tc>
          <w:tcPr>
            <w:tcW w:w="477" w:type="pct"/>
          </w:tcPr>
          <w:p w:rsidR="00BB32B3" w:rsidRPr="00E106BD" w:rsidRDefault="00BB32B3" w:rsidP="00B67611">
            <w:pPr>
              <w:rPr>
                <w:rFonts w:ascii="Arial" w:hAnsi="Arial" w:cs="Arial"/>
                <w:sz w:val="16"/>
                <w:szCs w:val="16"/>
              </w:rPr>
            </w:pPr>
            <w:r w:rsidRPr="00E106BD">
              <w:rPr>
                <w:rFonts w:ascii="Arial" w:hAnsi="Arial" w:cs="Arial"/>
                <w:sz w:val="16"/>
                <w:szCs w:val="16"/>
              </w:rPr>
              <w:t>C9088 C9089</w:t>
            </w:r>
          </w:p>
        </w:tc>
        <w:tc>
          <w:tcPr>
            <w:tcW w:w="424" w:type="pct"/>
          </w:tcPr>
          <w:p w:rsidR="00BB32B3" w:rsidRPr="00E106BD" w:rsidRDefault="00BB32B3" w:rsidP="009D2528">
            <w:pPr>
              <w:rPr>
                <w:rFonts w:ascii="Arial" w:hAnsi="Arial" w:cs="Arial"/>
                <w:sz w:val="16"/>
                <w:szCs w:val="16"/>
              </w:rPr>
            </w:pPr>
          </w:p>
        </w:tc>
        <w:tc>
          <w:tcPr>
            <w:tcW w:w="344" w:type="pct"/>
          </w:tcPr>
          <w:p w:rsidR="00BB32B3" w:rsidRPr="00E106BD" w:rsidRDefault="00BB32B3" w:rsidP="009D2528">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9D2528">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9D2528">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tblCellSpacing w:w="22" w:type="dxa"/>
        </w:trPr>
        <w:tc>
          <w:tcPr>
            <w:tcW w:w="1050" w:type="pct"/>
          </w:tcPr>
          <w:p w:rsidR="00BB32B3" w:rsidRPr="00E106BD" w:rsidRDefault="00BB32B3" w:rsidP="009D2528">
            <w:pPr>
              <w:rPr>
                <w:rFonts w:ascii="Arial" w:hAnsi="Arial" w:cs="Arial"/>
                <w:sz w:val="16"/>
                <w:szCs w:val="16"/>
              </w:rPr>
            </w:pPr>
            <w:r w:rsidRPr="00E106BD">
              <w:rPr>
                <w:rFonts w:ascii="Arial" w:hAnsi="Arial" w:cs="Arial"/>
                <w:sz w:val="16"/>
                <w:szCs w:val="16"/>
              </w:rPr>
              <w:t>Pegfilgrastim</w:t>
            </w:r>
          </w:p>
        </w:tc>
        <w:tc>
          <w:tcPr>
            <w:tcW w:w="943" w:type="pct"/>
          </w:tcPr>
          <w:p w:rsidR="00BB32B3" w:rsidRPr="00E106BD" w:rsidRDefault="00BB32B3" w:rsidP="009D2528">
            <w:pPr>
              <w:rPr>
                <w:rFonts w:ascii="Arial" w:hAnsi="Arial" w:cs="Arial"/>
                <w:sz w:val="16"/>
                <w:szCs w:val="16"/>
              </w:rPr>
            </w:pPr>
            <w:r w:rsidRPr="00E106BD">
              <w:rPr>
                <w:rFonts w:ascii="Arial" w:hAnsi="Arial" w:cs="Arial"/>
                <w:sz w:val="16"/>
                <w:szCs w:val="16"/>
              </w:rPr>
              <w:t>Injection 6 mg in 0.6 mL single use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9D2528">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9D2528">
            <w:pPr>
              <w:rPr>
                <w:rFonts w:ascii="Arial" w:hAnsi="Arial" w:cs="Arial"/>
                <w:sz w:val="16"/>
                <w:szCs w:val="16"/>
              </w:rPr>
            </w:pPr>
            <w:r w:rsidRPr="00E106BD">
              <w:rPr>
                <w:rFonts w:ascii="Arial" w:hAnsi="Arial" w:cs="Arial"/>
                <w:sz w:val="16"/>
                <w:szCs w:val="16"/>
              </w:rPr>
              <w:t>Fulphila</w:t>
            </w:r>
          </w:p>
        </w:tc>
        <w:tc>
          <w:tcPr>
            <w:tcW w:w="220" w:type="pct"/>
          </w:tcPr>
          <w:p w:rsidR="00BB32B3" w:rsidRPr="00E106BD" w:rsidRDefault="00BB32B3" w:rsidP="009D2528">
            <w:pPr>
              <w:rPr>
                <w:rFonts w:ascii="Arial" w:hAnsi="Arial" w:cs="Arial"/>
                <w:sz w:val="16"/>
                <w:szCs w:val="16"/>
              </w:rPr>
            </w:pPr>
            <w:r w:rsidRPr="00E106BD">
              <w:rPr>
                <w:rFonts w:ascii="Arial" w:hAnsi="Arial" w:cs="Arial"/>
                <w:sz w:val="16"/>
                <w:szCs w:val="16"/>
              </w:rPr>
              <w:t>AF</w:t>
            </w:r>
          </w:p>
        </w:tc>
        <w:tc>
          <w:tcPr>
            <w:tcW w:w="477" w:type="pct"/>
          </w:tcPr>
          <w:p w:rsidR="00BB32B3" w:rsidRPr="00E106BD" w:rsidRDefault="00BB32B3" w:rsidP="00F60457">
            <w:pPr>
              <w:rPr>
                <w:rFonts w:ascii="Arial" w:hAnsi="Arial" w:cs="Arial"/>
                <w:sz w:val="16"/>
                <w:szCs w:val="16"/>
              </w:rPr>
            </w:pPr>
            <w:r w:rsidRPr="00E106BD">
              <w:rPr>
                <w:rFonts w:ascii="Arial" w:hAnsi="Arial" w:cs="Arial"/>
                <w:sz w:val="16"/>
                <w:szCs w:val="16"/>
              </w:rPr>
              <w:t>C7822 C7843 C9235 C9303</w:t>
            </w:r>
          </w:p>
        </w:tc>
        <w:tc>
          <w:tcPr>
            <w:tcW w:w="424" w:type="pct"/>
          </w:tcPr>
          <w:p w:rsidR="00BB32B3" w:rsidRPr="00E106BD" w:rsidRDefault="00BB32B3" w:rsidP="009D2528">
            <w:pPr>
              <w:rPr>
                <w:rFonts w:ascii="Arial" w:hAnsi="Arial" w:cs="Arial"/>
                <w:sz w:val="16"/>
                <w:szCs w:val="16"/>
              </w:rPr>
            </w:pPr>
          </w:p>
        </w:tc>
        <w:tc>
          <w:tcPr>
            <w:tcW w:w="344" w:type="pct"/>
          </w:tcPr>
          <w:p w:rsidR="00BB32B3" w:rsidRPr="00E106BD" w:rsidRDefault="00BB32B3" w:rsidP="009D2528">
            <w:pPr>
              <w:rPr>
                <w:rFonts w:ascii="Arial" w:hAnsi="Arial" w:cs="Arial"/>
                <w:sz w:val="16"/>
                <w:szCs w:val="16"/>
              </w:rPr>
            </w:pPr>
            <w:r w:rsidRPr="00E106BD">
              <w:rPr>
                <w:rFonts w:ascii="Arial" w:hAnsi="Arial" w:cs="Arial"/>
                <w:sz w:val="16"/>
                <w:szCs w:val="16"/>
              </w:rPr>
              <w:t>1</w:t>
            </w:r>
          </w:p>
        </w:tc>
        <w:tc>
          <w:tcPr>
            <w:tcW w:w="297" w:type="pct"/>
          </w:tcPr>
          <w:p w:rsidR="00BB32B3" w:rsidRPr="00E106BD" w:rsidRDefault="00BB32B3" w:rsidP="009D2528">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9D2528">
            <w:pPr>
              <w:rPr>
                <w:rFonts w:ascii="Arial" w:hAnsi="Arial" w:cs="Arial"/>
                <w:sz w:val="16"/>
                <w:szCs w:val="16"/>
              </w:rPr>
            </w:pPr>
            <w:r w:rsidRPr="00E106BD">
              <w:rPr>
                <w:rFonts w:ascii="Arial" w:hAnsi="Arial" w:cs="Arial"/>
                <w:sz w:val="16"/>
                <w:szCs w:val="16"/>
              </w:rPr>
              <w:t>D</w:t>
            </w:r>
          </w:p>
        </w:tc>
      </w:tr>
      <w:tr w:rsidR="00BB32B3" w:rsidRPr="00E106BD" w:rsidTr="00802FC7">
        <w:tblPrEx>
          <w:tblBorders>
            <w:top w:val="single" w:sz="4" w:space="0" w:color="auto"/>
          </w:tblBorders>
        </w:tblPrEx>
        <w:trPr>
          <w:tblCellSpacing w:w="22" w:type="dxa"/>
        </w:trPr>
        <w:tc>
          <w:tcPr>
            <w:tcW w:w="1050" w:type="pct"/>
          </w:tcPr>
          <w:p w:rsidR="00BB32B3" w:rsidRPr="00E106BD" w:rsidRDefault="00BB32B3" w:rsidP="009D2528">
            <w:pPr>
              <w:rPr>
                <w:rFonts w:ascii="Arial" w:hAnsi="Arial" w:cs="Arial"/>
                <w:sz w:val="16"/>
                <w:szCs w:val="16"/>
              </w:rPr>
            </w:pPr>
          </w:p>
        </w:tc>
        <w:tc>
          <w:tcPr>
            <w:tcW w:w="943" w:type="pct"/>
          </w:tcPr>
          <w:p w:rsidR="00BB32B3" w:rsidRPr="00E106BD" w:rsidRDefault="00BB32B3" w:rsidP="009D2528">
            <w:pPr>
              <w:rPr>
                <w:rFonts w:ascii="Arial" w:hAnsi="Arial" w:cs="Arial"/>
                <w:sz w:val="16"/>
                <w:szCs w:val="16"/>
              </w:rPr>
            </w:pPr>
          </w:p>
        </w:tc>
        <w:tc>
          <w:tcPr>
            <w:tcW w:w="365" w:type="pct"/>
          </w:tcPr>
          <w:p w:rsidR="00BB32B3" w:rsidRPr="00E106BD" w:rsidRDefault="00BB32B3" w:rsidP="009D2528">
            <w:pPr>
              <w:rPr>
                <w:rFonts w:ascii="Arial" w:hAnsi="Arial" w:cs="Arial"/>
                <w:sz w:val="16"/>
                <w:szCs w:val="16"/>
              </w:rPr>
            </w:pPr>
          </w:p>
        </w:tc>
        <w:tc>
          <w:tcPr>
            <w:tcW w:w="374" w:type="pct"/>
          </w:tcPr>
          <w:p w:rsidR="00BB32B3" w:rsidRPr="00E106BD" w:rsidRDefault="00BB32B3" w:rsidP="009D2528">
            <w:pPr>
              <w:rPr>
                <w:rFonts w:ascii="Arial" w:hAnsi="Arial" w:cs="Arial"/>
                <w:sz w:val="16"/>
                <w:szCs w:val="16"/>
              </w:rPr>
            </w:pPr>
            <w:r w:rsidRPr="00E106BD">
              <w:rPr>
                <w:rFonts w:ascii="Arial" w:hAnsi="Arial" w:cs="Arial"/>
                <w:sz w:val="16"/>
                <w:szCs w:val="16"/>
              </w:rPr>
              <w:t>Neulasta</w:t>
            </w:r>
          </w:p>
        </w:tc>
        <w:tc>
          <w:tcPr>
            <w:tcW w:w="220" w:type="pct"/>
          </w:tcPr>
          <w:p w:rsidR="00BB32B3" w:rsidRPr="00E106BD" w:rsidRDefault="00BB32B3" w:rsidP="009D2528">
            <w:pPr>
              <w:rPr>
                <w:rFonts w:ascii="Arial" w:hAnsi="Arial" w:cs="Arial"/>
                <w:sz w:val="16"/>
                <w:szCs w:val="16"/>
              </w:rPr>
            </w:pPr>
            <w:r w:rsidRPr="00E106BD">
              <w:rPr>
                <w:rFonts w:ascii="Arial" w:hAnsi="Arial" w:cs="Arial"/>
                <w:sz w:val="16"/>
                <w:szCs w:val="16"/>
              </w:rPr>
              <w:t>JU</w:t>
            </w:r>
          </w:p>
        </w:tc>
        <w:tc>
          <w:tcPr>
            <w:tcW w:w="477" w:type="pct"/>
          </w:tcPr>
          <w:p w:rsidR="00BB32B3" w:rsidRPr="00E106BD" w:rsidRDefault="00BB32B3" w:rsidP="00F60457">
            <w:pPr>
              <w:rPr>
                <w:rFonts w:ascii="Arial" w:hAnsi="Arial" w:cs="Arial"/>
                <w:sz w:val="16"/>
                <w:szCs w:val="16"/>
              </w:rPr>
            </w:pPr>
            <w:r w:rsidRPr="00E106BD">
              <w:rPr>
                <w:rFonts w:ascii="Arial" w:hAnsi="Arial" w:cs="Arial"/>
                <w:sz w:val="16"/>
                <w:szCs w:val="16"/>
              </w:rPr>
              <w:t>C7822 C7843 C9235 C9303</w:t>
            </w:r>
          </w:p>
        </w:tc>
        <w:tc>
          <w:tcPr>
            <w:tcW w:w="424" w:type="pct"/>
          </w:tcPr>
          <w:p w:rsidR="00BB32B3" w:rsidRPr="00E106BD" w:rsidRDefault="00BB32B3" w:rsidP="009D2528">
            <w:pPr>
              <w:rPr>
                <w:rFonts w:ascii="Arial" w:hAnsi="Arial" w:cs="Arial"/>
                <w:sz w:val="16"/>
                <w:szCs w:val="16"/>
              </w:rPr>
            </w:pPr>
          </w:p>
        </w:tc>
        <w:tc>
          <w:tcPr>
            <w:tcW w:w="344" w:type="pct"/>
          </w:tcPr>
          <w:p w:rsidR="00BB32B3" w:rsidRPr="00E106BD" w:rsidRDefault="00BB32B3" w:rsidP="009D2528">
            <w:pPr>
              <w:rPr>
                <w:rFonts w:ascii="Arial" w:hAnsi="Arial" w:cs="Arial"/>
                <w:sz w:val="16"/>
                <w:szCs w:val="16"/>
              </w:rPr>
            </w:pPr>
            <w:r w:rsidRPr="00E106BD">
              <w:rPr>
                <w:rFonts w:ascii="Arial" w:hAnsi="Arial" w:cs="Arial"/>
                <w:sz w:val="16"/>
                <w:szCs w:val="16"/>
              </w:rPr>
              <w:t>1</w:t>
            </w:r>
          </w:p>
        </w:tc>
        <w:tc>
          <w:tcPr>
            <w:tcW w:w="297" w:type="pct"/>
          </w:tcPr>
          <w:p w:rsidR="00BB32B3" w:rsidRPr="00E106BD" w:rsidRDefault="00BB32B3" w:rsidP="009D2528">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9D2528">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tblCellSpacing w:w="22" w:type="dxa"/>
        </w:trPr>
        <w:tc>
          <w:tcPr>
            <w:tcW w:w="1050" w:type="pct"/>
          </w:tcPr>
          <w:p w:rsidR="005600BB" w:rsidRPr="00E106BD" w:rsidRDefault="005600BB" w:rsidP="009D2528">
            <w:pPr>
              <w:rPr>
                <w:rFonts w:ascii="Arial" w:hAnsi="Arial" w:cs="Arial"/>
                <w:sz w:val="16"/>
                <w:szCs w:val="16"/>
              </w:rPr>
            </w:pPr>
          </w:p>
        </w:tc>
        <w:tc>
          <w:tcPr>
            <w:tcW w:w="943" w:type="pct"/>
          </w:tcPr>
          <w:p w:rsidR="005600BB" w:rsidRPr="00E106BD" w:rsidRDefault="005600BB" w:rsidP="009D2528">
            <w:pPr>
              <w:rPr>
                <w:rFonts w:ascii="Arial" w:hAnsi="Arial" w:cs="Arial"/>
                <w:sz w:val="16"/>
                <w:szCs w:val="16"/>
              </w:rPr>
            </w:pPr>
          </w:p>
        </w:tc>
        <w:tc>
          <w:tcPr>
            <w:tcW w:w="365" w:type="pct"/>
          </w:tcPr>
          <w:p w:rsidR="005600BB" w:rsidRPr="00E106BD" w:rsidRDefault="005600BB" w:rsidP="009D2528">
            <w:pPr>
              <w:rPr>
                <w:rFonts w:ascii="Arial" w:hAnsi="Arial" w:cs="Arial"/>
                <w:sz w:val="16"/>
                <w:szCs w:val="16"/>
              </w:rPr>
            </w:pPr>
          </w:p>
        </w:tc>
        <w:tc>
          <w:tcPr>
            <w:tcW w:w="374" w:type="pct"/>
          </w:tcPr>
          <w:p w:rsidR="005600BB" w:rsidRPr="00E106BD" w:rsidRDefault="005600BB" w:rsidP="009D2528">
            <w:pPr>
              <w:rPr>
                <w:rFonts w:ascii="Arial" w:hAnsi="Arial" w:cs="Arial"/>
                <w:sz w:val="16"/>
                <w:szCs w:val="16"/>
              </w:rPr>
            </w:pPr>
            <w:r w:rsidRPr="00640D4F">
              <w:rPr>
                <w:rFonts w:ascii="Arial" w:hAnsi="Arial" w:cs="Arial"/>
                <w:sz w:val="16"/>
                <w:szCs w:val="16"/>
              </w:rPr>
              <w:t>Pelgraz</w:t>
            </w:r>
          </w:p>
        </w:tc>
        <w:tc>
          <w:tcPr>
            <w:tcW w:w="220" w:type="pct"/>
          </w:tcPr>
          <w:p w:rsidR="005600BB" w:rsidRPr="00E106BD" w:rsidRDefault="005600BB" w:rsidP="009D2528">
            <w:pPr>
              <w:rPr>
                <w:rFonts w:ascii="Arial" w:hAnsi="Arial" w:cs="Arial"/>
                <w:sz w:val="16"/>
                <w:szCs w:val="16"/>
              </w:rPr>
            </w:pPr>
            <w:r>
              <w:rPr>
                <w:rFonts w:ascii="Arial" w:hAnsi="Arial" w:cs="Arial"/>
                <w:sz w:val="16"/>
                <w:szCs w:val="16"/>
              </w:rPr>
              <w:t>OC</w:t>
            </w:r>
          </w:p>
        </w:tc>
        <w:tc>
          <w:tcPr>
            <w:tcW w:w="477" w:type="pct"/>
          </w:tcPr>
          <w:p w:rsidR="005600BB" w:rsidRPr="00E106BD" w:rsidRDefault="005600BB" w:rsidP="00F60457">
            <w:pPr>
              <w:rPr>
                <w:rFonts w:ascii="Arial" w:hAnsi="Arial" w:cs="Arial"/>
                <w:sz w:val="16"/>
                <w:szCs w:val="16"/>
              </w:rPr>
            </w:pPr>
            <w:r w:rsidRPr="00640D4F">
              <w:rPr>
                <w:rFonts w:ascii="Arial" w:hAnsi="Arial" w:cs="Arial"/>
                <w:sz w:val="16"/>
                <w:szCs w:val="16"/>
              </w:rPr>
              <w:t>C7822 C7843 C9235 C9303</w:t>
            </w:r>
          </w:p>
        </w:tc>
        <w:tc>
          <w:tcPr>
            <w:tcW w:w="424" w:type="pct"/>
          </w:tcPr>
          <w:p w:rsidR="005600BB" w:rsidRPr="00E106BD" w:rsidRDefault="005600BB" w:rsidP="009D2528">
            <w:pPr>
              <w:rPr>
                <w:rFonts w:ascii="Arial" w:hAnsi="Arial" w:cs="Arial"/>
                <w:sz w:val="16"/>
                <w:szCs w:val="16"/>
              </w:rPr>
            </w:pPr>
          </w:p>
        </w:tc>
        <w:tc>
          <w:tcPr>
            <w:tcW w:w="344" w:type="pct"/>
          </w:tcPr>
          <w:p w:rsidR="005600BB" w:rsidRPr="00E106BD" w:rsidRDefault="005600BB" w:rsidP="009D2528">
            <w:pPr>
              <w:rPr>
                <w:rFonts w:ascii="Arial" w:hAnsi="Arial" w:cs="Arial"/>
                <w:sz w:val="16"/>
                <w:szCs w:val="16"/>
              </w:rPr>
            </w:pPr>
            <w:r>
              <w:rPr>
                <w:rFonts w:ascii="Arial" w:hAnsi="Arial" w:cs="Arial"/>
                <w:sz w:val="16"/>
                <w:szCs w:val="16"/>
              </w:rPr>
              <w:t>1</w:t>
            </w:r>
          </w:p>
        </w:tc>
        <w:tc>
          <w:tcPr>
            <w:tcW w:w="297" w:type="pct"/>
          </w:tcPr>
          <w:p w:rsidR="005600BB" w:rsidRPr="00E106BD" w:rsidRDefault="005600BB" w:rsidP="009D2528">
            <w:pPr>
              <w:rPr>
                <w:rFonts w:ascii="Arial" w:hAnsi="Arial" w:cs="Arial"/>
                <w:sz w:val="16"/>
                <w:szCs w:val="16"/>
              </w:rPr>
            </w:pPr>
            <w:r>
              <w:rPr>
                <w:rFonts w:ascii="Arial" w:hAnsi="Arial" w:cs="Arial"/>
                <w:sz w:val="16"/>
                <w:szCs w:val="16"/>
              </w:rPr>
              <w:t>11</w:t>
            </w:r>
          </w:p>
        </w:tc>
        <w:tc>
          <w:tcPr>
            <w:tcW w:w="313" w:type="pct"/>
          </w:tcPr>
          <w:p w:rsidR="005600BB" w:rsidRPr="00E106BD" w:rsidRDefault="005600BB" w:rsidP="009D2528">
            <w:pPr>
              <w:rPr>
                <w:rFonts w:ascii="Arial" w:hAnsi="Arial" w:cs="Arial"/>
                <w:sz w:val="16"/>
                <w:szCs w:val="16"/>
              </w:rPr>
            </w:pPr>
            <w:r>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9D2528">
            <w:pPr>
              <w:rPr>
                <w:rFonts w:ascii="Arial" w:hAnsi="Arial" w:cs="Arial"/>
                <w:sz w:val="16"/>
                <w:szCs w:val="16"/>
              </w:rPr>
            </w:pPr>
          </w:p>
        </w:tc>
        <w:tc>
          <w:tcPr>
            <w:tcW w:w="943" w:type="pct"/>
          </w:tcPr>
          <w:p w:rsidR="005600BB" w:rsidRPr="00E106BD" w:rsidRDefault="005600BB" w:rsidP="009D2528">
            <w:pPr>
              <w:rPr>
                <w:rFonts w:ascii="Arial" w:hAnsi="Arial" w:cs="Arial"/>
                <w:sz w:val="16"/>
                <w:szCs w:val="16"/>
              </w:rPr>
            </w:pPr>
          </w:p>
        </w:tc>
        <w:tc>
          <w:tcPr>
            <w:tcW w:w="365" w:type="pct"/>
          </w:tcPr>
          <w:p w:rsidR="005600BB" w:rsidRPr="00E106BD" w:rsidRDefault="005600BB" w:rsidP="009D2528">
            <w:pPr>
              <w:rPr>
                <w:rFonts w:ascii="Arial" w:hAnsi="Arial" w:cs="Arial"/>
                <w:sz w:val="16"/>
                <w:szCs w:val="16"/>
              </w:rPr>
            </w:pPr>
          </w:p>
        </w:tc>
        <w:tc>
          <w:tcPr>
            <w:tcW w:w="374" w:type="pct"/>
          </w:tcPr>
          <w:p w:rsidR="005600BB" w:rsidRPr="00E106BD" w:rsidRDefault="005600BB" w:rsidP="009D2528">
            <w:pPr>
              <w:rPr>
                <w:rFonts w:ascii="Arial" w:hAnsi="Arial" w:cs="Arial"/>
                <w:sz w:val="16"/>
                <w:szCs w:val="16"/>
              </w:rPr>
            </w:pPr>
            <w:r w:rsidRPr="00E106BD">
              <w:rPr>
                <w:rFonts w:ascii="Arial" w:hAnsi="Arial" w:cs="Arial"/>
                <w:sz w:val="16"/>
                <w:szCs w:val="16"/>
              </w:rPr>
              <w:t>Ristempa</w:t>
            </w:r>
          </w:p>
        </w:tc>
        <w:tc>
          <w:tcPr>
            <w:tcW w:w="220" w:type="pct"/>
          </w:tcPr>
          <w:p w:rsidR="005600BB" w:rsidRPr="00E106BD" w:rsidRDefault="005600BB" w:rsidP="009D2528">
            <w:pPr>
              <w:rPr>
                <w:rFonts w:ascii="Arial" w:hAnsi="Arial" w:cs="Arial"/>
                <w:sz w:val="16"/>
                <w:szCs w:val="16"/>
              </w:rPr>
            </w:pPr>
            <w:r w:rsidRPr="00E106BD">
              <w:rPr>
                <w:rFonts w:ascii="Arial" w:hAnsi="Arial" w:cs="Arial"/>
                <w:sz w:val="16"/>
                <w:szCs w:val="16"/>
              </w:rPr>
              <w:t>JO</w:t>
            </w:r>
          </w:p>
        </w:tc>
        <w:tc>
          <w:tcPr>
            <w:tcW w:w="477" w:type="pct"/>
          </w:tcPr>
          <w:p w:rsidR="005600BB" w:rsidRPr="00E106BD" w:rsidRDefault="005600BB" w:rsidP="00F60457">
            <w:pPr>
              <w:rPr>
                <w:rFonts w:ascii="Arial" w:hAnsi="Arial" w:cs="Arial"/>
                <w:sz w:val="16"/>
                <w:szCs w:val="16"/>
              </w:rPr>
            </w:pPr>
            <w:r w:rsidRPr="00E106BD">
              <w:rPr>
                <w:rFonts w:ascii="Arial" w:hAnsi="Arial" w:cs="Arial"/>
                <w:sz w:val="16"/>
                <w:szCs w:val="16"/>
              </w:rPr>
              <w:t>C7822 C7843 C9235 C9303</w:t>
            </w:r>
          </w:p>
        </w:tc>
        <w:tc>
          <w:tcPr>
            <w:tcW w:w="424" w:type="pct"/>
          </w:tcPr>
          <w:p w:rsidR="005600BB" w:rsidRPr="00E106BD" w:rsidRDefault="005600BB" w:rsidP="009D2528">
            <w:pPr>
              <w:rPr>
                <w:rFonts w:ascii="Arial" w:hAnsi="Arial" w:cs="Arial"/>
                <w:sz w:val="16"/>
                <w:szCs w:val="16"/>
              </w:rPr>
            </w:pPr>
          </w:p>
        </w:tc>
        <w:tc>
          <w:tcPr>
            <w:tcW w:w="344" w:type="pct"/>
          </w:tcPr>
          <w:p w:rsidR="005600BB" w:rsidRPr="00E106BD" w:rsidRDefault="005600BB" w:rsidP="009D2528">
            <w:pPr>
              <w:rPr>
                <w:rFonts w:ascii="Arial" w:hAnsi="Arial" w:cs="Arial"/>
                <w:sz w:val="16"/>
                <w:szCs w:val="16"/>
              </w:rPr>
            </w:pPr>
            <w:r w:rsidRPr="00E106BD">
              <w:rPr>
                <w:rFonts w:ascii="Arial" w:hAnsi="Arial" w:cs="Arial"/>
                <w:sz w:val="16"/>
                <w:szCs w:val="16"/>
              </w:rPr>
              <w:t>1</w:t>
            </w:r>
          </w:p>
        </w:tc>
        <w:tc>
          <w:tcPr>
            <w:tcW w:w="297" w:type="pct"/>
          </w:tcPr>
          <w:p w:rsidR="005600BB" w:rsidRPr="00E106BD" w:rsidRDefault="005600BB" w:rsidP="009D2528">
            <w:pPr>
              <w:rPr>
                <w:rFonts w:ascii="Arial" w:hAnsi="Arial" w:cs="Arial"/>
                <w:sz w:val="16"/>
                <w:szCs w:val="16"/>
              </w:rPr>
            </w:pPr>
            <w:r w:rsidRPr="00E106BD">
              <w:rPr>
                <w:rFonts w:ascii="Arial" w:hAnsi="Arial" w:cs="Arial"/>
                <w:sz w:val="16"/>
                <w:szCs w:val="16"/>
              </w:rPr>
              <w:t>11</w:t>
            </w:r>
          </w:p>
        </w:tc>
        <w:tc>
          <w:tcPr>
            <w:tcW w:w="313" w:type="pct"/>
          </w:tcPr>
          <w:p w:rsidR="005600BB" w:rsidRPr="00E106BD" w:rsidRDefault="005600BB" w:rsidP="009D2528">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9D2528">
            <w:pPr>
              <w:rPr>
                <w:rFonts w:ascii="Arial" w:hAnsi="Arial" w:cs="Arial"/>
                <w:sz w:val="16"/>
                <w:szCs w:val="16"/>
              </w:rPr>
            </w:pPr>
          </w:p>
        </w:tc>
        <w:tc>
          <w:tcPr>
            <w:tcW w:w="943" w:type="pct"/>
          </w:tcPr>
          <w:p w:rsidR="005600BB" w:rsidRPr="00E106BD" w:rsidRDefault="005600BB" w:rsidP="009D2528">
            <w:pPr>
              <w:rPr>
                <w:rFonts w:ascii="Arial" w:hAnsi="Arial" w:cs="Arial"/>
                <w:sz w:val="16"/>
                <w:szCs w:val="16"/>
              </w:rPr>
            </w:pPr>
          </w:p>
        </w:tc>
        <w:tc>
          <w:tcPr>
            <w:tcW w:w="365" w:type="pct"/>
          </w:tcPr>
          <w:p w:rsidR="005600BB" w:rsidRPr="00E106BD" w:rsidRDefault="005600BB" w:rsidP="009D2528">
            <w:pPr>
              <w:rPr>
                <w:rFonts w:ascii="Arial" w:hAnsi="Arial" w:cs="Arial"/>
                <w:sz w:val="16"/>
                <w:szCs w:val="16"/>
              </w:rPr>
            </w:pPr>
          </w:p>
        </w:tc>
        <w:tc>
          <w:tcPr>
            <w:tcW w:w="374" w:type="pct"/>
          </w:tcPr>
          <w:p w:rsidR="005600BB" w:rsidRPr="00E106BD" w:rsidRDefault="005600BB" w:rsidP="009D2528">
            <w:pPr>
              <w:rPr>
                <w:rFonts w:ascii="Arial" w:hAnsi="Arial" w:cs="Arial"/>
                <w:sz w:val="16"/>
                <w:szCs w:val="16"/>
              </w:rPr>
            </w:pPr>
            <w:r w:rsidRPr="00E106BD">
              <w:rPr>
                <w:rFonts w:ascii="Arial" w:hAnsi="Arial" w:cs="Arial"/>
                <w:sz w:val="16"/>
                <w:szCs w:val="16"/>
              </w:rPr>
              <w:t>Tezmota</w:t>
            </w:r>
          </w:p>
        </w:tc>
        <w:tc>
          <w:tcPr>
            <w:tcW w:w="220" w:type="pct"/>
          </w:tcPr>
          <w:p w:rsidR="005600BB" w:rsidRPr="00E106BD" w:rsidRDefault="005600BB" w:rsidP="009D2528">
            <w:pPr>
              <w:rPr>
                <w:rFonts w:ascii="Arial" w:hAnsi="Arial" w:cs="Arial"/>
                <w:sz w:val="16"/>
                <w:szCs w:val="16"/>
              </w:rPr>
            </w:pPr>
            <w:r w:rsidRPr="00E106BD">
              <w:rPr>
                <w:rFonts w:ascii="Arial" w:hAnsi="Arial" w:cs="Arial"/>
                <w:sz w:val="16"/>
                <w:szCs w:val="16"/>
              </w:rPr>
              <w:t>JX</w:t>
            </w:r>
          </w:p>
        </w:tc>
        <w:tc>
          <w:tcPr>
            <w:tcW w:w="477" w:type="pct"/>
          </w:tcPr>
          <w:p w:rsidR="005600BB" w:rsidRPr="00E106BD" w:rsidRDefault="005600BB" w:rsidP="005C2207">
            <w:pPr>
              <w:rPr>
                <w:rFonts w:ascii="Arial" w:hAnsi="Arial" w:cs="Arial"/>
                <w:sz w:val="16"/>
                <w:szCs w:val="16"/>
              </w:rPr>
            </w:pPr>
            <w:r w:rsidRPr="00E106BD">
              <w:rPr>
                <w:rFonts w:ascii="Arial" w:hAnsi="Arial" w:cs="Arial"/>
                <w:sz w:val="16"/>
                <w:szCs w:val="16"/>
              </w:rPr>
              <w:t>C7822 C7843 C9235 C9303</w:t>
            </w:r>
          </w:p>
        </w:tc>
        <w:tc>
          <w:tcPr>
            <w:tcW w:w="424" w:type="pct"/>
          </w:tcPr>
          <w:p w:rsidR="005600BB" w:rsidRPr="00E106BD" w:rsidRDefault="005600BB" w:rsidP="009D2528">
            <w:pPr>
              <w:rPr>
                <w:rFonts w:ascii="Arial" w:hAnsi="Arial" w:cs="Arial"/>
                <w:sz w:val="16"/>
                <w:szCs w:val="16"/>
              </w:rPr>
            </w:pPr>
          </w:p>
        </w:tc>
        <w:tc>
          <w:tcPr>
            <w:tcW w:w="344" w:type="pct"/>
          </w:tcPr>
          <w:p w:rsidR="005600BB" w:rsidRPr="00E106BD" w:rsidRDefault="005600BB" w:rsidP="009D2528">
            <w:pPr>
              <w:rPr>
                <w:rFonts w:ascii="Arial" w:hAnsi="Arial" w:cs="Arial"/>
                <w:sz w:val="16"/>
                <w:szCs w:val="16"/>
              </w:rPr>
            </w:pPr>
            <w:r w:rsidRPr="00E106BD">
              <w:rPr>
                <w:rFonts w:ascii="Arial" w:hAnsi="Arial" w:cs="Arial"/>
                <w:sz w:val="16"/>
                <w:szCs w:val="16"/>
              </w:rPr>
              <w:t>1</w:t>
            </w:r>
          </w:p>
        </w:tc>
        <w:tc>
          <w:tcPr>
            <w:tcW w:w="297" w:type="pct"/>
          </w:tcPr>
          <w:p w:rsidR="005600BB" w:rsidRPr="00E106BD" w:rsidRDefault="005600BB" w:rsidP="009D2528">
            <w:pPr>
              <w:rPr>
                <w:rFonts w:ascii="Arial" w:hAnsi="Arial" w:cs="Arial"/>
                <w:sz w:val="16"/>
                <w:szCs w:val="16"/>
              </w:rPr>
            </w:pPr>
            <w:r w:rsidRPr="00E106BD">
              <w:rPr>
                <w:rFonts w:ascii="Arial" w:hAnsi="Arial" w:cs="Arial"/>
                <w:sz w:val="16"/>
                <w:szCs w:val="16"/>
              </w:rPr>
              <w:t>11</w:t>
            </w:r>
          </w:p>
        </w:tc>
        <w:tc>
          <w:tcPr>
            <w:tcW w:w="313" w:type="pct"/>
          </w:tcPr>
          <w:p w:rsidR="005600BB" w:rsidRPr="00E106BD" w:rsidRDefault="005600BB" w:rsidP="009D2528">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9D2528">
            <w:pPr>
              <w:rPr>
                <w:rFonts w:ascii="Arial" w:hAnsi="Arial" w:cs="Arial"/>
                <w:sz w:val="16"/>
                <w:szCs w:val="16"/>
              </w:rPr>
            </w:pPr>
          </w:p>
        </w:tc>
        <w:tc>
          <w:tcPr>
            <w:tcW w:w="943" w:type="pct"/>
          </w:tcPr>
          <w:p w:rsidR="005600BB" w:rsidRPr="00E106BD" w:rsidRDefault="005600BB" w:rsidP="009D2528">
            <w:pPr>
              <w:rPr>
                <w:rFonts w:ascii="Arial" w:hAnsi="Arial" w:cs="Arial"/>
                <w:sz w:val="16"/>
                <w:szCs w:val="16"/>
              </w:rPr>
            </w:pPr>
          </w:p>
        </w:tc>
        <w:tc>
          <w:tcPr>
            <w:tcW w:w="365" w:type="pct"/>
          </w:tcPr>
          <w:p w:rsidR="005600BB" w:rsidRPr="00E106BD" w:rsidRDefault="005600BB" w:rsidP="009D2528">
            <w:pPr>
              <w:rPr>
                <w:rFonts w:ascii="Arial" w:hAnsi="Arial" w:cs="Arial"/>
                <w:sz w:val="16"/>
                <w:szCs w:val="16"/>
              </w:rPr>
            </w:pPr>
          </w:p>
        </w:tc>
        <w:tc>
          <w:tcPr>
            <w:tcW w:w="374" w:type="pct"/>
          </w:tcPr>
          <w:p w:rsidR="005600BB" w:rsidRPr="00E106BD" w:rsidRDefault="005600BB" w:rsidP="009D2528">
            <w:pPr>
              <w:rPr>
                <w:rFonts w:ascii="Arial" w:hAnsi="Arial" w:cs="Arial"/>
                <w:sz w:val="16"/>
                <w:szCs w:val="16"/>
              </w:rPr>
            </w:pPr>
            <w:r w:rsidRPr="00E106BD">
              <w:rPr>
                <w:rFonts w:ascii="Arial" w:hAnsi="Arial" w:cs="Arial"/>
                <w:sz w:val="16"/>
                <w:szCs w:val="16"/>
              </w:rPr>
              <w:t>Ziextenzo</w:t>
            </w:r>
          </w:p>
        </w:tc>
        <w:tc>
          <w:tcPr>
            <w:tcW w:w="220" w:type="pct"/>
          </w:tcPr>
          <w:p w:rsidR="005600BB" w:rsidRPr="00E106BD" w:rsidRDefault="005600BB" w:rsidP="009D2528">
            <w:pPr>
              <w:rPr>
                <w:rFonts w:ascii="Arial" w:hAnsi="Arial" w:cs="Arial"/>
                <w:sz w:val="16"/>
                <w:szCs w:val="16"/>
              </w:rPr>
            </w:pPr>
            <w:r w:rsidRPr="00E106BD">
              <w:rPr>
                <w:rFonts w:ascii="Arial" w:hAnsi="Arial" w:cs="Arial"/>
                <w:sz w:val="16"/>
                <w:szCs w:val="16"/>
              </w:rPr>
              <w:t>SZ</w:t>
            </w:r>
          </w:p>
        </w:tc>
        <w:tc>
          <w:tcPr>
            <w:tcW w:w="477" w:type="pct"/>
          </w:tcPr>
          <w:p w:rsidR="005600BB" w:rsidRPr="00E106BD" w:rsidRDefault="005600BB" w:rsidP="005C2207">
            <w:pPr>
              <w:rPr>
                <w:rFonts w:ascii="Arial" w:hAnsi="Arial" w:cs="Arial"/>
                <w:sz w:val="16"/>
                <w:szCs w:val="16"/>
              </w:rPr>
            </w:pPr>
            <w:r w:rsidRPr="00E106BD">
              <w:rPr>
                <w:rFonts w:ascii="Arial" w:hAnsi="Arial" w:cs="Arial"/>
                <w:sz w:val="16"/>
                <w:szCs w:val="16"/>
              </w:rPr>
              <w:t>C7822 C7843 C9235 C9303</w:t>
            </w:r>
          </w:p>
        </w:tc>
        <w:tc>
          <w:tcPr>
            <w:tcW w:w="424" w:type="pct"/>
          </w:tcPr>
          <w:p w:rsidR="005600BB" w:rsidRPr="00E106BD" w:rsidRDefault="005600BB" w:rsidP="009D2528">
            <w:pPr>
              <w:rPr>
                <w:rFonts w:ascii="Arial" w:hAnsi="Arial" w:cs="Arial"/>
                <w:sz w:val="16"/>
                <w:szCs w:val="16"/>
              </w:rPr>
            </w:pPr>
          </w:p>
        </w:tc>
        <w:tc>
          <w:tcPr>
            <w:tcW w:w="344" w:type="pct"/>
          </w:tcPr>
          <w:p w:rsidR="005600BB" w:rsidRPr="00E106BD" w:rsidRDefault="005600BB" w:rsidP="009D2528">
            <w:pPr>
              <w:rPr>
                <w:rFonts w:ascii="Arial" w:hAnsi="Arial" w:cs="Arial"/>
                <w:sz w:val="16"/>
                <w:szCs w:val="16"/>
              </w:rPr>
            </w:pPr>
            <w:r w:rsidRPr="00E106BD">
              <w:rPr>
                <w:rFonts w:ascii="Arial" w:hAnsi="Arial" w:cs="Arial"/>
                <w:sz w:val="16"/>
                <w:szCs w:val="16"/>
              </w:rPr>
              <w:t>1</w:t>
            </w:r>
          </w:p>
        </w:tc>
        <w:tc>
          <w:tcPr>
            <w:tcW w:w="297" w:type="pct"/>
          </w:tcPr>
          <w:p w:rsidR="005600BB" w:rsidRPr="00E106BD" w:rsidRDefault="005600BB" w:rsidP="009D2528">
            <w:pPr>
              <w:rPr>
                <w:rFonts w:ascii="Arial" w:hAnsi="Arial" w:cs="Arial"/>
                <w:sz w:val="16"/>
                <w:szCs w:val="16"/>
              </w:rPr>
            </w:pPr>
            <w:r w:rsidRPr="00E106BD">
              <w:rPr>
                <w:rFonts w:ascii="Arial" w:hAnsi="Arial" w:cs="Arial"/>
                <w:sz w:val="16"/>
                <w:szCs w:val="16"/>
              </w:rPr>
              <w:t>11</w:t>
            </w:r>
          </w:p>
        </w:tc>
        <w:tc>
          <w:tcPr>
            <w:tcW w:w="313" w:type="pct"/>
          </w:tcPr>
          <w:p w:rsidR="005600BB" w:rsidRPr="00E106BD" w:rsidRDefault="005600BB" w:rsidP="009D2528">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Peginterferon alfa</w:t>
            </w:r>
            <w:r>
              <w:rPr>
                <w:rFonts w:ascii="Arial" w:hAnsi="Arial" w:cs="Arial"/>
                <w:sz w:val="16"/>
                <w:szCs w:val="16"/>
              </w:rPr>
              <w:noBreakHyphen/>
            </w:r>
            <w:r w:rsidRPr="00E106BD">
              <w:rPr>
                <w:rFonts w:ascii="Arial" w:hAnsi="Arial" w:cs="Arial"/>
                <w:sz w:val="16"/>
                <w:szCs w:val="16"/>
              </w:rPr>
              <w:t>2a</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Injection 135 micrograms in 0.5 mL single use pre</w:t>
            </w:r>
            <w:r>
              <w:rPr>
                <w:rFonts w:ascii="Arial" w:hAnsi="Arial" w:cs="Arial"/>
                <w:sz w:val="16"/>
                <w:szCs w:val="16"/>
              </w:rPr>
              <w:noBreakHyphen/>
            </w:r>
            <w:r w:rsidRPr="00E106BD">
              <w:rPr>
                <w:rFonts w:ascii="Arial" w:hAnsi="Arial" w:cs="Arial"/>
                <w:sz w:val="16"/>
                <w:szCs w:val="16"/>
              </w:rPr>
              <w:t>filled syringe</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Pegasys</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RO</w:t>
            </w:r>
          </w:p>
        </w:tc>
        <w:tc>
          <w:tcPr>
            <w:tcW w:w="477" w:type="pct"/>
          </w:tcPr>
          <w:p w:rsidR="005600BB" w:rsidRPr="00E106BD" w:rsidRDefault="005600BB">
            <w:pPr>
              <w:rPr>
                <w:rFonts w:ascii="Arial" w:hAnsi="Arial" w:cs="Arial"/>
                <w:sz w:val="16"/>
                <w:szCs w:val="16"/>
              </w:rPr>
            </w:pPr>
            <w:r w:rsidRPr="00E106BD">
              <w:rPr>
                <w:rFonts w:ascii="Arial" w:hAnsi="Arial" w:cs="Arial"/>
                <w:sz w:val="16"/>
                <w:szCs w:val="16"/>
              </w:rPr>
              <w:t>C5004 C9603</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8</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EA7022">
            <w:pPr>
              <w:rPr>
                <w:rFonts w:ascii="Arial" w:hAnsi="Arial" w:cs="Arial"/>
                <w:sz w:val="16"/>
                <w:szCs w:val="16"/>
              </w:rPr>
            </w:pPr>
          </w:p>
        </w:tc>
        <w:tc>
          <w:tcPr>
            <w:tcW w:w="943" w:type="pct"/>
          </w:tcPr>
          <w:p w:rsidR="005600BB" w:rsidRPr="00E106BD" w:rsidRDefault="005600BB" w:rsidP="00A34E33">
            <w:pPr>
              <w:keepNext/>
              <w:rPr>
                <w:rFonts w:ascii="Arial" w:hAnsi="Arial" w:cs="Arial"/>
                <w:sz w:val="16"/>
                <w:szCs w:val="16"/>
              </w:rPr>
            </w:pPr>
            <w:r w:rsidRPr="00E106BD">
              <w:rPr>
                <w:rFonts w:ascii="Arial" w:hAnsi="Arial" w:cs="Arial"/>
                <w:sz w:val="16"/>
                <w:szCs w:val="16"/>
              </w:rPr>
              <w:t>Injection 180 micrograms in 0.5 mL single use pre</w:t>
            </w:r>
            <w:r>
              <w:rPr>
                <w:rFonts w:ascii="Arial" w:hAnsi="Arial" w:cs="Arial"/>
                <w:sz w:val="16"/>
                <w:szCs w:val="16"/>
              </w:rPr>
              <w:noBreakHyphen/>
            </w:r>
            <w:r w:rsidRPr="00E106BD">
              <w:rPr>
                <w:rFonts w:ascii="Arial" w:hAnsi="Arial" w:cs="Arial"/>
                <w:sz w:val="16"/>
                <w:szCs w:val="16"/>
              </w:rPr>
              <w:t>filled syringe</w:t>
            </w:r>
          </w:p>
        </w:tc>
        <w:tc>
          <w:tcPr>
            <w:tcW w:w="365" w:type="pct"/>
          </w:tcPr>
          <w:p w:rsidR="005600BB" w:rsidRPr="00E106BD" w:rsidRDefault="005600BB" w:rsidP="00A34E33">
            <w:pPr>
              <w:keepNext/>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A34E33">
            <w:pPr>
              <w:keepNext/>
              <w:rPr>
                <w:rFonts w:ascii="Arial" w:hAnsi="Arial" w:cs="Arial"/>
                <w:sz w:val="16"/>
                <w:szCs w:val="16"/>
              </w:rPr>
            </w:pPr>
            <w:r w:rsidRPr="00E106BD">
              <w:rPr>
                <w:rFonts w:ascii="Arial" w:hAnsi="Arial" w:cs="Arial"/>
                <w:sz w:val="16"/>
                <w:szCs w:val="16"/>
              </w:rPr>
              <w:t>Pegasys</w:t>
            </w:r>
          </w:p>
        </w:tc>
        <w:tc>
          <w:tcPr>
            <w:tcW w:w="220" w:type="pct"/>
          </w:tcPr>
          <w:p w:rsidR="005600BB" w:rsidRPr="00E106BD" w:rsidRDefault="005600BB" w:rsidP="00A34E33">
            <w:pPr>
              <w:keepNext/>
              <w:rPr>
                <w:rFonts w:ascii="Arial" w:hAnsi="Arial" w:cs="Arial"/>
                <w:sz w:val="16"/>
                <w:szCs w:val="16"/>
              </w:rPr>
            </w:pPr>
            <w:r w:rsidRPr="00E106BD">
              <w:rPr>
                <w:rFonts w:ascii="Arial" w:hAnsi="Arial" w:cs="Arial"/>
                <w:sz w:val="16"/>
                <w:szCs w:val="16"/>
              </w:rPr>
              <w:t>RO</w:t>
            </w:r>
          </w:p>
        </w:tc>
        <w:tc>
          <w:tcPr>
            <w:tcW w:w="477" w:type="pct"/>
          </w:tcPr>
          <w:p w:rsidR="005600BB" w:rsidRPr="00E106BD" w:rsidRDefault="005600BB">
            <w:pPr>
              <w:keepNext/>
              <w:rPr>
                <w:rFonts w:ascii="Arial" w:hAnsi="Arial" w:cs="Arial"/>
                <w:sz w:val="16"/>
                <w:szCs w:val="16"/>
              </w:rPr>
            </w:pPr>
            <w:r w:rsidRPr="00E106BD">
              <w:rPr>
                <w:rFonts w:ascii="Arial" w:hAnsi="Arial" w:cs="Arial"/>
                <w:sz w:val="16"/>
                <w:szCs w:val="16"/>
              </w:rPr>
              <w:t>C5004 C9603</w:t>
            </w:r>
          </w:p>
        </w:tc>
        <w:tc>
          <w:tcPr>
            <w:tcW w:w="424" w:type="pct"/>
          </w:tcPr>
          <w:p w:rsidR="005600BB" w:rsidRPr="00E106BD" w:rsidRDefault="005600BB" w:rsidP="00A34E33">
            <w:pPr>
              <w:keepNext/>
              <w:rPr>
                <w:rFonts w:ascii="Arial" w:hAnsi="Arial" w:cs="Arial"/>
                <w:sz w:val="16"/>
                <w:szCs w:val="16"/>
              </w:rPr>
            </w:pPr>
          </w:p>
        </w:tc>
        <w:tc>
          <w:tcPr>
            <w:tcW w:w="344" w:type="pct"/>
          </w:tcPr>
          <w:p w:rsidR="005600BB" w:rsidRPr="00E106BD" w:rsidRDefault="005600BB" w:rsidP="00A34E33">
            <w:pPr>
              <w:keepNext/>
              <w:rPr>
                <w:rFonts w:ascii="Arial" w:hAnsi="Arial" w:cs="Arial"/>
                <w:sz w:val="16"/>
                <w:szCs w:val="16"/>
              </w:rPr>
            </w:pPr>
            <w:r w:rsidRPr="00E106BD">
              <w:rPr>
                <w:rFonts w:ascii="Arial" w:hAnsi="Arial" w:cs="Arial"/>
                <w:sz w:val="16"/>
                <w:szCs w:val="16"/>
              </w:rPr>
              <w:t>8</w:t>
            </w:r>
          </w:p>
        </w:tc>
        <w:tc>
          <w:tcPr>
            <w:tcW w:w="297" w:type="pct"/>
          </w:tcPr>
          <w:p w:rsidR="005600BB" w:rsidRPr="00E106BD" w:rsidRDefault="005600BB" w:rsidP="00A34E33">
            <w:pPr>
              <w:keepNext/>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A34E33">
            <w:pPr>
              <w:keepNext/>
              <w:rPr>
                <w:rFonts w:ascii="Arial" w:hAnsi="Arial" w:cs="Arial"/>
                <w:sz w:val="16"/>
                <w:szCs w:val="16"/>
              </w:rPr>
            </w:pPr>
            <w:r w:rsidRPr="00E106BD">
              <w:rPr>
                <w:rFonts w:ascii="Arial" w:hAnsi="Arial" w:cs="Arial"/>
                <w:sz w:val="16"/>
                <w:szCs w:val="16"/>
              </w:rPr>
              <w:t>C</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Pegvisomant</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Injection set containing powder for injection 10 mg, 30 and diluent, 30</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Somavert</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PF</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C7087 C9041</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133E98">
            <w:pPr>
              <w:rPr>
                <w:rFonts w:ascii="Arial" w:hAnsi="Arial" w:cs="Arial"/>
                <w:sz w:val="16"/>
                <w:szCs w:val="16"/>
              </w:rPr>
            </w:pPr>
            <w:r w:rsidRPr="00E106BD">
              <w:rPr>
                <w:rFonts w:ascii="Arial" w:hAnsi="Arial" w:cs="Arial"/>
                <w:sz w:val="16"/>
                <w:szCs w:val="16"/>
              </w:rPr>
              <w:t>Injection set containing powder for injection 15 mg, 30 and diluent, 30</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Somavert</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PF</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C7087 C9041</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Injection set containing powder for injection 20 mg, 1 and diluent, 1</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Somavert</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PF</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C9041</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Injection set containing powder for injection 20 mg, 30 and diluent, 30</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Somavert</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PF</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C7087 C9041</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pPr>
              <w:rPr>
                <w:rFonts w:ascii="Arial" w:hAnsi="Arial" w:cs="Arial"/>
                <w:sz w:val="16"/>
                <w:szCs w:val="16"/>
              </w:rPr>
            </w:pPr>
            <w:r w:rsidRPr="00E106BD">
              <w:rPr>
                <w:rFonts w:ascii="Arial" w:hAnsi="Arial" w:cs="Arial"/>
                <w:sz w:val="16"/>
                <w:szCs w:val="16"/>
              </w:rPr>
              <w:t>Plerixafor</w:t>
            </w:r>
          </w:p>
        </w:tc>
        <w:tc>
          <w:tcPr>
            <w:tcW w:w="943" w:type="pct"/>
          </w:tcPr>
          <w:p w:rsidR="005600BB" w:rsidRPr="00E106BD" w:rsidRDefault="005600BB">
            <w:pPr>
              <w:rPr>
                <w:rFonts w:ascii="Arial" w:hAnsi="Arial" w:cs="Arial"/>
                <w:sz w:val="16"/>
                <w:szCs w:val="16"/>
              </w:rPr>
            </w:pPr>
            <w:r w:rsidRPr="00E106BD">
              <w:rPr>
                <w:rFonts w:ascii="Arial" w:hAnsi="Arial" w:cs="Arial"/>
                <w:sz w:val="16"/>
                <w:szCs w:val="16"/>
              </w:rPr>
              <w:t>Injection 24 mg in 1.2 mL</w:t>
            </w:r>
          </w:p>
        </w:tc>
        <w:tc>
          <w:tcPr>
            <w:tcW w:w="365" w:type="pct"/>
          </w:tcPr>
          <w:p w:rsidR="005600BB" w:rsidRPr="00E106BD" w:rsidRDefault="005600BB">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pPr>
              <w:rPr>
                <w:rFonts w:ascii="Arial" w:hAnsi="Arial" w:cs="Arial"/>
                <w:sz w:val="16"/>
                <w:szCs w:val="16"/>
              </w:rPr>
            </w:pPr>
            <w:r w:rsidRPr="00E106BD">
              <w:rPr>
                <w:rFonts w:ascii="Arial" w:hAnsi="Arial" w:cs="Arial"/>
                <w:sz w:val="16"/>
                <w:szCs w:val="16"/>
              </w:rPr>
              <w:t>Mozobil</w:t>
            </w:r>
          </w:p>
        </w:tc>
        <w:tc>
          <w:tcPr>
            <w:tcW w:w="220" w:type="pct"/>
          </w:tcPr>
          <w:p w:rsidR="005600BB" w:rsidRPr="00E106BD" w:rsidRDefault="005600BB">
            <w:pPr>
              <w:rPr>
                <w:rFonts w:ascii="Arial" w:hAnsi="Arial" w:cs="Arial"/>
                <w:sz w:val="16"/>
                <w:szCs w:val="16"/>
              </w:rPr>
            </w:pPr>
            <w:r w:rsidRPr="00E106BD">
              <w:rPr>
                <w:rFonts w:ascii="Arial" w:hAnsi="Arial" w:cs="Arial"/>
                <w:sz w:val="16"/>
                <w:szCs w:val="16"/>
              </w:rPr>
              <w:t>GZ</w:t>
            </w:r>
          </w:p>
        </w:tc>
        <w:tc>
          <w:tcPr>
            <w:tcW w:w="477" w:type="pct"/>
          </w:tcPr>
          <w:p w:rsidR="005600BB" w:rsidRPr="00E106BD" w:rsidRDefault="005600BB">
            <w:pPr>
              <w:rPr>
                <w:rFonts w:ascii="Arial" w:hAnsi="Arial" w:cs="Arial"/>
                <w:sz w:val="16"/>
                <w:szCs w:val="16"/>
              </w:rPr>
            </w:pPr>
            <w:r w:rsidRPr="00E106BD">
              <w:rPr>
                <w:rFonts w:ascii="Arial" w:hAnsi="Arial" w:cs="Arial"/>
                <w:sz w:val="16"/>
                <w:szCs w:val="16"/>
              </w:rPr>
              <w:t>C4549 C9329</w:t>
            </w:r>
          </w:p>
        </w:tc>
        <w:tc>
          <w:tcPr>
            <w:tcW w:w="424" w:type="pct"/>
          </w:tcPr>
          <w:p w:rsidR="005600BB" w:rsidRPr="00E106BD" w:rsidRDefault="005600BB">
            <w:pPr>
              <w:rPr>
                <w:rFonts w:ascii="Arial" w:hAnsi="Arial" w:cs="Arial"/>
                <w:sz w:val="16"/>
                <w:szCs w:val="16"/>
              </w:rPr>
            </w:pPr>
          </w:p>
        </w:tc>
        <w:tc>
          <w:tcPr>
            <w:tcW w:w="344" w:type="pct"/>
          </w:tcPr>
          <w:p w:rsidR="005600BB" w:rsidRPr="00E106BD" w:rsidRDefault="005600BB">
            <w:pPr>
              <w:rPr>
                <w:rFonts w:ascii="Arial" w:hAnsi="Arial" w:cs="Arial"/>
                <w:sz w:val="16"/>
                <w:szCs w:val="16"/>
              </w:rPr>
            </w:pPr>
            <w:r w:rsidRPr="00E106BD">
              <w:rPr>
                <w:rFonts w:ascii="Arial" w:hAnsi="Arial" w:cs="Arial"/>
                <w:sz w:val="16"/>
                <w:szCs w:val="16"/>
              </w:rPr>
              <w:t>1</w:t>
            </w:r>
          </w:p>
        </w:tc>
        <w:tc>
          <w:tcPr>
            <w:tcW w:w="297" w:type="pct"/>
          </w:tcPr>
          <w:p w:rsidR="005600BB" w:rsidRPr="00E106BD" w:rsidRDefault="005600BB">
            <w:pPr>
              <w:rPr>
                <w:rFonts w:ascii="Arial" w:hAnsi="Arial" w:cs="Arial"/>
                <w:sz w:val="16"/>
                <w:szCs w:val="16"/>
              </w:rPr>
            </w:pPr>
            <w:r w:rsidRPr="00E106BD">
              <w:rPr>
                <w:rFonts w:ascii="Arial" w:hAnsi="Arial" w:cs="Arial"/>
                <w:sz w:val="16"/>
                <w:szCs w:val="16"/>
              </w:rPr>
              <w:t>1</w:t>
            </w:r>
          </w:p>
        </w:tc>
        <w:tc>
          <w:tcPr>
            <w:tcW w:w="313" w:type="pct"/>
          </w:tcPr>
          <w:p w:rsidR="005600BB" w:rsidRPr="00E106BD" w:rsidRDefault="005600BB">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pPr>
              <w:rPr>
                <w:rFonts w:ascii="Arial" w:hAnsi="Arial" w:cs="Arial"/>
                <w:sz w:val="16"/>
                <w:szCs w:val="16"/>
              </w:rPr>
            </w:pPr>
            <w:r w:rsidRPr="00E106BD">
              <w:rPr>
                <w:rFonts w:ascii="Arial" w:hAnsi="Arial" w:cs="Arial"/>
                <w:sz w:val="16"/>
                <w:szCs w:val="16"/>
              </w:rPr>
              <w:t>Pomalidomide</w:t>
            </w:r>
          </w:p>
        </w:tc>
        <w:tc>
          <w:tcPr>
            <w:tcW w:w="943" w:type="pct"/>
          </w:tcPr>
          <w:p w:rsidR="005600BB" w:rsidRPr="00E106BD" w:rsidRDefault="005600BB">
            <w:pPr>
              <w:rPr>
                <w:rFonts w:ascii="Arial" w:hAnsi="Arial" w:cs="Arial"/>
                <w:sz w:val="16"/>
                <w:szCs w:val="16"/>
              </w:rPr>
            </w:pPr>
            <w:r w:rsidRPr="00E106BD">
              <w:rPr>
                <w:rFonts w:ascii="Arial" w:hAnsi="Arial" w:cs="Arial"/>
                <w:sz w:val="16"/>
                <w:szCs w:val="16"/>
              </w:rPr>
              <w:t>Capsule 3 mg</w:t>
            </w:r>
          </w:p>
        </w:tc>
        <w:tc>
          <w:tcPr>
            <w:tcW w:w="365" w:type="pct"/>
          </w:tcPr>
          <w:p w:rsidR="005600BB" w:rsidRPr="00E106BD" w:rsidRDefault="005600BB">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pPr>
              <w:rPr>
                <w:rFonts w:ascii="Arial" w:hAnsi="Arial" w:cs="Arial"/>
                <w:sz w:val="16"/>
                <w:szCs w:val="16"/>
              </w:rPr>
            </w:pPr>
            <w:r w:rsidRPr="00E106BD">
              <w:rPr>
                <w:rFonts w:ascii="Arial" w:hAnsi="Arial" w:cs="Arial"/>
                <w:sz w:val="16"/>
                <w:szCs w:val="16"/>
              </w:rPr>
              <w:t>Pomalyst</w:t>
            </w:r>
          </w:p>
        </w:tc>
        <w:tc>
          <w:tcPr>
            <w:tcW w:w="220" w:type="pct"/>
          </w:tcPr>
          <w:p w:rsidR="005600BB" w:rsidRPr="00E106BD" w:rsidRDefault="005600BB">
            <w:pPr>
              <w:rPr>
                <w:rFonts w:ascii="Arial" w:hAnsi="Arial" w:cs="Arial"/>
                <w:sz w:val="16"/>
                <w:szCs w:val="16"/>
              </w:rPr>
            </w:pPr>
            <w:r w:rsidRPr="00E106BD">
              <w:rPr>
                <w:rFonts w:ascii="Arial" w:hAnsi="Arial" w:cs="Arial"/>
                <w:sz w:val="16"/>
                <w:szCs w:val="16"/>
              </w:rPr>
              <w:t>CJ</w:t>
            </w:r>
          </w:p>
        </w:tc>
        <w:tc>
          <w:tcPr>
            <w:tcW w:w="477" w:type="pct"/>
          </w:tcPr>
          <w:p w:rsidR="005600BB" w:rsidRPr="00E106BD" w:rsidRDefault="005600BB">
            <w:pPr>
              <w:rPr>
                <w:rFonts w:ascii="Arial" w:hAnsi="Arial" w:cs="Arial"/>
                <w:sz w:val="16"/>
                <w:szCs w:val="16"/>
              </w:rPr>
            </w:pPr>
            <w:r w:rsidRPr="00E106BD">
              <w:rPr>
                <w:rFonts w:ascii="Arial" w:hAnsi="Arial" w:cs="Arial"/>
                <w:sz w:val="16"/>
                <w:szCs w:val="16"/>
              </w:rPr>
              <w:t>C7791 C7952</w:t>
            </w:r>
          </w:p>
        </w:tc>
        <w:tc>
          <w:tcPr>
            <w:tcW w:w="424" w:type="pct"/>
          </w:tcPr>
          <w:p w:rsidR="005600BB" w:rsidRPr="00E106BD" w:rsidRDefault="005600BB">
            <w:pPr>
              <w:rPr>
                <w:rFonts w:ascii="Arial" w:hAnsi="Arial" w:cs="Arial"/>
                <w:sz w:val="16"/>
                <w:szCs w:val="16"/>
              </w:rPr>
            </w:pPr>
          </w:p>
        </w:tc>
        <w:tc>
          <w:tcPr>
            <w:tcW w:w="344" w:type="pct"/>
          </w:tcPr>
          <w:p w:rsidR="005600BB" w:rsidRPr="00E106BD" w:rsidRDefault="005600BB">
            <w:pPr>
              <w:rPr>
                <w:rFonts w:ascii="Arial" w:hAnsi="Arial" w:cs="Arial"/>
                <w:sz w:val="16"/>
                <w:szCs w:val="16"/>
              </w:rPr>
            </w:pPr>
            <w:r w:rsidRPr="00E106BD">
              <w:rPr>
                <w:rFonts w:ascii="Arial" w:hAnsi="Arial" w:cs="Arial"/>
                <w:sz w:val="16"/>
                <w:szCs w:val="16"/>
              </w:rPr>
              <w:t>21</w:t>
            </w:r>
          </w:p>
        </w:tc>
        <w:tc>
          <w:tcPr>
            <w:tcW w:w="297" w:type="pct"/>
          </w:tcPr>
          <w:p w:rsidR="005600BB" w:rsidRPr="00E106BD" w:rsidRDefault="005600BB">
            <w:pPr>
              <w:rPr>
                <w:rFonts w:ascii="Arial" w:hAnsi="Arial" w:cs="Arial"/>
                <w:sz w:val="16"/>
                <w:szCs w:val="16"/>
              </w:rPr>
            </w:pPr>
            <w:r w:rsidRPr="00E106BD">
              <w:rPr>
                <w:rFonts w:ascii="Arial" w:hAnsi="Arial" w:cs="Arial"/>
                <w:sz w:val="16"/>
                <w:szCs w:val="16"/>
              </w:rPr>
              <w:t>0</w:t>
            </w:r>
          </w:p>
        </w:tc>
        <w:tc>
          <w:tcPr>
            <w:tcW w:w="313" w:type="pct"/>
          </w:tcPr>
          <w:p w:rsidR="005600BB" w:rsidRPr="00E106BD" w:rsidRDefault="005600BB">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pPr>
              <w:rPr>
                <w:rFonts w:ascii="Arial" w:hAnsi="Arial" w:cs="Arial"/>
                <w:sz w:val="16"/>
                <w:szCs w:val="16"/>
              </w:rPr>
            </w:pPr>
          </w:p>
        </w:tc>
        <w:tc>
          <w:tcPr>
            <w:tcW w:w="943" w:type="pct"/>
          </w:tcPr>
          <w:p w:rsidR="005600BB" w:rsidRPr="00E106BD" w:rsidRDefault="005600BB">
            <w:pPr>
              <w:rPr>
                <w:rFonts w:ascii="Arial" w:hAnsi="Arial" w:cs="Arial"/>
                <w:sz w:val="16"/>
                <w:szCs w:val="16"/>
              </w:rPr>
            </w:pPr>
            <w:r w:rsidRPr="00E106BD">
              <w:rPr>
                <w:rFonts w:ascii="Arial" w:hAnsi="Arial" w:cs="Arial"/>
                <w:sz w:val="16"/>
                <w:szCs w:val="16"/>
              </w:rPr>
              <w:t>Capsule 4 mg</w:t>
            </w:r>
          </w:p>
        </w:tc>
        <w:tc>
          <w:tcPr>
            <w:tcW w:w="365" w:type="pct"/>
          </w:tcPr>
          <w:p w:rsidR="005600BB" w:rsidRPr="00E106BD" w:rsidRDefault="005600BB">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pPr>
              <w:rPr>
                <w:rFonts w:ascii="Arial" w:hAnsi="Arial" w:cs="Arial"/>
                <w:sz w:val="16"/>
                <w:szCs w:val="16"/>
              </w:rPr>
            </w:pPr>
            <w:r w:rsidRPr="00E106BD">
              <w:rPr>
                <w:rFonts w:ascii="Arial" w:hAnsi="Arial" w:cs="Arial"/>
                <w:sz w:val="16"/>
                <w:szCs w:val="16"/>
              </w:rPr>
              <w:t>Pomalyst</w:t>
            </w:r>
          </w:p>
        </w:tc>
        <w:tc>
          <w:tcPr>
            <w:tcW w:w="220" w:type="pct"/>
          </w:tcPr>
          <w:p w:rsidR="005600BB" w:rsidRPr="00E106BD" w:rsidRDefault="005600BB">
            <w:pPr>
              <w:rPr>
                <w:rFonts w:ascii="Arial" w:hAnsi="Arial" w:cs="Arial"/>
                <w:sz w:val="16"/>
                <w:szCs w:val="16"/>
              </w:rPr>
            </w:pPr>
            <w:r w:rsidRPr="00E106BD">
              <w:rPr>
                <w:rFonts w:ascii="Arial" w:hAnsi="Arial" w:cs="Arial"/>
                <w:sz w:val="16"/>
                <w:szCs w:val="16"/>
              </w:rPr>
              <w:t>CJ</w:t>
            </w:r>
          </w:p>
        </w:tc>
        <w:tc>
          <w:tcPr>
            <w:tcW w:w="477" w:type="pct"/>
          </w:tcPr>
          <w:p w:rsidR="005600BB" w:rsidRPr="00E106BD" w:rsidRDefault="005600BB">
            <w:pPr>
              <w:rPr>
                <w:rFonts w:ascii="Arial" w:hAnsi="Arial" w:cs="Arial"/>
                <w:sz w:val="16"/>
                <w:szCs w:val="16"/>
              </w:rPr>
            </w:pPr>
            <w:r w:rsidRPr="00E106BD">
              <w:rPr>
                <w:rFonts w:ascii="Arial" w:hAnsi="Arial" w:cs="Arial"/>
                <w:sz w:val="16"/>
                <w:szCs w:val="16"/>
              </w:rPr>
              <w:t>C7791 C7952</w:t>
            </w:r>
          </w:p>
        </w:tc>
        <w:tc>
          <w:tcPr>
            <w:tcW w:w="424" w:type="pct"/>
          </w:tcPr>
          <w:p w:rsidR="005600BB" w:rsidRPr="00E106BD" w:rsidRDefault="005600BB">
            <w:pPr>
              <w:rPr>
                <w:rFonts w:ascii="Arial" w:hAnsi="Arial" w:cs="Arial"/>
                <w:sz w:val="16"/>
                <w:szCs w:val="16"/>
              </w:rPr>
            </w:pPr>
          </w:p>
        </w:tc>
        <w:tc>
          <w:tcPr>
            <w:tcW w:w="344" w:type="pct"/>
          </w:tcPr>
          <w:p w:rsidR="005600BB" w:rsidRPr="00E106BD" w:rsidRDefault="005600BB">
            <w:pPr>
              <w:rPr>
                <w:rFonts w:ascii="Arial" w:hAnsi="Arial" w:cs="Arial"/>
                <w:sz w:val="16"/>
                <w:szCs w:val="16"/>
              </w:rPr>
            </w:pPr>
            <w:r w:rsidRPr="00E106BD">
              <w:rPr>
                <w:rFonts w:ascii="Arial" w:hAnsi="Arial" w:cs="Arial"/>
                <w:sz w:val="16"/>
                <w:szCs w:val="16"/>
              </w:rPr>
              <w:t>21</w:t>
            </w:r>
          </w:p>
        </w:tc>
        <w:tc>
          <w:tcPr>
            <w:tcW w:w="297" w:type="pct"/>
          </w:tcPr>
          <w:p w:rsidR="005600BB" w:rsidRPr="00E106BD" w:rsidRDefault="005600BB">
            <w:pPr>
              <w:rPr>
                <w:rFonts w:ascii="Arial" w:hAnsi="Arial" w:cs="Arial"/>
                <w:sz w:val="16"/>
                <w:szCs w:val="16"/>
              </w:rPr>
            </w:pPr>
            <w:r w:rsidRPr="00E106BD">
              <w:rPr>
                <w:rFonts w:ascii="Arial" w:hAnsi="Arial" w:cs="Arial"/>
                <w:sz w:val="16"/>
                <w:szCs w:val="16"/>
              </w:rPr>
              <w:t>0</w:t>
            </w:r>
          </w:p>
        </w:tc>
        <w:tc>
          <w:tcPr>
            <w:tcW w:w="313" w:type="pct"/>
          </w:tcPr>
          <w:p w:rsidR="005600BB" w:rsidRPr="00E106BD" w:rsidRDefault="005600BB">
            <w:pPr>
              <w:rPr>
                <w:rFonts w:ascii="Arial" w:hAnsi="Arial" w:cs="Arial"/>
                <w:sz w:val="16"/>
                <w:szCs w:val="16"/>
              </w:rPr>
            </w:pPr>
            <w:r w:rsidRPr="00E106BD">
              <w:rPr>
                <w:rFonts w:ascii="Arial" w:hAnsi="Arial" w:cs="Arial"/>
                <w:sz w:val="16"/>
                <w:szCs w:val="16"/>
              </w:rPr>
              <w:t>D</w:t>
            </w:r>
          </w:p>
        </w:tc>
      </w:tr>
      <w:tr w:rsidR="005600BB" w:rsidRPr="00E106BD" w:rsidDel="008E5759" w:rsidTr="00802FC7">
        <w:tblPrEx>
          <w:tblBorders>
            <w:top w:val="single" w:sz="4" w:space="0" w:color="auto"/>
          </w:tblBorders>
        </w:tblPrEx>
        <w:trPr>
          <w:cantSplit/>
          <w:tblCellSpacing w:w="22" w:type="dxa"/>
        </w:trPr>
        <w:tc>
          <w:tcPr>
            <w:tcW w:w="1050"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Raltegravir</w:t>
            </w:r>
          </w:p>
        </w:tc>
        <w:tc>
          <w:tcPr>
            <w:tcW w:w="943"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Tablet 25 mg (as potassium)</w:t>
            </w:r>
          </w:p>
        </w:tc>
        <w:tc>
          <w:tcPr>
            <w:tcW w:w="365"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Isentress</w:t>
            </w:r>
          </w:p>
        </w:tc>
        <w:tc>
          <w:tcPr>
            <w:tcW w:w="220"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MK</w:t>
            </w:r>
          </w:p>
        </w:tc>
        <w:tc>
          <w:tcPr>
            <w:tcW w:w="477"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 xml:space="preserve">C4274 C4275 </w:t>
            </w:r>
          </w:p>
        </w:tc>
        <w:tc>
          <w:tcPr>
            <w:tcW w:w="424" w:type="pct"/>
          </w:tcPr>
          <w:p w:rsidR="005600BB" w:rsidRPr="00E106BD" w:rsidDel="008E5759" w:rsidRDefault="005600BB" w:rsidP="00AF6118">
            <w:pPr>
              <w:rPr>
                <w:rFonts w:ascii="Arial" w:hAnsi="Arial" w:cs="Arial"/>
                <w:sz w:val="16"/>
                <w:szCs w:val="16"/>
              </w:rPr>
            </w:pPr>
          </w:p>
        </w:tc>
        <w:tc>
          <w:tcPr>
            <w:tcW w:w="344"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360</w:t>
            </w:r>
          </w:p>
        </w:tc>
        <w:tc>
          <w:tcPr>
            <w:tcW w:w="297"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5</w:t>
            </w:r>
          </w:p>
        </w:tc>
        <w:tc>
          <w:tcPr>
            <w:tcW w:w="313"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D</w:t>
            </w:r>
          </w:p>
        </w:tc>
      </w:tr>
      <w:tr w:rsidR="005600BB" w:rsidRPr="00E106BD" w:rsidDel="008E5759" w:rsidTr="00802FC7">
        <w:tblPrEx>
          <w:tblBorders>
            <w:top w:val="single" w:sz="4" w:space="0" w:color="auto"/>
          </w:tblBorders>
        </w:tblPrEx>
        <w:trPr>
          <w:cantSplit/>
          <w:tblCellSpacing w:w="22" w:type="dxa"/>
        </w:trPr>
        <w:tc>
          <w:tcPr>
            <w:tcW w:w="1050" w:type="pct"/>
          </w:tcPr>
          <w:p w:rsidR="005600BB" w:rsidRPr="00E106BD" w:rsidDel="008E5759" w:rsidRDefault="005600BB" w:rsidP="00AF6118">
            <w:pPr>
              <w:rPr>
                <w:rFonts w:ascii="Arial" w:hAnsi="Arial" w:cs="Arial"/>
                <w:sz w:val="16"/>
                <w:szCs w:val="16"/>
              </w:rPr>
            </w:pPr>
          </w:p>
        </w:tc>
        <w:tc>
          <w:tcPr>
            <w:tcW w:w="943"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Tablet 100 mg (as potassium)</w:t>
            </w:r>
          </w:p>
        </w:tc>
        <w:tc>
          <w:tcPr>
            <w:tcW w:w="365"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Isentress</w:t>
            </w:r>
          </w:p>
        </w:tc>
        <w:tc>
          <w:tcPr>
            <w:tcW w:w="220"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MK</w:t>
            </w:r>
          </w:p>
        </w:tc>
        <w:tc>
          <w:tcPr>
            <w:tcW w:w="477"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 xml:space="preserve">C4274 C4275 </w:t>
            </w:r>
          </w:p>
        </w:tc>
        <w:tc>
          <w:tcPr>
            <w:tcW w:w="424" w:type="pct"/>
          </w:tcPr>
          <w:p w:rsidR="005600BB" w:rsidRPr="00E106BD" w:rsidDel="008E5759" w:rsidRDefault="005600BB" w:rsidP="00AF6118">
            <w:pPr>
              <w:rPr>
                <w:rFonts w:ascii="Arial" w:hAnsi="Arial" w:cs="Arial"/>
                <w:sz w:val="16"/>
                <w:szCs w:val="16"/>
              </w:rPr>
            </w:pPr>
          </w:p>
        </w:tc>
        <w:tc>
          <w:tcPr>
            <w:tcW w:w="344"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360</w:t>
            </w:r>
          </w:p>
        </w:tc>
        <w:tc>
          <w:tcPr>
            <w:tcW w:w="297"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5</w:t>
            </w:r>
          </w:p>
        </w:tc>
        <w:tc>
          <w:tcPr>
            <w:tcW w:w="313"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D</w:t>
            </w:r>
          </w:p>
        </w:tc>
      </w:tr>
      <w:tr w:rsidR="005600BB" w:rsidRPr="00E106BD" w:rsidDel="008E5759" w:rsidTr="00802FC7">
        <w:tblPrEx>
          <w:tblBorders>
            <w:top w:val="single" w:sz="4" w:space="0" w:color="auto"/>
          </w:tblBorders>
        </w:tblPrEx>
        <w:trPr>
          <w:cantSplit/>
          <w:tblCellSpacing w:w="22" w:type="dxa"/>
        </w:trPr>
        <w:tc>
          <w:tcPr>
            <w:tcW w:w="1050" w:type="pct"/>
          </w:tcPr>
          <w:p w:rsidR="005600BB" w:rsidRPr="00E106BD" w:rsidDel="008E5759" w:rsidRDefault="005600BB" w:rsidP="00AF6118">
            <w:pPr>
              <w:rPr>
                <w:rFonts w:ascii="Arial" w:hAnsi="Arial" w:cs="Arial"/>
                <w:sz w:val="16"/>
                <w:szCs w:val="16"/>
              </w:rPr>
            </w:pPr>
          </w:p>
        </w:tc>
        <w:tc>
          <w:tcPr>
            <w:tcW w:w="943"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Tablet 400 mg (as potassium)</w:t>
            </w:r>
          </w:p>
        </w:tc>
        <w:tc>
          <w:tcPr>
            <w:tcW w:w="365"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Isentress</w:t>
            </w:r>
          </w:p>
        </w:tc>
        <w:tc>
          <w:tcPr>
            <w:tcW w:w="220"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MK</w:t>
            </w:r>
          </w:p>
        </w:tc>
        <w:tc>
          <w:tcPr>
            <w:tcW w:w="477"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C4454 C4512</w:t>
            </w:r>
          </w:p>
        </w:tc>
        <w:tc>
          <w:tcPr>
            <w:tcW w:w="424" w:type="pct"/>
          </w:tcPr>
          <w:p w:rsidR="005600BB" w:rsidRPr="00E106BD" w:rsidDel="008E5759" w:rsidRDefault="005600BB" w:rsidP="00AF6118">
            <w:pPr>
              <w:rPr>
                <w:rFonts w:ascii="Arial" w:hAnsi="Arial" w:cs="Arial"/>
                <w:sz w:val="16"/>
                <w:szCs w:val="16"/>
              </w:rPr>
            </w:pPr>
          </w:p>
        </w:tc>
        <w:tc>
          <w:tcPr>
            <w:tcW w:w="344"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120</w:t>
            </w:r>
          </w:p>
        </w:tc>
        <w:tc>
          <w:tcPr>
            <w:tcW w:w="297"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5</w:t>
            </w:r>
          </w:p>
        </w:tc>
        <w:tc>
          <w:tcPr>
            <w:tcW w:w="313"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D</w:t>
            </w:r>
          </w:p>
        </w:tc>
      </w:tr>
      <w:tr w:rsidR="005600BB" w:rsidRPr="00E106BD" w:rsidDel="008E5759" w:rsidTr="00802FC7">
        <w:tblPrEx>
          <w:tblBorders>
            <w:top w:val="single" w:sz="4" w:space="0" w:color="auto"/>
          </w:tblBorders>
        </w:tblPrEx>
        <w:trPr>
          <w:cantSplit/>
          <w:tblCellSpacing w:w="22" w:type="dxa"/>
        </w:trPr>
        <w:tc>
          <w:tcPr>
            <w:tcW w:w="1050" w:type="pct"/>
          </w:tcPr>
          <w:p w:rsidR="005600BB" w:rsidRPr="00E106BD" w:rsidDel="008E5759" w:rsidRDefault="005600BB" w:rsidP="00AF6118">
            <w:pPr>
              <w:rPr>
                <w:rFonts w:ascii="Arial" w:hAnsi="Arial" w:cs="Arial"/>
                <w:sz w:val="16"/>
                <w:szCs w:val="16"/>
              </w:rPr>
            </w:pPr>
          </w:p>
        </w:tc>
        <w:tc>
          <w:tcPr>
            <w:tcW w:w="943" w:type="pct"/>
          </w:tcPr>
          <w:p w:rsidR="005600BB" w:rsidRPr="00E106BD" w:rsidRDefault="005600BB" w:rsidP="00AF6118">
            <w:pPr>
              <w:rPr>
                <w:rFonts w:ascii="Arial" w:hAnsi="Arial" w:cs="Arial"/>
                <w:sz w:val="16"/>
                <w:szCs w:val="16"/>
              </w:rPr>
            </w:pPr>
            <w:r w:rsidRPr="00E106BD">
              <w:rPr>
                <w:rFonts w:ascii="Arial" w:hAnsi="Arial" w:cs="Arial"/>
                <w:sz w:val="16"/>
                <w:szCs w:val="16"/>
              </w:rPr>
              <w:t>Tablet 600 mg (as potassium)</w:t>
            </w:r>
          </w:p>
        </w:tc>
        <w:tc>
          <w:tcPr>
            <w:tcW w:w="365" w:type="pct"/>
          </w:tcPr>
          <w:p w:rsidR="005600BB" w:rsidRPr="00E106BD" w:rsidRDefault="005600BB" w:rsidP="00AF6118">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AF6118">
            <w:pPr>
              <w:rPr>
                <w:rFonts w:ascii="Arial" w:hAnsi="Arial" w:cs="Arial"/>
                <w:sz w:val="16"/>
                <w:szCs w:val="16"/>
              </w:rPr>
            </w:pPr>
            <w:r w:rsidRPr="00E106BD">
              <w:rPr>
                <w:rFonts w:ascii="Arial" w:hAnsi="Arial" w:cs="Arial"/>
                <w:sz w:val="16"/>
                <w:szCs w:val="16"/>
              </w:rPr>
              <w:t>Isentress HD</w:t>
            </w:r>
          </w:p>
        </w:tc>
        <w:tc>
          <w:tcPr>
            <w:tcW w:w="220" w:type="pct"/>
          </w:tcPr>
          <w:p w:rsidR="005600BB" w:rsidRPr="00E106BD" w:rsidRDefault="005600BB" w:rsidP="00AF6118">
            <w:pPr>
              <w:rPr>
                <w:rFonts w:ascii="Arial" w:hAnsi="Arial" w:cs="Arial"/>
                <w:sz w:val="16"/>
                <w:szCs w:val="16"/>
              </w:rPr>
            </w:pPr>
            <w:r w:rsidRPr="00E106BD">
              <w:rPr>
                <w:rFonts w:ascii="Arial" w:hAnsi="Arial" w:cs="Arial"/>
                <w:sz w:val="16"/>
                <w:szCs w:val="16"/>
              </w:rPr>
              <w:t>MK</w:t>
            </w:r>
          </w:p>
        </w:tc>
        <w:tc>
          <w:tcPr>
            <w:tcW w:w="477" w:type="pct"/>
          </w:tcPr>
          <w:p w:rsidR="005600BB" w:rsidRPr="00E106BD" w:rsidRDefault="005600BB" w:rsidP="00AF6118">
            <w:pPr>
              <w:rPr>
                <w:rFonts w:ascii="Arial" w:hAnsi="Arial" w:cs="Arial"/>
                <w:sz w:val="16"/>
                <w:szCs w:val="16"/>
              </w:rPr>
            </w:pPr>
            <w:r w:rsidRPr="00E106BD">
              <w:rPr>
                <w:rFonts w:ascii="Arial" w:hAnsi="Arial" w:cs="Arial"/>
                <w:sz w:val="16"/>
                <w:szCs w:val="16"/>
              </w:rPr>
              <w:t>C4454 C4512</w:t>
            </w:r>
          </w:p>
        </w:tc>
        <w:tc>
          <w:tcPr>
            <w:tcW w:w="424" w:type="pct"/>
          </w:tcPr>
          <w:p w:rsidR="005600BB" w:rsidRPr="00E106BD" w:rsidDel="008E5759" w:rsidRDefault="005600BB" w:rsidP="00AF6118">
            <w:pPr>
              <w:rPr>
                <w:rFonts w:ascii="Arial" w:hAnsi="Arial" w:cs="Arial"/>
                <w:sz w:val="16"/>
                <w:szCs w:val="16"/>
              </w:rPr>
            </w:pPr>
          </w:p>
        </w:tc>
        <w:tc>
          <w:tcPr>
            <w:tcW w:w="344" w:type="pct"/>
          </w:tcPr>
          <w:p w:rsidR="005600BB" w:rsidRPr="00E106BD" w:rsidRDefault="005600BB" w:rsidP="00AF6118">
            <w:pPr>
              <w:rPr>
                <w:rFonts w:ascii="Arial" w:hAnsi="Arial" w:cs="Arial"/>
                <w:sz w:val="16"/>
                <w:szCs w:val="16"/>
              </w:rPr>
            </w:pPr>
            <w:r w:rsidRPr="00E106BD">
              <w:rPr>
                <w:rFonts w:ascii="Arial" w:hAnsi="Arial" w:cs="Arial"/>
                <w:sz w:val="16"/>
                <w:szCs w:val="16"/>
              </w:rPr>
              <w:t>120</w:t>
            </w:r>
          </w:p>
        </w:tc>
        <w:tc>
          <w:tcPr>
            <w:tcW w:w="297" w:type="pct"/>
          </w:tcPr>
          <w:p w:rsidR="005600BB" w:rsidRPr="00E106BD" w:rsidRDefault="005600BB" w:rsidP="00AF6118">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AF6118">
            <w:pPr>
              <w:rPr>
                <w:rFonts w:ascii="Arial" w:hAnsi="Arial" w:cs="Arial"/>
                <w:sz w:val="16"/>
                <w:szCs w:val="16"/>
              </w:rPr>
            </w:pPr>
            <w:r w:rsidRPr="00E106BD">
              <w:rPr>
                <w:rFonts w:ascii="Arial" w:hAnsi="Arial" w:cs="Arial"/>
                <w:sz w:val="16"/>
                <w:szCs w:val="16"/>
              </w:rPr>
              <w:t>D</w:t>
            </w:r>
          </w:p>
        </w:tc>
      </w:tr>
      <w:tr w:rsidR="005600BB" w:rsidRPr="00E106BD" w:rsidDel="008E5759" w:rsidTr="00802FC7">
        <w:tblPrEx>
          <w:tblBorders>
            <w:top w:val="single" w:sz="4" w:space="0" w:color="auto"/>
          </w:tblBorders>
        </w:tblPrEx>
        <w:trPr>
          <w:cantSplit/>
          <w:tblCellSpacing w:w="22" w:type="dxa"/>
        </w:trPr>
        <w:tc>
          <w:tcPr>
            <w:tcW w:w="1050" w:type="pct"/>
          </w:tcPr>
          <w:p w:rsidR="005600BB" w:rsidRPr="00E106BD" w:rsidDel="008E5759" w:rsidRDefault="005600BB" w:rsidP="00D46087">
            <w:pPr>
              <w:widowControl w:val="0"/>
              <w:rPr>
                <w:rFonts w:ascii="Arial" w:hAnsi="Arial" w:cs="Arial"/>
                <w:sz w:val="16"/>
                <w:szCs w:val="16"/>
              </w:rPr>
            </w:pPr>
            <w:r w:rsidRPr="00E106BD">
              <w:rPr>
                <w:rFonts w:ascii="Arial" w:hAnsi="Arial" w:cs="Arial"/>
                <w:sz w:val="16"/>
                <w:szCs w:val="16"/>
              </w:rPr>
              <w:t>Ribavirin</w:t>
            </w:r>
          </w:p>
        </w:tc>
        <w:tc>
          <w:tcPr>
            <w:tcW w:w="943"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Tablet 400 mg</w:t>
            </w:r>
          </w:p>
        </w:tc>
        <w:tc>
          <w:tcPr>
            <w:tcW w:w="365"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Ibavyr</w:t>
            </w:r>
          </w:p>
        </w:tc>
        <w:tc>
          <w:tcPr>
            <w:tcW w:w="220"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IX</w:t>
            </w:r>
          </w:p>
        </w:tc>
        <w:tc>
          <w:tcPr>
            <w:tcW w:w="477"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C5957 C5958</w:t>
            </w:r>
          </w:p>
        </w:tc>
        <w:tc>
          <w:tcPr>
            <w:tcW w:w="424"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P5957</w:t>
            </w:r>
          </w:p>
        </w:tc>
        <w:tc>
          <w:tcPr>
            <w:tcW w:w="344"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2</w:t>
            </w:r>
          </w:p>
        </w:tc>
        <w:tc>
          <w:tcPr>
            <w:tcW w:w="313" w:type="pct"/>
          </w:tcPr>
          <w:p w:rsidR="005600BB" w:rsidRPr="00E106BD" w:rsidRDefault="005600BB" w:rsidP="00D46087">
            <w:pPr>
              <w:widowControl w:val="0"/>
              <w:rPr>
                <w:rFonts w:ascii="Arial" w:hAnsi="Arial" w:cs="Arial"/>
                <w:sz w:val="16"/>
                <w:szCs w:val="16"/>
              </w:rPr>
            </w:pPr>
          </w:p>
        </w:tc>
      </w:tr>
      <w:tr w:rsidR="005600BB" w:rsidRPr="00E106BD" w:rsidDel="008E5759" w:rsidTr="00802FC7">
        <w:tblPrEx>
          <w:tblBorders>
            <w:top w:val="single" w:sz="4" w:space="0" w:color="auto"/>
          </w:tblBorders>
        </w:tblPrEx>
        <w:trPr>
          <w:cantSplit/>
          <w:tblCellSpacing w:w="22" w:type="dxa"/>
        </w:trPr>
        <w:tc>
          <w:tcPr>
            <w:tcW w:w="1050" w:type="pct"/>
          </w:tcPr>
          <w:p w:rsidR="005600BB" w:rsidRPr="00E106BD" w:rsidDel="008E5759" w:rsidRDefault="005600BB" w:rsidP="00D46087">
            <w:pPr>
              <w:widowControl w:val="0"/>
              <w:rPr>
                <w:rFonts w:ascii="Arial" w:hAnsi="Arial" w:cs="Arial"/>
                <w:sz w:val="16"/>
                <w:szCs w:val="16"/>
              </w:rPr>
            </w:pPr>
          </w:p>
        </w:tc>
        <w:tc>
          <w:tcPr>
            <w:tcW w:w="943" w:type="pct"/>
          </w:tcPr>
          <w:p w:rsidR="005600BB" w:rsidRPr="00E106BD" w:rsidRDefault="005600BB" w:rsidP="00D46087">
            <w:pPr>
              <w:widowControl w:val="0"/>
              <w:rPr>
                <w:rFonts w:ascii="Arial" w:hAnsi="Arial" w:cs="Arial"/>
                <w:sz w:val="16"/>
                <w:szCs w:val="16"/>
              </w:rPr>
            </w:pPr>
          </w:p>
        </w:tc>
        <w:tc>
          <w:tcPr>
            <w:tcW w:w="365" w:type="pct"/>
          </w:tcPr>
          <w:p w:rsidR="005600BB" w:rsidRPr="00E106BD" w:rsidRDefault="005600BB" w:rsidP="00D46087">
            <w:pPr>
              <w:widowControl w:val="0"/>
              <w:rPr>
                <w:rFonts w:ascii="Arial" w:hAnsi="Arial" w:cs="Arial"/>
                <w:sz w:val="16"/>
                <w:szCs w:val="16"/>
              </w:rPr>
            </w:pPr>
          </w:p>
        </w:tc>
        <w:tc>
          <w:tcPr>
            <w:tcW w:w="374" w:type="pct"/>
          </w:tcPr>
          <w:p w:rsidR="005600BB" w:rsidRPr="00E106BD" w:rsidRDefault="005600BB" w:rsidP="00D46087">
            <w:pPr>
              <w:widowControl w:val="0"/>
              <w:rPr>
                <w:rFonts w:ascii="Arial" w:hAnsi="Arial" w:cs="Arial"/>
                <w:sz w:val="16"/>
                <w:szCs w:val="16"/>
              </w:rPr>
            </w:pPr>
          </w:p>
        </w:tc>
        <w:tc>
          <w:tcPr>
            <w:tcW w:w="220" w:type="pct"/>
          </w:tcPr>
          <w:p w:rsidR="005600BB" w:rsidRPr="00E106BD" w:rsidRDefault="005600BB" w:rsidP="00D46087">
            <w:pPr>
              <w:widowControl w:val="0"/>
              <w:rPr>
                <w:rFonts w:ascii="Arial" w:hAnsi="Arial" w:cs="Arial"/>
                <w:sz w:val="16"/>
                <w:szCs w:val="16"/>
              </w:rPr>
            </w:pPr>
          </w:p>
        </w:tc>
        <w:tc>
          <w:tcPr>
            <w:tcW w:w="477"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C5957 C5958</w:t>
            </w:r>
          </w:p>
        </w:tc>
        <w:tc>
          <w:tcPr>
            <w:tcW w:w="424"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P5958</w:t>
            </w:r>
          </w:p>
        </w:tc>
        <w:tc>
          <w:tcPr>
            <w:tcW w:w="344"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D46087">
            <w:pPr>
              <w:widowControl w:val="0"/>
              <w:rPr>
                <w:rFonts w:ascii="Arial" w:hAnsi="Arial" w:cs="Arial"/>
                <w:sz w:val="16"/>
                <w:szCs w:val="16"/>
              </w:rPr>
            </w:pPr>
          </w:p>
        </w:tc>
      </w:tr>
      <w:tr w:rsidR="005600BB" w:rsidRPr="00E106BD" w:rsidDel="008E5759" w:rsidTr="00802FC7">
        <w:tblPrEx>
          <w:tblBorders>
            <w:top w:val="single" w:sz="4" w:space="0" w:color="auto"/>
          </w:tblBorders>
        </w:tblPrEx>
        <w:trPr>
          <w:cantSplit/>
          <w:tblCellSpacing w:w="22" w:type="dxa"/>
        </w:trPr>
        <w:tc>
          <w:tcPr>
            <w:tcW w:w="1050" w:type="pct"/>
          </w:tcPr>
          <w:p w:rsidR="005600BB" w:rsidRPr="00E106BD" w:rsidDel="008E5759" w:rsidRDefault="005600BB" w:rsidP="00D46087">
            <w:pPr>
              <w:widowControl w:val="0"/>
              <w:rPr>
                <w:rFonts w:ascii="Arial" w:hAnsi="Arial" w:cs="Arial"/>
                <w:sz w:val="16"/>
                <w:szCs w:val="16"/>
              </w:rPr>
            </w:pPr>
          </w:p>
        </w:tc>
        <w:tc>
          <w:tcPr>
            <w:tcW w:w="943"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Tablet 600 mg</w:t>
            </w:r>
          </w:p>
        </w:tc>
        <w:tc>
          <w:tcPr>
            <w:tcW w:w="365"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Ibavyr</w:t>
            </w:r>
          </w:p>
        </w:tc>
        <w:tc>
          <w:tcPr>
            <w:tcW w:w="220"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IX</w:t>
            </w:r>
          </w:p>
        </w:tc>
        <w:tc>
          <w:tcPr>
            <w:tcW w:w="477"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C5957 C5958</w:t>
            </w:r>
          </w:p>
        </w:tc>
        <w:tc>
          <w:tcPr>
            <w:tcW w:w="424" w:type="pct"/>
          </w:tcPr>
          <w:p w:rsidR="005600BB" w:rsidRPr="00E106BD" w:rsidDel="008E5759" w:rsidRDefault="005600BB" w:rsidP="00D46087">
            <w:pPr>
              <w:widowControl w:val="0"/>
              <w:rPr>
                <w:rFonts w:ascii="Arial" w:hAnsi="Arial" w:cs="Arial"/>
                <w:sz w:val="16"/>
                <w:szCs w:val="16"/>
              </w:rPr>
            </w:pPr>
            <w:r w:rsidRPr="00E106BD">
              <w:rPr>
                <w:rFonts w:ascii="Arial" w:hAnsi="Arial" w:cs="Arial"/>
                <w:sz w:val="16"/>
                <w:szCs w:val="16"/>
              </w:rPr>
              <w:t>P5957</w:t>
            </w:r>
          </w:p>
        </w:tc>
        <w:tc>
          <w:tcPr>
            <w:tcW w:w="344"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2</w:t>
            </w:r>
          </w:p>
        </w:tc>
        <w:tc>
          <w:tcPr>
            <w:tcW w:w="313" w:type="pct"/>
          </w:tcPr>
          <w:p w:rsidR="005600BB" w:rsidRPr="00E106BD" w:rsidRDefault="005600BB" w:rsidP="00D46087">
            <w:pPr>
              <w:widowControl w:val="0"/>
              <w:rPr>
                <w:rFonts w:ascii="Arial" w:hAnsi="Arial" w:cs="Arial"/>
                <w:sz w:val="16"/>
                <w:szCs w:val="16"/>
              </w:rPr>
            </w:pPr>
          </w:p>
        </w:tc>
      </w:tr>
      <w:tr w:rsidR="005600BB" w:rsidRPr="00E106BD" w:rsidDel="008E5759" w:rsidTr="00802FC7">
        <w:tblPrEx>
          <w:tblBorders>
            <w:top w:val="single" w:sz="4" w:space="0" w:color="auto"/>
          </w:tblBorders>
        </w:tblPrEx>
        <w:trPr>
          <w:cantSplit/>
          <w:tblCellSpacing w:w="22" w:type="dxa"/>
        </w:trPr>
        <w:tc>
          <w:tcPr>
            <w:tcW w:w="1050" w:type="pct"/>
          </w:tcPr>
          <w:p w:rsidR="005600BB" w:rsidRPr="00E106BD" w:rsidDel="008E5759" w:rsidRDefault="005600BB" w:rsidP="00D46087">
            <w:pPr>
              <w:widowControl w:val="0"/>
              <w:rPr>
                <w:rFonts w:ascii="Arial" w:hAnsi="Arial" w:cs="Arial"/>
                <w:sz w:val="16"/>
                <w:szCs w:val="16"/>
              </w:rPr>
            </w:pPr>
          </w:p>
        </w:tc>
        <w:tc>
          <w:tcPr>
            <w:tcW w:w="943" w:type="pct"/>
          </w:tcPr>
          <w:p w:rsidR="005600BB" w:rsidRPr="00E106BD" w:rsidRDefault="005600BB" w:rsidP="00D46087">
            <w:pPr>
              <w:widowControl w:val="0"/>
              <w:rPr>
                <w:rFonts w:ascii="Arial" w:hAnsi="Arial" w:cs="Arial"/>
                <w:sz w:val="16"/>
                <w:szCs w:val="16"/>
              </w:rPr>
            </w:pPr>
          </w:p>
        </w:tc>
        <w:tc>
          <w:tcPr>
            <w:tcW w:w="365" w:type="pct"/>
          </w:tcPr>
          <w:p w:rsidR="005600BB" w:rsidRPr="00E106BD" w:rsidRDefault="005600BB" w:rsidP="00D46087">
            <w:pPr>
              <w:widowControl w:val="0"/>
              <w:rPr>
                <w:rFonts w:ascii="Arial" w:hAnsi="Arial" w:cs="Arial"/>
                <w:sz w:val="16"/>
                <w:szCs w:val="16"/>
              </w:rPr>
            </w:pPr>
          </w:p>
        </w:tc>
        <w:tc>
          <w:tcPr>
            <w:tcW w:w="374" w:type="pct"/>
          </w:tcPr>
          <w:p w:rsidR="005600BB" w:rsidRPr="00E106BD" w:rsidRDefault="005600BB" w:rsidP="00D46087">
            <w:pPr>
              <w:widowControl w:val="0"/>
              <w:rPr>
                <w:rFonts w:ascii="Arial" w:hAnsi="Arial" w:cs="Arial"/>
                <w:sz w:val="16"/>
                <w:szCs w:val="16"/>
              </w:rPr>
            </w:pPr>
          </w:p>
        </w:tc>
        <w:tc>
          <w:tcPr>
            <w:tcW w:w="220" w:type="pct"/>
          </w:tcPr>
          <w:p w:rsidR="005600BB" w:rsidRPr="00E106BD" w:rsidRDefault="005600BB" w:rsidP="00D46087">
            <w:pPr>
              <w:widowControl w:val="0"/>
              <w:rPr>
                <w:rFonts w:ascii="Arial" w:hAnsi="Arial" w:cs="Arial"/>
                <w:sz w:val="16"/>
                <w:szCs w:val="16"/>
              </w:rPr>
            </w:pPr>
          </w:p>
        </w:tc>
        <w:tc>
          <w:tcPr>
            <w:tcW w:w="477"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C5957 C5958</w:t>
            </w:r>
          </w:p>
        </w:tc>
        <w:tc>
          <w:tcPr>
            <w:tcW w:w="424" w:type="pct"/>
          </w:tcPr>
          <w:p w:rsidR="005600BB" w:rsidRPr="00E106BD" w:rsidDel="008E5759" w:rsidRDefault="005600BB" w:rsidP="00D46087">
            <w:pPr>
              <w:widowControl w:val="0"/>
              <w:rPr>
                <w:rFonts w:ascii="Arial" w:hAnsi="Arial" w:cs="Arial"/>
                <w:sz w:val="16"/>
                <w:szCs w:val="16"/>
              </w:rPr>
            </w:pPr>
            <w:r w:rsidRPr="00E106BD">
              <w:rPr>
                <w:rFonts w:ascii="Arial" w:hAnsi="Arial" w:cs="Arial"/>
                <w:sz w:val="16"/>
                <w:szCs w:val="16"/>
              </w:rPr>
              <w:t>P5958</w:t>
            </w:r>
          </w:p>
        </w:tc>
        <w:tc>
          <w:tcPr>
            <w:tcW w:w="344"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D46087">
            <w:pPr>
              <w:widowControl w:val="0"/>
              <w:rPr>
                <w:rFonts w:ascii="Arial" w:hAnsi="Arial" w:cs="Arial"/>
                <w:sz w:val="16"/>
                <w:szCs w:val="16"/>
              </w:rPr>
            </w:pP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Rifabutin</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Capsule 150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Mycobutin</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PF</w:t>
            </w:r>
          </w:p>
        </w:tc>
        <w:tc>
          <w:tcPr>
            <w:tcW w:w="477" w:type="pct"/>
          </w:tcPr>
          <w:p w:rsidR="005600BB" w:rsidRPr="00E106BD" w:rsidRDefault="005600BB">
            <w:pPr>
              <w:rPr>
                <w:rFonts w:ascii="Arial" w:hAnsi="Arial" w:cs="Arial"/>
                <w:sz w:val="16"/>
                <w:szCs w:val="16"/>
              </w:rPr>
            </w:pPr>
            <w:r w:rsidRPr="00E106BD">
              <w:rPr>
                <w:rFonts w:ascii="Arial" w:hAnsi="Arial" w:cs="Arial"/>
                <w:sz w:val="16"/>
                <w:szCs w:val="16"/>
              </w:rPr>
              <w:t>C6350 C6356 C9560 C9622</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120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Rilpivirine</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25 mg (as hydrochloride)</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Edurant</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JC</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C4454 C4512</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Riociguat</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500 micrograms</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Adempas</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BN</w:t>
            </w:r>
          </w:p>
        </w:tc>
        <w:tc>
          <w:tcPr>
            <w:tcW w:w="477" w:type="pct"/>
          </w:tcPr>
          <w:p w:rsidR="005600BB" w:rsidRPr="00E106BD" w:rsidRDefault="005600BB">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1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Adempas</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BN</w:t>
            </w:r>
          </w:p>
        </w:tc>
        <w:tc>
          <w:tcPr>
            <w:tcW w:w="477" w:type="pct"/>
          </w:tcPr>
          <w:p w:rsidR="005600BB" w:rsidRPr="00E106BD" w:rsidRDefault="005600BB">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1.5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Adempas</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BN</w:t>
            </w:r>
          </w:p>
        </w:tc>
        <w:tc>
          <w:tcPr>
            <w:tcW w:w="477" w:type="pct"/>
          </w:tcPr>
          <w:p w:rsidR="005600BB" w:rsidRPr="00E106BD" w:rsidRDefault="005600BB">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2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Adempas</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BN</w:t>
            </w:r>
          </w:p>
        </w:tc>
        <w:tc>
          <w:tcPr>
            <w:tcW w:w="477" w:type="pct"/>
          </w:tcPr>
          <w:p w:rsidR="005600BB" w:rsidRPr="00E106BD" w:rsidRDefault="005600BB">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2.5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Adempas</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BN</w:t>
            </w:r>
          </w:p>
        </w:tc>
        <w:tc>
          <w:tcPr>
            <w:tcW w:w="477" w:type="pct"/>
          </w:tcPr>
          <w:p w:rsidR="005600BB" w:rsidRPr="00E106BD" w:rsidRDefault="005600BB">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Ritonavir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100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Norvir</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VE</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C4454 C4512</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720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Del="00641749" w:rsidTr="00802FC7">
        <w:tblPrEx>
          <w:tblBorders>
            <w:top w:val="single" w:sz="4" w:space="0" w:color="auto"/>
          </w:tblBorders>
        </w:tblPrEx>
        <w:trPr>
          <w:cantSplit/>
          <w:tblCellSpacing w:w="22" w:type="dxa"/>
        </w:trPr>
        <w:tc>
          <w:tcPr>
            <w:tcW w:w="1050"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Rituximab</w:t>
            </w:r>
          </w:p>
        </w:tc>
        <w:tc>
          <w:tcPr>
            <w:tcW w:w="943"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Solution for I.V. infusion 100 mg in 10 mL</w:t>
            </w:r>
          </w:p>
        </w:tc>
        <w:tc>
          <w:tcPr>
            <w:tcW w:w="365"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Mabthera</w:t>
            </w:r>
          </w:p>
        </w:tc>
        <w:tc>
          <w:tcPr>
            <w:tcW w:w="220"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RO</w:t>
            </w:r>
          </w:p>
        </w:tc>
        <w:tc>
          <w:tcPr>
            <w:tcW w:w="477"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C7021 C7022 C9344 C9511</w:t>
            </w:r>
          </w:p>
        </w:tc>
        <w:tc>
          <w:tcPr>
            <w:tcW w:w="424" w:type="pct"/>
          </w:tcPr>
          <w:p w:rsidR="005600BB" w:rsidRPr="00E106BD" w:rsidDel="00641749" w:rsidRDefault="005600BB" w:rsidP="00404472">
            <w:pPr>
              <w:rPr>
                <w:rFonts w:ascii="Arial" w:hAnsi="Arial" w:cs="Arial"/>
                <w:sz w:val="16"/>
                <w:szCs w:val="16"/>
              </w:rPr>
            </w:pPr>
          </w:p>
        </w:tc>
        <w:tc>
          <w:tcPr>
            <w:tcW w:w="34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Del="00641749" w:rsidTr="00802FC7">
        <w:tblPrEx>
          <w:tblBorders>
            <w:top w:val="single" w:sz="4" w:space="0" w:color="auto"/>
          </w:tblBorders>
        </w:tblPrEx>
        <w:trPr>
          <w:cantSplit/>
          <w:tblCellSpacing w:w="22" w:type="dxa"/>
        </w:trPr>
        <w:tc>
          <w:tcPr>
            <w:tcW w:w="1050" w:type="pct"/>
          </w:tcPr>
          <w:p w:rsidR="005600BB" w:rsidRPr="00E106BD" w:rsidDel="00641749" w:rsidRDefault="005600BB" w:rsidP="00404472">
            <w:pPr>
              <w:rPr>
                <w:rFonts w:ascii="Arial" w:hAnsi="Arial" w:cs="Arial"/>
                <w:sz w:val="16"/>
                <w:szCs w:val="16"/>
              </w:rPr>
            </w:pPr>
          </w:p>
        </w:tc>
        <w:tc>
          <w:tcPr>
            <w:tcW w:w="943" w:type="pct"/>
          </w:tcPr>
          <w:p w:rsidR="005600BB" w:rsidRPr="00E106BD" w:rsidDel="00641749" w:rsidRDefault="005600BB" w:rsidP="00404472">
            <w:pPr>
              <w:rPr>
                <w:rFonts w:ascii="Arial" w:hAnsi="Arial" w:cs="Arial"/>
                <w:sz w:val="16"/>
                <w:szCs w:val="16"/>
              </w:rPr>
            </w:pPr>
          </w:p>
        </w:tc>
        <w:tc>
          <w:tcPr>
            <w:tcW w:w="365" w:type="pct"/>
          </w:tcPr>
          <w:p w:rsidR="005600BB" w:rsidRPr="00E106BD" w:rsidDel="00641749" w:rsidRDefault="005600BB" w:rsidP="00404472">
            <w:pPr>
              <w:rPr>
                <w:rFonts w:ascii="Arial" w:hAnsi="Arial" w:cs="Arial"/>
                <w:sz w:val="16"/>
                <w:szCs w:val="16"/>
              </w:rPr>
            </w:pPr>
          </w:p>
        </w:tc>
        <w:tc>
          <w:tcPr>
            <w:tcW w:w="37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Riximyo</w:t>
            </w:r>
          </w:p>
        </w:tc>
        <w:tc>
          <w:tcPr>
            <w:tcW w:w="220"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SZ</w:t>
            </w:r>
          </w:p>
        </w:tc>
        <w:tc>
          <w:tcPr>
            <w:tcW w:w="477"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C7021 C7022 C9336 C9344 C9511 C9539 C9640 C9641</w:t>
            </w:r>
          </w:p>
        </w:tc>
        <w:tc>
          <w:tcPr>
            <w:tcW w:w="424" w:type="pct"/>
          </w:tcPr>
          <w:p w:rsidR="005600BB" w:rsidRPr="00E106BD" w:rsidDel="00641749" w:rsidRDefault="005600BB" w:rsidP="00404472">
            <w:pPr>
              <w:rPr>
                <w:rFonts w:ascii="Arial" w:hAnsi="Arial" w:cs="Arial"/>
                <w:sz w:val="16"/>
                <w:szCs w:val="16"/>
              </w:rPr>
            </w:pPr>
          </w:p>
        </w:tc>
        <w:tc>
          <w:tcPr>
            <w:tcW w:w="34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Del="00641749" w:rsidTr="00802FC7">
        <w:tblPrEx>
          <w:tblBorders>
            <w:top w:val="single" w:sz="4" w:space="0" w:color="auto"/>
          </w:tblBorders>
        </w:tblPrEx>
        <w:trPr>
          <w:cantSplit/>
          <w:tblCellSpacing w:w="22" w:type="dxa"/>
        </w:trPr>
        <w:tc>
          <w:tcPr>
            <w:tcW w:w="1050" w:type="pct"/>
          </w:tcPr>
          <w:p w:rsidR="005600BB" w:rsidRPr="00E106BD" w:rsidDel="00641749" w:rsidRDefault="005600BB" w:rsidP="00404472">
            <w:pPr>
              <w:rPr>
                <w:rFonts w:ascii="Arial" w:hAnsi="Arial" w:cs="Arial"/>
                <w:sz w:val="16"/>
                <w:szCs w:val="16"/>
              </w:rPr>
            </w:pPr>
          </w:p>
        </w:tc>
        <w:tc>
          <w:tcPr>
            <w:tcW w:w="943" w:type="pct"/>
          </w:tcPr>
          <w:p w:rsidR="005600BB" w:rsidRPr="00E106BD" w:rsidDel="00641749" w:rsidRDefault="005600BB" w:rsidP="00404472">
            <w:pPr>
              <w:rPr>
                <w:rFonts w:ascii="Arial" w:hAnsi="Arial" w:cs="Arial"/>
                <w:sz w:val="16"/>
                <w:szCs w:val="16"/>
              </w:rPr>
            </w:pPr>
          </w:p>
        </w:tc>
        <w:tc>
          <w:tcPr>
            <w:tcW w:w="365" w:type="pct"/>
          </w:tcPr>
          <w:p w:rsidR="005600BB" w:rsidRPr="00E106BD" w:rsidDel="00641749"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Truxima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EW</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C7021 C7022 C9336 C9344 C9511 C9539 C9640 C9641</w:t>
            </w:r>
          </w:p>
        </w:tc>
        <w:tc>
          <w:tcPr>
            <w:tcW w:w="424" w:type="pct"/>
          </w:tcPr>
          <w:p w:rsidR="005600BB" w:rsidRPr="00E106BD" w:rsidDel="00641749"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Del="00641749" w:rsidTr="00802FC7">
        <w:tblPrEx>
          <w:tblBorders>
            <w:top w:val="single" w:sz="4" w:space="0" w:color="auto"/>
          </w:tblBorders>
        </w:tblPrEx>
        <w:trPr>
          <w:cantSplit/>
          <w:tblCellSpacing w:w="22" w:type="dxa"/>
        </w:trPr>
        <w:tc>
          <w:tcPr>
            <w:tcW w:w="1050" w:type="pct"/>
          </w:tcPr>
          <w:p w:rsidR="005600BB" w:rsidRPr="00E106BD" w:rsidDel="00641749" w:rsidRDefault="005600BB" w:rsidP="00404472">
            <w:pPr>
              <w:rPr>
                <w:rFonts w:ascii="Arial" w:hAnsi="Arial" w:cs="Arial"/>
                <w:sz w:val="16"/>
                <w:szCs w:val="16"/>
              </w:rPr>
            </w:pPr>
          </w:p>
        </w:tc>
        <w:tc>
          <w:tcPr>
            <w:tcW w:w="943"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Solution for I.V. infusion 500 mg in 50 mL</w:t>
            </w:r>
          </w:p>
        </w:tc>
        <w:tc>
          <w:tcPr>
            <w:tcW w:w="365"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Mabthera</w:t>
            </w:r>
          </w:p>
        </w:tc>
        <w:tc>
          <w:tcPr>
            <w:tcW w:w="220"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RO</w:t>
            </w:r>
          </w:p>
        </w:tc>
        <w:tc>
          <w:tcPr>
            <w:tcW w:w="477"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C7021 C7022 C9340 C9344 C9448 C9449 C9450 C9511 C9512</w:t>
            </w:r>
          </w:p>
        </w:tc>
        <w:tc>
          <w:tcPr>
            <w:tcW w:w="424" w:type="pct"/>
          </w:tcPr>
          <w:p w:rsidR="005600BB" w:rsidRPr="00E106BD" w:rsidDel="00641749" w:rsidRDefault="005600BB" w:rsidP="00404472">
            <w:pPr>
              <w:rPr>
                <w:rFonts w:ascii="Arial" w:hAnsi="Arial" w:cs="Arial"/>
                <w:sz w:val="16"/>
                <w:szCs w:val="16"/>
              </w:rPr>
            </w:pPr>
          </w:p>
        </w:tc>
        <w:tc>
          <w:tcPr>
            <w:tcW w:w="34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Del="00641749" w:rsidTr="00802FC7">
        <w:tblPrEx>
          <w:tblBorders>
            <w:top w:val="single" w:sz="4" w:space="0" w:color="auto"/>
          </w:tblBorders>
        </w:tblPrEx>
        <w:trPr>
          <w:cantSplit/>
          <w:tblCellSpacing w:w="22" w:type="dxa"/>
        </w:trPr>
        <w:tc>
          <w:tcPr>
            <w:tcW w:w="1050" w:type="pct"/>
          </w:tcPr>
          <w:p w:rsidR="005600BB" w:rsidRPr="00E106BD" w:rsidDel="00641749" w:rsidRDefault="005600BB" w:rsidP="00404472">
            <w:pPr>
              <w:rPr>
                <w:rFonts w:ascii="Arial" w:hAnsi="Arial" w:cs="Arial"/>
                <w:sz w:val="16"/>
                <w:szCs w:val="16"/>
              </w:rPr>
            </w:pPr>
          </w:p>
        </w:tc>
        <w:tc>
          <w:tcPr>
            <w:tcW w:w="943" w:type="pct"/>
          </w:tcPr>
          <w:p w:rsidR="005600BB" w:rsidRPr="00E106BD" w:rsidDel="00641749" w:rsidRDefault="005600BB" w:rsidP="00404472">
            <w:pPr>
              <w:rPr>
                <w:rFonts w:ascii="Arial" w:hAnsi="Arial" w:cs="Arial"/>
                <w:sz w:val="16"/>
                <w:szCs w:val="16"/>
              </w:rPr>
            </w:pPr>
          </w:p>
        </w:tc>
        <w:tc>
          <w:tcPr>
            <w:tcW w:w="365" w:type="pct"/>
          </w:tcPr>
          <w:p w:rsidR="005600BB" w:rsidRPr="00E106BD" w:rsidDel="00641749" w:rsidRDefault="005600BB" w:rsidP="00404472">
            <w:pPr>
              <w:rPr>
                <w:rFonts w:ascii="Arial" w:hAnsi="Arial" w:cs="Arial"/>
                <w:sz w:val="16"/>
                <w:szCs w:val="16"/>
              </w:rPr>
            </w:pPr>
          </w:p>
        </w:tc>
        <w:tc>
          <w:tcPr>
            <w:tcW w:w="37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Riximyo</w:t>
            </w:r>
          </w:p>
        </w:tc>
        <w:tc>
          <w:tcPr>
            <w:tcW w:w="220"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SZ</w:t>
            </w:r>
          </w:p>
        </w:tc>
        <w:tc>
          <w:tcPr>
            <w:tcW w:w="477"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C7021 C7022 C9336 C9340 C9344 C9446 C9448 C9449 C9450 C9511 C9512 C9539 C9611 C9640 C9641</w:t>
            </w:r>
          </w:p>
        </w:tc>
        <w:tc>
          <w:tcPr>
            <w:tcW w:w="424" w:type="pct"/>
          </w:tcPr>
          <w:p w:rsidR="005600BB" w:rsidRPr="00E106BD" w:rsidDel="00641749" w:rsidRDefault="005600BB" w:rsidP="00404472">
            <w:pPr>
              <w:rPr>
                <w:rFonts w:ascii="Arial" w:hAnsi="Arial" w:cs="Arial"/>
                <w:sz w:val="16"/>
                <w:szCs w:val="16"/>
              </w:rPr>
            </w:pPr>
          </w:p>
        </w:tc>
        <w:tc>
          <w:tcPr>
            <w:tcW w:w="34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Del="00641749" w:rsidTr="00802FC7">
        <w:tblPrEx>
          <w:tblBorders>
            <w:top w:val="single" w:sz="4" w:space="0" w:color="auto"/>
          </w:tblBorders>
        </w:tblPrEx>
        <w:trPr>
          <w:cantSplit/>
          <w:tblCellSpacing w:w="22" w:type="dxa"/>
        </w:trPr>
        <w:tc>
          <w:tcPr>
            <w:tcW w:w="1050" w:type="pct"/>
          </w:tcPr>
          <w:p w:rsidR="005600BB" w:rsidRPr="00E106BD" w:rsidDel="00641749" w:rsidRDefault="005600BB" w:rsidP="00404472">
            <w:pPr>
              <w:rPr>
                <w:rFonts w:ascii="Arial" w:hAnsi="Arial" w:cs="Arial"/>
                <w:sz w:val="16"/>
                <w:szCs w:val="16"/>
              </w:rPr>
            </w:pPr>
          </w:p>
        </w:tc>
        <w:tc>
          <w:tcPr>
            <w:tcW w:w="943" w:type="pct"/>
          </w:tcPr>
          <w:p w:rsidR="005600BB" w:rsidRPr="00E106BD" w:rsidDel="00641749" w:rsidRDefault="005600BB" w:rsidP="00404472">
            <w:pPr>
              <w:rPr>
                <w:rFonts w:ascii="Arial" w:hAnsi="Arial" w:cs="Arial"/>
                <w:sz w:val="16"/>
                <w:szCs w:val="16"/>
              </w:rPr>
            </w:pPr>
          </w:p>
        </w:tc>
        <w:tc>
          <w:tcPr>
            <w:tcW w:w="365" w:type="pct"/>
          </w:tcPr>
          <w:p w:rsidR="005600BB" w:rsidRPr="00E106BD" w:rsidDel="00641749"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Truxima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EW</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C7021 C7022 C9336 C9340 C9344 C9446 C9448 C9449 C9450 C9511 C9512 C9539 C9611 C9640 C9641</w:t>
            </w:r>
          </w:p>
        </w:tc>
        <w:tc>
          <w:tcPr>
            <w:tcW w:w="424" w:type="pct"/>
          </w:tcPr>
          <w:p w:rsidR="005600BB" w:rsidRPr="00E106BD" w:rsidDel="00641749"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Romiplostim</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Powder for injection 375 micrograms</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Nplate</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AN</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C6694 C6737 C6738 C6766 C6789</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Powder for injection 625 micrograms</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Nplate</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AN</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C6694 C6737 C6738 C6766 C6789</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Saquinavir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500 mg (as mesilate)</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Invirase</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RO</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C4454 C4512</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240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Sevelamer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containing sevelamer carbonate 800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Sevelamer Apotex</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TX</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C5530 C9762</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360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037848">
              <w:rPr>
                <w:rFonts w:ascii="Arial" w:hAnsi="Arial" w:cs="Arial"/>
                <w:sz w:val="16"/>
                <w:lang w:val="en-US"/>
              </w:rPr>
              <w:t>Sevelamer Lupin</w:t>
            </w:r>
          </w:p>
        </w:tc>
        <w:tc>
          <w:tcPr>
            <w:tcW w:w="220" w:type="pct"/>
          </w:tcPr>
          <w:p w:rsidR="005600BB" w:rsidRPr="00E106BD" w:rsidRDefault="005600BB" w:rsidP="00404472">
            <w:pPr>
              <w:rPr>
                <w:rFonts w:ascii="Arial" w:hAnsi="Arial" w:cs="Arial"/>
                <w:sz w:val="16"/>
                <w:szCs w:val="16"/>
              </w:rPr>
            </w:pPr>
            <w:r w:rsidRPr="00037848">
              <w:rPr>
                <w:rFonts w:ascii="Arial" w:hAnsi="Arial" w:cs="Arial"/>
                <w:sz w:val="16"/>
                <w:lang w:val="en-US"/>
              </w:rPr>
              <w:t>GQ</w:t>
            </w:r>
          </w:p>
        </w:tc>
        <w:tc>
          <w:tcPr>
            <w:tcW w:w="477" w:type="pct"/>
          </w:tcPr>
          <w:p w:rsidR="005600BB" w:rsidRPr="00E106BD" w:rsidRDefault="005600BB" w:rsidP="00404472">
            <w:pPr>
              <w:rPr>
                <w:rFonts w:ascii="Arial" w:hAnsi="Arial" w:cs="Arial"/>
                <w:sz w:val="16"/>
                <w:szCs w:val="16"/>
              </w:rPr>
            </w:pPr>
            <w:r w:rsidRPr="00037848">
              <w:rPr>
                <w:rFonts w:ascii="Arial" w:hAnsi="Arial" w:cs="Arial"/>
                <w:sz w:val="16"/>
                <w:szCs w:val="16"/>
              </w:rPr>
              <w:t>C5530 C9762</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037848">
              <w:rPr>
                <w:rFonts w:ascii="Arial" w:hAnsi="Arial" w:cs="Arial"/>
                <w:sz w:val="16"/>
                <w:szCs w:val="16"/>
              </w:rPr>
              <w:t>360</w:t>
            </w:r>
          </w:p>
        </w:tc>
        <w:tc>
          <w:tcPr>
            <w:tcW w:w="297" w:type="pct"/>
          </w:tcPr>
          <w:p w:rsidR="005600BB" w:rsidRPr="00E106BD" w:rsidRDefault="005600BB" w:rsidP="00404472">
            <w:pPr>
              <w:rPr>
                <w:rFonts w:ascii="Arial" w:hAnsi="Arial" w:cs="Arial"/>
                <w:sz w:val="16"/>
                <w:szCs w:val="16"/>
              </w:rPr>
            </w:pPr>
            <w:r w:rsidRPr="00037848">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037848">
              <w:rPr>
                <w:rFonts w:ascii="Arial" w:hAnsi="Arial" w:cs="Arial"/>
                <w:sz w:val="16"/>
                <w:szCs w:val="16"/>
              </w:rPr>
              <w:t>C</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containing sevelamer hydrochloride 800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Renagel</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GZ</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C5530 C9762</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360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Sildenafil</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20 mg (as citrate)</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Sildenafil PHT</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TX</w:t>
            </w:r>
          </w:p>
        </w:tc>
        <w:tc>
          <w:tcPr>
            <w:tcW w:w="477" w:type="pct"/>
          </w:tcPr>
          <w:p w:rsidR="00901875" w:rsidRPr="00E106BD" w:rsidRDefault="005600BB" w:rsidP="00404472">
            <w:pPr>
              <w:rPr>
                <w:rFonts w:ascii="Arial" w:hAnsi="Arial" w:cs="Arial"/>
                <w:sz w:val="16"/>
                <w:szCs w:val="16"/>
              </w:rPr>
            </w:pPr>
            <w:r>
              <w:rPr>
                <w:rFonts w:ascii="Arial" w:hAnsi="Arial" w:cs="Arial"/>
                <w:sz w:val="16"/>
                <w:szCs w:val="16"/>
              </w:rPr>
              <w:t>C10228 C10234 C10304</w:t>
            </w:r>
            <w:r w:rsidR="00901875" w:rsidRPr="00025445">
              <w:rPr>
                <w:rFonts w:ascii="Arial" w:hAnsi="Arial" w:cs="Arial"/>
                <w:sz w:val="16"/>
                <w:szCs w:val="16"/>
              </w:rPr>
              <w:t xml:space="preserve"> C10726 C10732 C10797 C10848 C10868</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Revatio</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UJ</w:t>
            </w:r>
          </w:p>
        </w:tc>
        <w:tc>
          <w:tcPr>
            <w:tcW w:w="477" w:type="pct"/>
          </w:tcPr>
          <w:p w:rsidR="005600BB" w:rsidRPr="00E106BD" w:rsidRDefault="005600BB" w:rsidP="00404472">
            <w:pPr>
              <w:rPr>
                <w:rFonts w:ascii="Arial" w:hAnsi="Arial" w:cs="Arial"/>
                <w:sz w:val="16"/>
                <w:szCs w:val="16"/>
              </w:rPr>
            </w:pPr>
            <w:r>
              <w:rPr>
                <w:rFonts w:ascii="Arial" w:hAnsi="Arial" w:cs="Arial"/>
                <w:sz w:val="16"/>
                <w:szCs w:val="16"/>
              </w:rPr>
              <w:t>C10228 C10234 C10304</w:t>
            </w:r>
            <w:r w:rsidR="00901875" w:rsidRPr="00025445">
              <w:rPr>
                <w:rFonts w:ascii="Arial" w:hAnsi="Arial" w:cs="Arial"/>
                <w:sz w:val="16"/>
                <w:szCs w:val="16"/>
              </w:rPr>
              <w:t xml:space="preserve"> C10726 C10732 C10797 C10848 C10868</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SILDATIO PHT</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RW</w:t>
            </w:r>
          </w:p>
        </w:tc>
        <w:tc>
          <w:tcPr>
            <w:tcW w:w="477" w:type="pct"/>
          </w:tcPr>
          <w:p w:rsidR="005600BB" w:rsidRPr="00E106BD" w:rsidRDefault="005600BB" w:rsidP="00404472">
            <w:pPr>
              <w:rPr>
                <w:rFonts w:ascii="Arial" w:hAnsi="Arial" w:cs="Arial"/>
                <w:sz w:val="16"/>
                <w:szCs w:val="16"/>
              </w:rPr>
            </w:pPr>
            <w:r>
              <w:rPr>
                <w:rFonts w:ascii="Arial" w:hAnsi="Arial" w:cs="Arial"/>
                <w:sz w:val="16"/>
                <w:szCs w:val="16"/>
              </w:rPr>
              <w:t>C10228 C10234 C10304</w:t>
            </w:r>
            <w:r w:rsidR="00901875" w:rsidRPr="00025445">
              <w:rPr>
                <w:rFonts w:ascii="Arial" w:hAnsi="Arial" w:cs="Arial"/>
                <w:sz w:val="16"/>
                <w:szCs w:val="16"/>
              </w:rPr>
              <w:t xml:space="preserve"> C10726 C10732 C10797 C10848 C10868</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Sildenafil AN PHT 20</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EA</w:t>
            </w:r>
          </w:p>
        </w:tc>
        <w:tc>
          <w:tcPr>
            <w:tcW w:w="477" w:type="pct"/>
          </w:tcPr>
          <w:p w:rsidR="005600BB" w:rsidRPr="00E106BD" w:rsidRDefault="005600BB" w:rsidP="00404472">
            <w:pPr>
              <w:rPr>
                <w:rFonts w:ascii="Arial" w:hAnsi="Arial" w:cs="Arial"/>
                <w:sz w:val="16"/>
                <w:szCs w:val="16"/>
              </w:rPr>
            </w:pPr>
            <w:r>
              <w:rPr>
                <w:rFonts w:ascii="Arial" w:hAnsi="Arial" w:cs="Arial"/>
                <w:sz w:val="16"/>
                <w:szCs w:val="16"/>
              </w:rPr>
              <w:t>C10228 C10234 C10304</w:t>
            </w:r>
            <w:r w:rsidR="00901875" w:rsidRPr="00025445">
              <w:rPr>
                <w:rFonts w:ascii="Arial" w:hAnsi="Arial" w:cs="Arial"/>
                <w:sz w:val="16"/>
                <w:szCs w:val="16"/>
              </w:rPr>
              <w:t xml:space="preserve"> C10726 C10732 C10797 C10848 C10868</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Del="00F97236" w:rsidRDefault="005600BB" w:rsidP="00404472">
            <w:pPr>
              <w:rPr>
                <w:rFonts w:ascii="Arial" w:hAnsi="Arial" w:cs="Arial"/>
                <w:sz w:val="16"/>
                <w:szCs w:val="16"/>
              </w:rPr>
            </w:pPr>
          </w:p>
        </w:tc>
        <w:tc>
          <w:tcPr>
            <w:tcW w:w="943" w:type="pct"/>
          </w:tcPr>
          <w:p w:rsidR="005600BB" w:rsidRPr="00E106BD" w:rsidDel="00F97236" w:rsidRDefault="005600BB" w:rsidP="00404472">
            <w:pPr>
              <w:rPr>
                <w:rFonts w:ascii="Arial" w:hAnsi="Arial" w:cs="Arial"/>
                <w:sz w:val="16"/>
                <w:szCs w:val="16"/>
              </w:rPr>
            </w:pPr>
          </w:p>
        </w:tc>
        <w:tc>
          <w:tcPr>
            <w:tcW w:w="365" w:type="pct"/>
          </w:tcPr>
          <w:p w:rsidR="005600BB" w:rsidRPr="00E106BD" w:rsidDel="00F97236"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Sildenafil Sandoz PHT 20</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SZ</w:t>
            </w:r>
          </w:p>
        </w:tc>
        <w:tc>
          <w:tcPr>
            <w:tcW w:w="477" w:type="pct"/>
          </w:tcPr>
          <w:p w:rsidR="005600BB" w:rsidRPr="00E106BD" w:rsidRDefault="005600BB" w:rsidP="00404472">
            <w:pPr>
              <w:rPr>
                <w:rFonts w:ascii="Arial" w:hAnsi="Arial" w:cs="Arial"/>
                <w:sz w:val="16"/>
                <w:szCs w:val="16"/>
              </w:rPr>
            </w:pPr>
            <w:r>
              <w:rPr>
                <w:rFonts w:ascii="Arial" w:hAnsi="Arial" w:cs="Arial"/>
                <w:sz w:val="16"/>
                <w:szCs w:val="16"/>
              </w:rPr>
              <w:t>C10228 C10234 C10304</w:t>
            </w:r>
            <w:r w:rsidR="00901875" w:rsidRPr="00025445">
              <w:rPr>
                <w:rFonts w:ascii="Arial" w:hAnsi="Arial" w:cs="Arial"/>
                <w:sz w:val="16"/>
                <w:szCs w:val="16"/>
              </w:rPr>
              <w:t xml:space="preserve"> C10726 C10732 C10797 C10848 C10868</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Del="001C62E5" w:rsidTr="00802FC7">
        <w:tblPrEx>
          <w:tblBorders>
            <w:top w:val="single" w:sz="4" w:space="0" w:color="auto"/>
          </w:tblBorders>
        </w:tblPrEx>
        <w:trPr>
          <w:cantSplit/>
          <w:tblCellSpacing w:w="22" w:type="dxa"/>
        </w:trPr>
        <w:tc>
          <w:tcPr>
            <w:tcW w:w="1050"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Sirolimus</w:t>
            </w:r>
          </w:p>
        </w:tc>
        <w:tc>
          <w:tcPr>
            <w:tcW w:w="94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Tablet 0.5 mg</w:t>
            </w:r>
          </w:p>
        </w:tc>
        <w:tc>
          <w:tcPr>
            <w:tcW w:w="365"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Rapamune</w:t>
            </w:r>
          </w:p>
        </w:tc>
        <w:tc>
          <w:tcPr>
            <w:tcW w:w="220"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PF</w:t>
            </w:r>
          </w:p>
        </w:tc>
        <w:tc>
          <w:tcPr>
            <w:tcW w:w="477" w:type="pct"/>
          </w:tcPr>
          <w:p w:rsidR="005600BB" w:rsidRPr="00E106BD" w:rsidDel="001C62E5" w:rsidRDefault="005600BB" w:rsidP="00435AE3">
            <w:pPr>
              <w:rPr>
                <w:rFonts w:ascii="Arial" w:hAnsi="Arial" w:cs="Arial"/>
                <w:sz w:val="16"/>
                <w:szCs w:val="16"/>
              </w:rPr>
            </w:pPr>
            <w:r w:rsidRPr="00E106BD">
              <w:rPr>
                <w:rFonts w:ascii="Arial" w:hAnsi="Arial" w:cs="Arial"/>
                <w:sz w:val="16"/>
                <w:szCs w:val="16"/>
              </w:rPr>
              <w:t>C5795 C9914</w:t>
            </w:r>
          </w:p>
        </w:tc>
        <w:tc>
          <w:tcPr>
            <w:tcW w:w="424" w:type="pct"/>
          </w:tcPr>
          <w:p w:rsidR="005600BB" w:rsidRPr="00E106BD" w:rsidDel="001C62E5" w:rsidRDefault="005600BB" w:rsidP="00404472">
            <w:pPr>
              <w:rPr>
                <w:rFonts w:ascii="Arial" w:hAnsi="Arial" w:cs="Arial"/>
                <w:sz w:val="16"/>
                <w:szCs w:val="16"/>
              </w:rPr>
            </w:pPr>
          </w:p>
        </w:tc>
        <w:tc>
          <w:tcPr>
            <w:tcW w:w="34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1C62E5" w:rsidTr="00802FC7">
        <w:tblPrEx>
          <w:tblBorders>
            <w:top w:val="single" w:sz="4" w:space="0" w:color="auto"/>
          </w:tblBorders>
        </w:tblPrEx>
        <w:trPr>
          <w:cantSplit/>
          <w:tblCellSpacing w:w="22" w:type="dxa"/>
        </w:trPr>
        <w:tc>
          <w:tcPr>
            <w:tcW w:w="1050" w:type="pct"/>
          </w:tcPr>
          <w:p w:rsidR="005600BB" w:rsidRPr="00E106BD" w:rsidDel="001C62E5" w:rsidRDefault="005600BB" w:rsidP="00404472">
            <w:pPr>
              <w:rPr>
                <w:rFonts w:ascii="Arial" w:hAnsi="Arial" w:cs="Arial"/>
                <w:sz w:val="16"/>
                <w:szCs w:val="16"/>
              </w:rPr>
            </w:pPr>
          </w:p>
        </w:tc>
        <w:tc>
          <w:tcPr>
            <w:tcW w:w="94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Tablet 1 mg</w:t>
            </w:r>
          </w:p>
        </w:tc>
        <w:tc>
          <w:tcPr>
            <w:tcW w:w="365"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Rapamune</w:t>
            </w:r>
          </w:p>
        </w:tc>
        <w:tc>
          <w:tcPr>
            <w:tcW w:w="220"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PF</w:t>
            </w:r>
          </w:p>
        </w:tc>
        <w:tc>
          <w:tcPr>
            <w:tcW w:w="477" w:type="pct"/>
          </w:tcPr>
          <w:p w:rsidR="005600BB" w:rsidRPr="00E106BD" w:rsidDel="001C62E5" w:rsidRDefault="005600BB" w:rsidP="00804312">
            <w:pPr>
              <w:rPr>
                <w:rFonts w:ascii="Arial" w:hAnsi="Arial" w:cs="Arial"/>
                <w:sz w:val="16"/>
                <w:szCs w:val="16"/>
              </w:rPr>
            </w:pPr>
            <w:r w:rsidRPr="00E106BD">
              <w:rPr>
                <w:rFonts w:ascii="Arial" w:hAnsi="Arial" w:cs="Arial"/>
                <w:sz w:val="16"/>
                <w:szCs w:val="16"/>
              </w:rPr>
              <w:t>C5795 C9914</w:t>
            </w:r>
          </w:p>
        </w:tc>
        <w:tc>
          <w:tcPr>
            <w:tcW w:w="424" w:type="pct"/>
          </w:tcPr>
          <w:p w:rsidR="005600BB" w:rsidRPr="00E106BD" w:rsidDel="001C62E5" w:rsidRDefault="005600BB" w:rsidP="00404472">
            <w:pPr>
              <w:rPr>
                <w:rFonts w:ascii="Arial" w:hAnsi="Arial" w:cs="Arial"/>
                <w:sz w:val="16"/>
                <w:szCs w:val="16"/>
              </w:rPr>
            </w:pPr>
          </w:p>
        </w:tc>
        <w:tc>
          <w:tcPr>
            <w:tcW w:w="34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1C62E5" w:rsidTr="00802FC7">
        <w:tblPrEx>
          <w:tblBorders>
            <w:top w:val="single" w:sz="4" w:space="0" w:color="auto"/>
          </w:tblBorders>
        </w:tblPrEx>
        <w:trPr>
          <w:cantSplit/>
          <w:tblCellSpacing w:w="22" w:type="dxa"/>
        </w:trPr>
        <w:tc>
          <w:tcPr>
            <w:tcW w:w="1050" w:type="pct"/>
          </w:tcPr>
          <w:p w:rsidR="005600BB" w:rsidRPr="00E106BD" w:rsidDel="001C62E5" w:rsidRDefault="005600BB" w:rsidP="00404472">
            <w:pPr>
              <w:rPr>
                <w:rFonts w:ascii="Arial" w:hAnsi="Arial" w:cs="Arial"/>
                <w:sz w:val="16"/>
                <w:szCs w:val="16"/>
              </w:rPr>
            </w:pPr>
          </w:p>
        </w:tc>
        <w:tc>
          <w:tcPr>
            <w:tcW w:w="94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 xml:space="preserve">Tablet 2 mg </w:t>
            </w:r>
          </w:p>
        </w:tc>
        <w:tc>
          <w:tcPr>
            <w:tcW w:w="365"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Rapamune</w:t>
            </w:r>
          </w:p>
        </w:tc>
        <w:tc>
          <w:tcPr>
            <w:tcW w:w="220"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PF</w:t>
            </w:r>
          </w:p>
        </w:tc>
        <w:tc>
          <w:tcPr>
            <w:tcW w:w="477" w:type="pct"/>
          </w:tcPr>
          <w:p w:rsidR="005600BB" w:rsidRPr="00E106BD" w:rsidDel="001C62E5" w:rsidRDefault="005600BB" w:rsidP="00804312">
            <w:pPr>
              <w:rPr>
                <w:rFonts w:ascii="Arial" w:hAnsi="Arial" w:cs="Arial"/>
                <w:sz w:val="16"/>
                <w:szCs w:val="16"/>
              </w:rPr>
            </w:pPr>
            <w:r w:rsidRPr="00E106BD">
              <w:rPr>
                <w:rFonts w:ascii="Arial" w:hAnsi="Arial" w:cs="Arial"/>
                <w:sz w:val="16"/>
                <w:szCs w:val="16"/>
              </w:rPr>
              <w:t>C5795 C9914</w:t>
            </w:r>
          </w:p>
        </w:tc>
        <w:tc>
          <w:tcPr>
            <w:tcW w:w="424" w:type="pct"/>
          </w:tcPr>
          <w:p w:rsidR="005600BB" w:rsidRPr="00E106BD" w:rsidDel="001C62E5" w:rsidRDefault="005600BB" w:rsidP="00404472">
            <w:pPr>
              <w:rPr>
                <w:rFonts w:ascii="Arial" w:hAnsi="Arial" w:cs="Arial"/>
                <w:sz w:val="16"/>
                <w:szCs w:val="16"/>
              </w:rPr>
            </w:pPr>
          </w:p>
        </w:tc>
        <w:tc>
          <w:tcPr>
            <w:tcW w:w="34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1C62E5" w:rsidTr="00802FC7">
        <w:tblPrEx>
          <w:tblBorders>
            <w:top w:val="single" w:sz="4" w:space="0" w:color="auto"/>
          </w:tblBorders>
        </w:tblPrEx>
        <w:trPr>
          <w:cantSplit/>
          <w:tblCellSpacing w:w="22" w:type="dxa"/>
        </w:trPr>
        <w:tc>
          <w:tcPr>
            <w:tcW w:w="1050" w:type="pct"/>
          </w:tcPr>
          <w:p w:rsidR="005600BB" w:rsidRPr="00E106BD" w:rsidDel="001C62E5" w:rsidRDefault="005600BB" w:rsidP="00404472">
            <w:pPr>
              <w:rPr>
                <w:rFonts w:ascii="Arial" w:hAnsi="Arial" w:cs="Arial"/>
                <w:sz w:val="16"/>
                <w:szCs w:val="16"/>
              </w:rPr>
            </w:pPr>
          </w:p>
        </w:tc>
        <w:tc>
          <w:tcPr>
            <w:tcW w:w="94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Oral solution 1 mg per mL, 60 mL</w:t>
            </w:r>
          </w:p>
        </w:tc>
        <w:tc>
          <w:tcPr>
            <w:tcW w:w="365"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Rapamune</w:t>
            </w:r>
          </w:p>
        </w:tc>
        <w:tc>
          <w:tcPr>
            <w:tcW w:w="220"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PF</w:t>
            </w:r>
          </w:p>
        </w:tc>
        <w:tc>
          <w:tcPr>
            <w:tcW w:w="477" w:type="pct"/>
          </w:tcPr>
          <w:p w:rsidR="005600BB" w:rsidRPr="00E106BD" w:rsidDel="001C62E5" w:rsidRDefault="005600BB" w:rsidP="00804312">
            <w:pPr>
              <w:rPr>
                <w:rFonts w:ascii="Arial" w:hAnsi="Arial" w:cs="Arial"/>
                <w:sz w:val="16"/>
                <w:szCs w:val="16"/>
              </w:rPr>
            </w:pPr>
            <w:r w:rsidRPr="00E106BD">
              <w:rPr>
                <w:rFonts w:ascii="Arial" w:hAnsi="Arial" w:cs="Arial"/>
                <w:sz w:val="16"/>
                <w:szCs w:val="16"/>
              </w:rPr>
              <w:t>C5795 C9914</w:t>
            </w:r>
          </w:p>
        </w:tc>
        <w:tc>
          <w:tcPr>
            <w:tcW w:w="424" w:type="pct"/>
          </w:tcPr>
          <w:p w:rsidR="005600BB" w:rsidRPr="00E106BD" w:rsidDel="001C62E5" w:rsidRDefault="005600BB" w:rsidP="00404472">
            <w:pPr>
              <w:rPr>
                <w:rFonts w:ascii="Arial" w:hAnsi="Arial" w:cs="Arial"/>
                <w:sz w:val="16"/>
                <w:szCs w:val="16"/>
              </w:rPr>
            </w:pPr>
          </w:p>
        </w:tc>
        <w:tc>
          <w:tcPr>
            <w:tcW w:w="34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2</w:t>
            </w:r>
          </w:p>
        </w:tc>
        <w:tc>
          <w:tcPr>
            <w:tcW w:w="297"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1C62E5" w:rsidTr="00802FC7">
        <w:tblPrEx>
          <w:tblBorders>
            <w:top w:val="single" w:sz="4" w:space="0" w:color="auto"/>
          </w:tblBorders>
        </w:tblPrEx>
        <w:trPr>
          <w:cantSplit/>
          <w:tblCellSpacing w:w="22" w:type="dxa"/>
        </w:trPr>
        <w:tc>
          <w:tcPr>
            <w:tcW w:w="1050" w:type="pct"/>
          </w:tcPr>
          <w:p w:rsidR="005600BB" w:rsidRPr="00E106BD" w:rsidDel="001C62E5" w:rsidRDefault="005600BB" w:rsidP="00690749">
            <w:pPr>
              <w:keepNext/>
              <w:rPr>
                <w:rFonts w:ascii="Arial" w:hAnsi="Arial" w:cs="Arial"/>
                <w:sz w:val="16"/>
                <w:szCs w:val="16"/>
              </w:rPr>
            </w:pPr>
            <w:r w:rsidRPr="00E106BD">
              <w:rPr>
                <w:rFonts w:ascii="Arial" w:hAnsi="Arial" w:cs="Arial"/>
                <w:sz w:val="16"/>
                <w:szCs w:val="16"/>
              </w:rPr>
              <w:t>Sofosbuvir</w:t>
            </w:r>
          </w:p>
        </w:tc>
        <w:tc>
          <w:tcPr>
            <w:tcW w:w="943"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Tablet 400 mg</w:t>
            </w:r>
          </w:p>
        </w:tc>
        <w:tc>
          <w:tcPr>
            <w:tcW w:w="365"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Sovaldi</w:t>
            </w:r>
          </w:p>
        </w:tc>
        <w:tc>
          <w:tcPr>
            <w:tcW w:w="220"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GI</w:t>
            </w:r>
          </w:p>
        </w:tc>
        <w:tc>
          <w:tcPr>
            <w:tcW w:w="477"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C5969 C5972</w:t>
            </w:r>
          </w:p>
        </w:tc>
        <w:tc>
          <w:tcPr>
            <w:tcW w:w="424" w:type="pct"/>
          </w:tcPr>
          <w:p w:rsidR="005600BB" w:rsidRPr="00E106BD" w:rsidDel="001C62E5" w:rsidRDefault="005600BB" w:rsidP="00690749">
            <w:pPr>
              <w:keepNext/>
              <w:rPr>
                <w:rFonts w:ascii="Arial" w:hAnsi="Arial" w:cs="Arial"/>
                <w:sz w:val="16"/>
                <w:szCs w:val="16"/>
              </w:rPr>
            </w:pPr>
            <w:r w:rsidRPr="00E106BD">
              <w:rPr>
                <w:rFonts w:ascii="Arial" w:hAnsi="Arial" w:cs="Arial"/>
                <w:sz w:val="16"/>
                <w:szCs w:val="16"/>
              </w:rPr>
              <w:t>P5969</w:t>
            </w:r>
          </w:p>
        </w:tc>
        <w:tc>
          <w:tcPr>
            <w:tcW w:w="344"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2</w:t>
            </w:r>
          </w:p>
        </w:tc>
        <w:tc>
          <w:tcPr>
            <w:tcW w:w="313" w:type="pct"/>
          </w:tcPr>
          <w:p w:rsidR="005600BB" w:rsidRPr="00E106BD" w:rsidRDefault="005600BB" w:rsidP="00690749">
            <w:pPr>
              <w:keepNext/>
              <w:rPr>
                <w:rFonts w:ascii="Arial" w:hAnsi="Arial" w:cs="Arial"/>
                <w:sz w:val="16"/>
                <w:szCs w:val="16"/>
              </w:rPr>
            </w:pPr>
          </w:p>
        </w:tc>
      </w:tr>
      <w:tr w:rsidR="005600BB" w:rsidRPr="00E106BD" w:rsidDel="001C62E5" w:rsidTr="00802FC7">
        <w:tblPrEx>
          <w:tblBorders>
            <w:top w:val="single" w:sz="4" w:space="0" w:color="auto"/>
          </w:tblBorders>
        </w:tblPrEx>
        <w:trPr>
          <w:cantSplit/>
          <w:tblCellSpacing w:w="22" w:type="dxa"/>
        </w:trPr>
        <w:tc>
          <w:tcPr>
            <w:tcW w:w="1050" w:type="pct"/>
          </w:tcPr>
          <w:p w:rsidR="005600BB" w:rsidRPr="00E106BD" w:rsidRDefault="005600BB" w:rsidP="00690749">
            <w:pPr>
              <w:keepNext/>
              <w:rPr>
                <w:rFonts w:ascii="Arial" w:hAnsi="Arial" w:cs="Arial"/>
                <w:sz w:val="16"/>
                <w:szCs w:val="16"/>
              </w:rPr>
            </w:pPr>
          </w:p>
        </w:tc>
        <w:tc>
          <w:tcPr>
            <w:tcW w:w="943" w:type="pct"/>
          </w:tcPr>
          <w:p w:rsidR="005600BB" w:rsidRPr="00E106BD" w:rsidRDefault="005600BB" w:rsidP="00690749">
            <w:pPr>
              <w:keepNext/>
              <w:rPr>
                <w:rFonts w:ascii="Arial" w:hAnsi="Arial" w:cs="Arial"/>
                <w:sz w:val="16"/>
                <w:szCs w:val="16"/>
              </w:rPr>
            </w:pPr>
          </w:p>
        </w:tc>
        <w:tc>
          <w:tcPr>
            <w:tcW w:w="365" w:type="pct"/>
          </w:tcPr>
          <w:p w:rsidR="005600BB" w:rsidRPr="00E106BD" w:rsidRDefault="005600BB" w:rsidP="00690749">
            <w:pPr>
              <w:keepNext/>
              <w:rPr>
                <w:rFonts w:ascii="Arial" w:hAnsi="Arial" w:cs="Arial"/>
                <w:sz w:val="16"/>
                <w:szCs w:val="16"/>
              </w:rPr>
            </w:pPr>
          </w:p>
        </w:tc>
        <w:tc>
          <w:tcPr>
            <w:tcW w:w="374" w:type="pct"/>
          </w:tcPr>
          <w:p w:rsidR="005600BB" w:rsidRPr="00E106BD" w:rsidRDefault="005600BB" w:rsidP="00690749">
            <w:pPr>
              <w:keepNext/>
              <w:rPr>
                <w:rFonts w:ascii="Arial" w:hAnsi="Arial" w:cs="Arial"/>
                <w:sz w:val="16"/>
                <w:szCs w:val="16"/>
              </w:rPr>
            </w:pPr>
          </w:p>
        </w:tc>
        <w:tc>
          <w:tcPr>
            <w:tcW w:w="220" w:type="pct"/>
          </w:tcPr>
          <w:p w:rsidR="005600BB" w:rsidRPr="00E106BD" w:rsidRDefault="005600BB" w:rsidP="00690749">
            <w:pPr>
              <w:keepNext/>
              <w:rPr>
                <w:rFonts w:ascii="Arial" w:hAnsi="Arial" w:cs="Arial"/>
                <w:sz w:val="16"/>
                <w:szCs w:val="16"/>
              </w:rPr>
            </w:pPr>
          </w:p>
        </w:tc>
        <w:tc>
          <w:tcPr>
            <w:tcW w:w="477"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C5969 C5972</w:t>
            </w:r>
          </w:p>
        </w:tc>
        <w:tc>
          <w:tcPr>
            <w:tcW w:w="424"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P5972</w:t>
            </w:r>
          </w:p>
        </w:tc>
        <w:tc>
          <w:tcPr>
            <w:tcW w:w="344"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690749">
            <w:pPr>
              <w:keepNext/>
              <w:rPr>
                <w:rFonts w:ascii="Arial" w:hAnsi="Arial" w:cs="Arial"/>
                <w:sz w:val="16"/>
                <w:szCs w:val="16"/>
              </w:rPr>
            </w:pPr>
          </w:p>
        </w:tc>
      </w:tr>
      <w:tr w:rsidR="005600BB" w:rsidRPr="00E106BD" w:rsidDel="001C62E5"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Sofosbuvir with velpatasvir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containing 400 mg sofosbuvir with 100 mg velpatasvir</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Epclusa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GI</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C5969</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2</w:t>
            </w:r>
          </w:p>
        </w:tc>
        <w:tc>
          <w:tcPr>
            <w:tcW w:w="313" w:type="pct"/>
          </w:tcPr>
          <w:p w:rsidR="005600BB" w:rsidRPr="00E106BD" w:rsidRDefault="005600BB" w:rsidP="00404472">
            <w:pPr>
              <w:rPr>
                <w:rFonts w:ascii="Arial" w:hAnsi="Arial" w:cs="Arial"/>
                <w:sz w:val="16"/>
                <w:szCs w:val="16"/>
              </w:rPr>
            </w:pPr>
          </w:p>
        </w:tc>
      </w:tr>
      <w:tr w:rsidR="005600BB" w:rsidRPr="00E106BD" w:rsidDel="001C62E5"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Sofosbuvir with velpatasvir and voxilaprevir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containing 400 mg sofosbuvir with 100 mg velpatasvir and 100 mg voxilaprevir</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Vosevi</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GI</w:t>
            </w:r>
          </w:p>
        </w:tc>
        <w:tc>
          <w:tcPr>
            <w:tcW w:w="477" w:type="pct"/>
          </w:tcPr>
          <w:p w:rsidR="005600BB" w:rsidRPr="00E106BD" w:rsidRDefault="005600BB" w:rsidP="00404472">
            <w:pPr>
              <w:rPr>
                <w:rFonts w:ascii="Arial" w:hAnsi="Arial" w:cs="Arial"/>
                <w:sz w:val="16"/>
                <w:szCs w:val="16"/>
              </w:rPr>
            </w:pPr>
            <w:r w:rsidRPr="00E106BD">
              <w:rPr>
                <w:rStyle w:val="charAmendmentKeyword"/>
                <w:b w:val="0"/>
                <w:sz w:val="16"/>
                <w:szCs w:val="16"/>
                <w:lang w:eastAsia="en-AU"/>
              </w:rPr>
              <w:t>C10248</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2</w:t>
            </w:r>
          </w:p>
        </w:tc>
        <w:tc>
          <w:tcPr>
            <w:tcW w:w="313" w:type="pct"/>
          </w:tcPr>
          <w:p w:rsidR="005600BB" w:rsidRPr="00E106BD" w:rsidRDefault="005600BB" w:rsidP="00404472">
            <w:pPr>
              <w:rPr>
                <w:rFonts w:ascii="Arial" w:hAnsi="Arial" w:cs="Arial"/>
                <w:sz w:val="16"/>
                <w:szCs w:val="16"/>
              </w:rPr>
            </w:pP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Sucroferric oxyhydroxide</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chewable, 2.5 g (equivalent to 500 mg iron)</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Velphoro</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VL</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C5530 C9762</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180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w:t>
            </w: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0.5 mg</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Pacrolim</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AF</w:t>
            </w:r>
          </w:p>
        </w:tc>
        <w:tc>
          <w:tcPr>
            <w:tcW w:w="477"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Pharmacor Tacrolimus 0.5</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CR</w:t>
            </w:r>
          </w:p>
        </w:tc>
        <w:tc>
          <w:tcPr>
            <w:tcW w:w="477"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Prograf</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LL</w:t>
            </w:r>
          </w:p>
        </w:tc>
        <w:tc>
          <w:tcPr>
            <w:tcW w:w="477"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Tacrograf</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RW</w:t>
            </w:r>
          </w:p>
        </w:tc>
        <w:tc>
          <w:tcPr>
            <w:tcW w:w="477" w:type="pct"/>
          </w:tcPr>
          <w:p w:rsidR="005600BB" w:rsidRPr="00E106BD"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APOTEX</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TX</w:t>
            </w:r>
          </w:p>
        </w:tc>
        <w:tc>
          <w:tcPr>
            <w:tcW w:w="477"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Sandoz</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SZ</w:t>
            </w:r>
          </w:p>
        </w:tc>
        <w:tc>
          <w:tcPr>
            <w:tcW w:w="477"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0.5 mg (once daily prolonged release)</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ADVAGRAF XL</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LQ</w:t>
            </w:r>
          </w:p>
        </w:tc>
        <w:tc>
          <w:tcPr>
            <w:tcW w:w="477"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0.75 mg</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Sandoz</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SZ</w:t>
            </w:r>
          </w:p>
        </w:tc>
        <w:tc>
          <w:tcPr>
            <w:tcW w:w="477"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1 mg</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Pacrolim</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AF</w:t>
            </w:r>
          </w:p>
        </w:tc>
        <w:tc>
          <w:tcPr>
            <w:tcW w:w="477"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Pharmacor Tacrolimus 1</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CR</w:t>
            </w:r>
          </w:p>
        </w:tc>
        <w:tc>
          <w:tcPr>
            <w:tcW w:w="477"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Prograf</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LL</w:t>
            </w:r>
          </w:p>
        </w:tc>
        <w:tc>
          <w:tcPr>
            <w:tcW w:w="477"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Tacrograf</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RW</w:t>
            </w:r>
          </w:p>
        </w:tc>
        <w:tc>
          <w:tcPr>
            <w:tcW w:w="477" w:type="pct"/>
          </w:tcPr>
          <w:p w:rsidR="005600BB" w:rsidRPr="00E106BD"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APOTEX</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TX</w:t>
            </w:r>
          </w:p>
        </w:tc>
        <w:tc>
          <w:tcPr>
            <w:tcW w:w="477"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Sandoz</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SZ</w:t>
            </w:r>
          </w:p>
        </w:tc>
        <w:tc>
          <w:tcPr>
            <w:tcW w:w="477"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1 mg (once daily prolonged release)</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ADVAGRAF XL</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LQ</w:t>
            </w:r>
          </w:p>
        </w:tc>
        <w:tc>
          <w:tcPr>
            <w:tcW w:w="477"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120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2 mg</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Sandoz</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SZ</w:t>
            </w:r>
          </w:p>
        </w:tc>
        <w:tc>
          <w:tcPr>
            <w:tcW w:w="477"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Capsule 3 mg (once daily prolonged release)</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ADVAGRAF XL</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LQ</w:t>
            </w:r>
          </w:p>
        </w:tc>
        <w:tc>
          <w:tcPr>
            <w:tcW w:w="477" w:type="pct"/>
          </w:tcPr>
          <w:p w:rsidR="005600BB" w:rsidRPr="00E106BD"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 </w:t>
            </w: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100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3</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5 mg</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Pacrolim</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AF</w:t>
            </w:r>
          </w:p>
        </w:tc>
        <w:tc>
          <w:tcPr>
            <w:tcW w:w="477"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100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Pharmacor Tacrolimus 5</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CR</w:t>
            </w:r>
          </w:p>
        </w:tc>
        <w:tc>
          <w:tcPr>
            <w:tcW w:w="477"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100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Prograf</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LL</w:t>
            </w:r>
          </w:p>
        </w:tc>
        <w:tc>
          <w:tcPr>
            <w:tcW w:w="477"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100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Tacrograf</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RW</w:t>
            </w:r>
          </w:p>
        </w:tc>
        <w:tc>
          <w:tcPr>
            <w:tcW w:w="477" w:type="pct"/>
          </w:tcPr>
          <w:p w:rsidR="005600BB" w:rsidRPr="00E106BD"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100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APOTEX</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TX</w:t>
            </w:r>
          </w:p>
        </w:tc>
        <w:tc>
          <w:tcPr>
            <w:tcW w:w="477"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100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Sandoz</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SZ</w:t>
            </w:r>
          </w:p>
        </w:tc>
        <w:tc>
          <w:tcPr>
            <w:tcW w:w="477"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100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802FC7">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5 mg (once daily prolonged release)</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ADVAGRAF XL</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LQ</w:t>
            </w:r>
          </w:p>
        </w:tc>
        <w:tc>
          <w:tcPr>
            <w:tcW w:w="477"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24"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Tadalafil</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20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Adcirca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LY</w:t>
            </w:r>
          </w:p>
        </w:tc>
        <w:tc>
          <w:tcPr>
            <w:tcW w:w="477" w:type="pct"/>
          </w:tcPr>
          <w:p w:rsidR="005600BB" w:rsidRPr="00E106BD" w:rsidRDefault="005600BB" w:rsidP="00404472">
            <w:pPr>
              <w:rPr>
                <w:rFonts w:ascii="Arial" w:hAnsi="Arial" w:cs="Arial"/>
                <w:sz w:val="16"/>
                <w:szCs w:val="16"/>
              </w:rPr>
            </w:pPr>
            <w:r>
              <w:rPr>
                <w:rFonts w:ascii="Arial" w:hAnsi="Arial" w:cs="Arial"/>
                <w:sz w:val="16"/>
                <w:szCs w:val="16"/>
              </w:rPr>
              <w:t>C10228 C10234 C10304</w:t>
            </w:r>
            <w:r w:rsidR="005D7087">
              <w:rPr>
                <w:rFonts w:ascii="Arial" w:hAnsi="Arial" w:cs="Arial"/>
                <w:sz w:val="16"/>
                <w:szCs w:val="16"/>
              </w:rPr>
              <w:t xml:space="preserve"> </w:t>
            </w:r>
            <w:r w:rsidR="005D7087" w:rsidRPr="00802FC7">
              <w:rPr>
                <w:rFonts w:ascii="Arial" w:hAnsi="Arial" w:cs="Arial"/>
                <w:sz w:val="16"/>
                <w:szCs w:val="16"/>
              </w:rPr>
              <w:t>C10726 C10731 C10732 C10733 C10799</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E1429B" w:rsidRPr="00E106BD" w:rsidTr="00E1429B">
        <w:tblPrEx>
          <w:tblBorders>
            <w:top w:val="single" w:sz="4" w:space="0" w:color="auto"/>
          </w:tblBorders>
        </w:tblPrEx>
        <w:trPr>
          <w:cantSplit/>
          <w:tblCellSpacing w:w="22" w:type="dxa"/>
        </w:trPr>
        <w:tc>
          <w:tcPr>
            <w:tcW w:w="1050" w:type="pct"/>
          </w:tcPr>
          <w:p w:rsidR="00E1429B" w:rsidRPr="00E106BD" w:rsidRDefault="00E1429B" w:rsidP="00404472">
            <w:pPr>
              <w:rPr>
                <w:rFonts w:ascii="Arial" w:hAnsi="Arial" w:cs="Arial"/>
                <w:sz w:val="16"/>
                <w:szCs w:val="16"/>
              </w:rPr>
            </w:pPr>
          </w:p>
        </w:tc>
        <w:tc>
          <w:tcPr>
            <w:tcW w:w="943" w:type="pct"/>
          </w:tcPr>
          <w:p w:rsidR="00E1429B" w:rsidRPr="00E106BD" w:rsidRDefault="00E1429B" w:rsidP="00404472">
            <w:pPr>
              <w:rPr>
                <w:rFonts w:ascii="Arial" w:hAnsi="Arial" w:cs="Arial"/>
                <w:sz w:val="16"/>
                <w:szCs w:val="16"/>
              </w:rPr>
            </w:pPr>
          </w:p>
        </w:tc>
        <w:tc>
          <w:tcPr>
            <w:tcW w:w="365" w:type="pct"/>
          </w:tcPr>
          <w:p w:rsidR="00E1429B" w:rsidRPr="00E106BD" w:rsidRDefault="00E1429B" w:rsidP="00404472">
            <w:pPr>
              <w:rPr>
                <w:rFonts w:ascii="Arial" w:hAnsi="Arial" w:cs="Arial"/>
                <w:sz w:val="16"/>
                <w:szCs w:val="16"/>
              </w:rPr>
            </w:pPr>
          </w:p>
        </w:tc>
        <w:tc>
          <w:tcPr>
            <w:tcW w:w="374" w:type="pct"/>
          </w:tcPr>
          <w:p w:rsidR="00E1429B" w:rsidRPr="00E106BD" w:rsidRDefault="00E1429B" w:rsidP="00404472">
            <w:pPr>
              <w:rPr>
                <w:rFonts w:ascii="Arial" w:hAnsi="Arial" w:cs="Arial"/>
                <w:sz w:val="16"/>
                <w:szCs w:val="16"/>
              </w:rPr>
            </w:pPr>
            <w:r w:rsidRPr="00924FE6">
              <w:rPr>
                <w:rFonts w:ascii="Arial" w:hAnsi="Arial" w:cs="Arial"/>
                <w:sz w:val="16"/>
              </w:rPr>
              <w:t>Tadalca</w:t>
            </w:r>
          </w:p>
        </w:tc>
        <w:tc>
          <w:tcPr>
            <w:tcW w:w="220" w:type="pct"/>
          </w:tcPr>
          <w:p w:rsidR="00E1429B" w:rsidRPr="00E106BD" w:rsidRDefault="00E1429B" w:rsidP="00404472">
            <w:pPr>
              <w:rPr>
                <w:rFonts w:ascii="Arial" w:hAnsi="Arial" w:cs="Arial"/>
                <w:sz w:val="16"/>
                <w:szCs w:val="16"/>
              </w:rPr>
            </w:pPr>
            <w:r w:rsidRPr="00924FE6">
              <w:rPr>
                <w:rFonts w:ascii="Arial" w:hAnsi="Arial" w:cs="Arial"/>
                <w:sz w:val="16"/>
              </w:rPr>
              <w:t>CR</w:t>
            </w:r>
          </w:p>
        </w:tc>
        <w:tc>
          <w:tcPr>
            <w:tcW w:w="477" w:type="pct"/>
          </w:tcPr>
          <w:p w:rsidR="00E1429B" w:rsidRDefault="00E1429B" w:rsidP="00404472">
            <w:pPr>
              <w:rPr>
                <w:rFonts w:ascii="Arial" w:hAnsi="Arial" w:cs="Arial"/>
                <w:sz w:val="16"/>
                <w:szCs w:val="16"/>
              </w:rPr>
            </w:pPr>
            <w:r w:rsidRPr="00924FE6">
              <w:rPr>
                <w:rFonts w:ascii="Arial" w:hAnsi="Arial" w:cs="Arial"/>
                <w:sz w:val="16"/>
              </w:rPr>
              <w:t>C10228 C10234 C10304 C10726 C10731 C10732 C10733 C10799</w:t>
            </w:r>
          </w:p>
        </w:tc>
        <w:tc>
          <w:tcPr>
            <w:tcW w:w="424" w:type="pct"/>
          </w:tcPr>
          <w:p w:rsidR="00E1429B" w:rsidRPr="00E106BD" w:rsidRDefault="00E1429B" w:rsidP="00404472">
            <w:pPr>
              <w:rPr>
                <w:rFonts w:ascii="Arial" w:hAnsi="Arial" w:cs="Arial"/>
                <w:sz w:val="16"/>
                <w:szCs w:val="16"/>
              </w:rPr>
            </w:pPr>
          </w:p>
        </w:tc>
        <w:tc>
          <w:tcPr>
            <w:tcW w:w="344" w:type="pct"/>
          </w:tcPr>
          <w:p w:rsidR="00E1429B" w:rsidRPr="00E106BD" w:rsidRDefault="00E1429B" w:rsidP="00404472">
            <w:pPr>
              <w:rPr>
                <w:rFonts w:ascii="Arial" w:hAnsi="Arial" w:cs="Arial"/>
                <w:sz w:val="16"/>
                <w:szCs w:val="16"/>
              </w:rPr>
            </w:pPr>
            <w:r w:rsidRPr="00924FE6">
              <w:rPr>
                <w:rFonts w:ascii="Arial" w:hAnsi="Arial" w:cs="Arial"/>
                <w:sz w:val="16"/>
                <w:szCs w:val="16"/>
              </w:rPr>
              <w:t>See Note 1</w:t>
            </w:r>
          </w:p>
        </w:tc>
        <w:tc>
          <w:tcPr>
            <w:tcW w:w="297" w:type="pct"/>
          </w:tcPr>
          <w:p w:rsidR="00E1429B" w:rsidRPr="00E106BD" w:rsidRDefault="00E1429B" w:rsidP="00404472">
            <w:pPr>
              <w:rPr>
                <w:rFonts w:ascii="Arial" w:hAnsi="Arial" w:cs="Arial"/>
                <w:sz w:val="16"/>
                <w:szCs w:val="16"/>
              </w:rPr>
            </w:pPr>
            <w:r w:rsidRPr="00924FE6">
              <w:rPr>
                <w:rFonts w:ascii="Arial" w:hAnsi="Arial" w:cs="Arial"/>
                <w:sz w:val="16"/>
                <w:szCs w:val="16"/>
              </w:rPr>
              <w:t>See Note 2</w:t>
            </w:r>
          </w:p>
        </w:tc>
        <w:tc>
          <w:tcPr>
            <w:tcW w:w="313" w:type="pct"/>
          </w:tcPr>
          <w:p w:rsidR="00E1429B" w:rsidRPr="00E106BD" w:rsidRDefault="00E1429B" w:rsidP="00404472">
            <w:pPr>
              <w:rPr>
                <w:rFonts w:ascii="Arial" w:hAnsi="Arial" w:cs="Arial"/>
                <w:sz w:val="16"/>
                <w:szCs w:val="16"/>
              </w:rPr>
            </w:pPr>
            <w:r w:rsidRPr="00924FE6">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Teduglutide</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Powder for injection 5 mg with diluent</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Revestive</w:t>
            </w:r>
          </w:p>
        </w:tc>
        <w:tc>
          <w:tcPr>
            <w:tcW w:w="220" w:type="pct"/>
          </w:tcPr>
          <w:p w:rsidR="005600BB" w:rsidRPr="00E106BD" w:rsidRDefault="00245386" w:rsidP="00404472">
            <w:pPr>
              <w:rPr>
                <w:rFonts w:ascii="Arial" w:hAnsi="Arial" w:cs="Arial"/>
                <w:sz w:val="16"/>
                <w:szCs w:val="16"/>
              </w:rPr>
            </w:pPr>
            <w:r>
              <w:rPr>
                <w:rFonts w:ascii="Arial" w:hAnsi="Arial" w:cs="Arial"/>
                <w:sz w:val="16"/>
                <w:szCs w:val="16"/>
              </w:rPr>
              <w:t>TK</w:t>
            </w:r>
          </w:p>
        </w:tc>
        <w:tc>
          <w:tcPr>
            <w:tcW w:w="477" w:type="pct"/>
          </w:tcPr>
          <w:p w:rsidR="005600BB" w:rsidRPr="00E106BD" w:rsidRDefault="005600BB">
            <w:pPr>
              <w:rPr>
                <w:rFonts w:ascii="Arial" w:hAnsi="Arial" w:cs="Arial"/>
                <w:sz w:val="16"/>
                <w:szCs w:val="16"/>
              </w:rPr>
            </w:pPr>
            <w:r w:rsidRPr="00E106BD">
              <w:rPr>
                <w:rFonts w:ascii="Arial" w:hAnsi="Arial" w:cs="Arial"/>
                <w:sz w:val="16"/>
                <w:szCs w:val="16"/>
              </w:rPr>
              <w:t>C9515 C9569 C9687 C9740 C9793 C9829</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lang w:eastAsia="en-AU"/>
              </w:rPr>
              <w:t>D</w:t>
            </w:r>
          </w:p>
        </w:tc>
      </w:tr>
      <w:tr w:rsidR="005600BB" w:rsidRPr="00E106BD" w:rsidDel="00EA247A" w:rsidTr="00802FC7">
        <w:tblPrEx>
          <w:tblBorders>
            <w:top w:val="single" w:sz="4" w:space="0" w:color="auto"/>
          </w:tblBorders>
        </w:tblPrEx>
        <w:trPr>
          <w:cantSplit/>
          <w:tblCellSpacing w:w="22" w:type="dxa"/>
        </w:trPr>
        <w:tc>
          <w:tcPr>
            <w:tcW w:w="1050" w:type="pct"/>
          </w:tcPr>
          <w:p w:rsidR="005600BB" w:rsidRPr="00B0756C" w:rsidDel="00EA247A" w:rsidRDefault="005600BB" w:rsidP="00404472">
            <w:pPr>
              <w:rPr>
                <w:rFonts w:ascii="Arial" w:hAnsi="Arial" w:cs="Arial"/>
                <w:sz w:val="16"/>
                <w:szCs w:val="16"/>
              </w:rPr>
            </w:pPr>
            <w:r w:rsidRPr="002F1D98">
              <w:rPr>
                <w:rFonts w:ascii="Arial" w:hAnsi="Arial" w:cs="Arial"/>
                <w:sz w:val="16"/>
                <w:szCs w:val="16"/>
              </w:rPr>
              <w:t>Tenofovir</w:t>
            </w:r>
          </w:p>
        </w:tc>
        <w:tc>
          <w:tcPr>
            <w:tcW w:w="943" w:type="pct"/>
          </w:tcPr>
          <w:p w:rsidR="005600BB" w:rsidRPr="00B0756C" w:rsidRDefault="005600BB" w:rsidP="00404472">
            <w:pPr>
              <w:rPr>
                <w:rFonts w:ascii="Arial" w:hAnsi="Arial" w:cs="Arial"/>
                <w:sz w:val="16"/>
                <w:szCs w:val="16"/>
              </w:rPr>
            </w:pPr>
            <w:r w:rsidRPr="00B0756C">
              <w:rPr>
                <w:rFonts w:ascii="Arial" w:hAnsi="Arial" w:cs="Arial"/>
                <w:sz w:val="16"/>
                <w:szCs w:val="16"/>
              </w:rPr>
              <w:t>Tablet containing tenofovir disoproxil fumarate 300 mg</w:t>
            </w:r>
          </w:p>
        </w:tc>
        <w:tc>
          <w:tcPr>
            <w:tcW w:w="365" w:type="pct"/>
          </w:tcPr>
          <w:p w:rsidR="005600BB" w:rsidRPr="00B0756C" w:rsidRDefault="005600BB" w:rsidP="00404472">
            <w:pPr>
              <w:rPr>
                <w:rFonts w:ascii="Arial" w:hAnsi="Arial" w:cs="Arial"/>
                <w:sz w:val="16"/>
                <w:szCs w:val="16"/>
              </w:rPr>
            </w:pPr>
            <w:r w:rsidRPr="00B0756C">
              <w:rPr>
                <w:rFonts w:ascii="Arial" w:hAnsi="Arial" w:cs="Arial"/>
                <w:sz w:val="16"/>
                <w:szCs w:val="16"/>
              </w:rPr>
              <w:t>Oral</w:t>
            </w:r>
          </w:p>
        </w:tc>
        <w:tc>
          <w:tcPr>
            <w:tcW w:w="374" w:type="pct"/>
          </w:tcPr>
          <w:p w:rsidR="005600BB" w:rsidRPr="00B0756C" w:rsidRDefault="005600BB" w:rsidP="00404472">
            <w:pPr>
              <w:rPr>
                <w:rFonts w:ascii="Arial" w:hAnsi="Arial" w:cs="Arial"/>
                <w:sz w:val="16"/>
                <w:szCs w:val="16"/>
              </w:rPr>
            </w:pPr>
            <w:r w:rsidRPr="00B0756C">
              <w:rPr>
                <w:rFonts w:ascii="Arial" w:hAnsi="Arial" w:cs="Arial"/>
                <w:sz w:val="16"/>
                <w:szCs w:val="16"/>
              </w:rPr>
              <w:t>Tenofovir APOTEX</w:t>
            </w:r>
          </w:p>
        </w:tc>
        <w:tc>
          <w:tcPr>
            <w:tcW w:w="220" w:type="pct"/>
          </w:tcPr>
          <w:p w:rsidR="005600BB" w:rsidRPr="00B0756C" w:rsidRDefault="005600BB" w:rsidP="00404472">
            <w:pPr>
              <w:rPr>
                <w:rFonts w:ascii="Arial" w:hAnsi="Arial" w:cs="Arial"/>
                <w:sz w:val="16"/>
                <w:szCs w:val="16"/>
              </w:rPr>
            </w:pPr>
            <w:r w:rsidRPr="00B0756C">
              <w:rPr>
                <w:rFonts w:ascii="Arial" w:hAnsi="Arial" w:cs="Arial"/>
                <w:sz w:val="16"/>
                <w:szCs w:val="16"/>
              </w:rPr>
              <w:t>TX</w:t>
            </w:r>
          </w:p>
        </w:tc>
        <w:tc>
          <w:tcPr>
            <w:tcW w:w="477" w:type="pct"/>
          </w:tcPr>
          <w:p w:rsidR="005600BB" w:rsidRPr="00B0756C" w:rsidRDefault="005600BB" w:rsidP="00404472">
            <w:pPr>
              <w:rPr>
                <w:rFonts w:ascii="Arial" w:hAnsi="Arial" w:cs="Arial"/>
                <w:sz w:val="16"/>
                <w:szCs w:val="16"/>
              </w:rPr>
            </w:pPr>
            <w:r w:rsidRPr="00B0756C">
              <w:rPr>
                <w:rFonts w:ascii="Arial" w:hAnsi="Arial" w:cs="Arial"/>
                <w:sz w:val="16"/>
                <w:szCs w:val="16"/>
              </w:rPr>
              <w:t>C6980 C6982 C6983 C6984 C6992 C6998 C10362</w:t>
            </w:r>
          </w:p>
        </w:tc>
        <w:tc>
          <w:tcPr>
            <w:tcW w:w="424" w:type="pct"/>
          </w:tcPr>
          <w:p w:rsidR="005600BB" w:rsidRPr="00B0756C" w:rsidDel="00EA247A" w:rsidRDefault="005600BB" w:rsidP="00404472">
            <w:pPr>
              <w:rPr>
                <w:rFonts w:ascii="Arial" w:hAnsi="Arial" w:cs="Arial"/>
                <w:sz w:val="16"/>
                <w:szCs w:val="16"/>
              </w:rPr>
            </w:pPr>
            <w:r w:rsidRPr="00B0756C">
              <w:rPr>
                <w:rFonts w:ascii="Arial" w:hAnsi="Arial" w:cs="Arial"/>
                <w:sz w:val="16"/>
                <w:szCs w:val="16"/>
              </w:rPr>
              <w:t>P10362</w:t>
            </w:r>
          </w:p>
        </w:tc>
        <w:tc>
          <w:tcPr>
            <w:tcW w:w="344" w:type="pct"/>
          </w:tcPr>
          <w:p w:rsidR="005600BB" w:rsidRPr="00B0756C" w:rsidRDefault="005600BB" w:rsidP="00404472">
            <w:pPr>
              <w:rPr>
                <w:rFonts w:ascii="Arial" w:hAnsi="Arial" w:cs="Arial"/>
                <w:sz w:val="16"/>
                <w:szCs w:val="16"/>
              </w:rPr>
            </w:pPr>
            <w:r w:rsidRPr="00B0756C">
              <w:rPr>
                <w:rFonts w:ascii="Arial" w:hAnsi="Arial" w:cs="Arial"/>
                <w:sz w:val="16"/>
                <w:szCs w:val="16"/>
              </w:rPr>
              <w:t>60</w:t>
            </w:r>
          </w:p>
        </w:tc>
        <w:tc>
          <w:tcPr>
            <w:tcW w:w="297" w:type="pct"/>
          </w:tcPr>
          <w:p w:rsidR="005600BB" w:rsidRPr="00B0756C" w:rsidRDefault="005600BB" w:rsidP="00404472">
            <w:pPr>
              <w:rPr>
                <w:rFonts w:ascii="Arial" w:hAnsi="Arial" w:cs="Arial"/>
                <w:sz w:val="16"/>
                <w:szCs w:val="16"/>
              </w:rPr>
            </w:pPr>
            <w:r w:rsidRPr="00B0756C">
              <w:rPr>
                <w:rFonts w:ascii="Arial" w:hAnsi="Arial" w:cs="Arial"/>
                <w:sz w:val="16"/>
                <w:szCs w:val="16"/>
              </w:rPr>
              <w:t>2</w:t>
            </w:r>
          </w:p>
        </w:tc>
        <w:tc>
          <w:tcPr>
            <w:tcW w:w="313" w:type="pct"/>
          </w:tcPr>
          <w:p w:rsidR="005600BB" w:rsidRPr="00B0756C" w:rsidRDefault="005600BB" w:rsidP="00404472">
            <w:pPr>
              <w:rPr>
                <w:rFonts w:ascii="Arial" w:hAnsi="Arial" w:cs="Arial"/>
                <w:sz w:val="16"/>
                <w:szCs w:val="16"/>
              </w:rPr>
            </w:pPr>
            <w:r w:rsidRPr="00B0756C">
              <w:rPr>
                <w:rFonts w:ascii="Arial" w:hAnsi="Arial" w:cs="Arial"/>
                <w:sz w:val="16"/>
                <w:szCs w:val="16"/>
              </w:rPr>
              <w:t>D</w:t>
            </w:r>
          </w:p>
        </w:tc>
      </w:tr>
      <w:tr w:rsidR="005600BB" w:rsidRPr="00E106BD" w:rsidDel="00EA247A" w:rsidTr="00802FC7">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3A13C5">
              <w:rPr>
                <w:rFonts w:ascii="Arial" w:hAnsi="Arial" w:cs="Arial"/>
                <w:sz w:val="16"/>
                <w:szCs w:val="16"/>
              </w:rPr>
              <w:t>Viread</w:t>
            </w:r>
          </w:p>
        </w:tc>
        <w:tc>
          <w:tcPr>
            <w:tcW w:w="220" w:type="pct"/>
          </w:tcPr>
          <w:p w:rsidR="005600BB" w:rsidRPr="00E106BD" w:rsidRDefault="005600BB" w:rsidP="00404472">
            <w:pPr>
              <w:rPr>
                <w:rFonts w:ascii="Arial" w:hAnsi="Arial" w:cs="Arial"/>
                <w:sz w:val="16"/>
                <w:szCs w:val="16"/>
              </w:rPr>
            </w:pPr>
            <w:r w:rsidRPr="003A13C5">
              <w:rPr>
                <w:rFonts w:ascii="Arial" w:hAnsi="Arial" w:cs="Arial"/>
                <w:sz w:val="16"/>
                <w:szCs w:val="16"/>
              </w:rPr>
              <w:t>GI</w:t>
            </w:r>
          </w:p>
        </w:tc>
        <w:tc>
          <w:tcPr>
            <w:tcW w:w="477" w:type="pct"/>
          </w:tcPr>
          <w:p w:rsidR="005600BB" w:rsidRPr="00E106BD" w:rsidRDefault="005600BB" w:rsidP="00404472">
            <w:pPr>
              <w:rPr>
                <w:rFonts w:ascii="Arial" w:hAnsi="Arial" w:cs="Arial"/>
                <w:sz w:val="16"/>
                <w:szCs w:val="16"/>
              </w:rPr>
            </w:pPr>
            <w:r w:rsidRPr="003A13C5">
              <w:rPr>
                <w:rFonts w:ascii="Arial" w:hAnsi="Arial" w:cs="Arial"/>
                <w:sz w:val="16"/>
                <w:szCs w:val="16"/>
              </w:rPr>
              <w:t>C6980 C6982 C6983 C6984 C6992 C6998 C10362</w:t>
            </w:r>
          </w:p>
        </w:tc>
        <w:tc>
          <w:tcPr>
            <w:tcW w:w="424" w:type="pct"/>
          </w:tcPr>
          <w:p w:rsidR="005600BB" w:rsidRPr="00E106BD" w:rsidDel="00EA247A" w:rsidRDefault="005600BB" w:rsidP="00404472">
            <w:pPr>
              <w:rPr>
                <w:rFonts w:ascii="Arial" w:hAnsi="Arial" w:cs="Arial"/>
                <w:sz w:val="16"/>
                <w:szCs w:val="16"/>
              </w:rPr>
            </w:pPr>
            <w:r w:rsidRPr="003A13C5">
              <w:rPr>
                <w:rFonts w:ascii="Arial" w:hAnsi="Arial" w:cs="Arial"/>
                <w:sz w:val="16"/>
                <w:szCs w:val="16"/>
              </w:rPr>
              <w:t>P10362</w:t>
            </w:r>
          </w:p>
        </w:tc>
        <w:tc>
          <w:tcPr>
            <w:tcW w:w="344" w:type="pct"/>
          </w:tcPr>
          <w:p w:rsidR="005600BB" w:rsidRPr="00E106BD" w:rsidRDefault="005600BB" w:rsidP="00404472">
            <w:pPr>
              <w:rPr>
                <w:rFonts w:ascii="Arial" w:hAnsi="Arial" w:cs="Arial"/>
                <w:sz w:val="16"/>
                <w:szCs w:val="16"/>
              </w:rPr>
            </w:pPr>
            <w:r w:rsidRPr="003A13C5">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3A13C5">
              <w:rPr>
                <w:rFonts w:ascii="Arial" w:hAnsi="Arial" w:cs="Arial"/>
                <w:sz w:val="16"/>
                <w:szCs w:val="16"/>
              </w:rPr>
              <w:t>2</w:t>
            </w:r>
          </w:p>
        </w:tc>
        <w:tc>
          <w:tcPr>
            <w:tcW w:w="313" w:type="pct"/>
          </w:tcPr>
          <w:p w:rsidR="005600BB" w:rsidRPr="00E106BD" w:rsidRDefault="005600BB" w:rsidP="00404472">
            <w:pPr>
              <w:rPr>
                <w:rFonts w:ascii="Arial" w:hAnsi="Arial" w:cs="Arial"/>
                <w:sz w:val="16"/>
                <w:szCs w:val="16"/>
              </w:rPr>
            </w:pPr>
            <w:r w:rsidRPr="003A13C5">
              <w:rPr>
                <w:rFonts w:ascii="Arial" w:hAnsi="Arial" w:cs="Arial"/>
                <w:sz w:val="16"/>
                <w:szCs w:val="16"/>
              </w:rPr>
              <w:t>D</w:t>
            </w:r>
          </w:p>
        </w:tc>
      </w:tr>
      <w:tr w:rsidR="005600BB" w:rsidRPr="00E106BD" w:rsidDel="00EA247A" w:rsidTr="00802FC7">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3A13C5">
              <w:rPr>
                <w:rFonts w:ascii="Arial" w:hAnsi="Arial" w:cs="Arial"/>
                <w:sz w:val="16"/>
                <w:szCs w:val="16"/>
              </w:rPr>
              <w:t>Tenofovir APOTEX</w:t>
            </w:r>
          </w:p>
        </w:tc>
        <w:tc>
          <w:tcPr>
            <w:tcW w:w="220" w:type="pct"/>
          </w:tcPr>
          <w:p w:rsidR="005600BB" w:rsidRPr="00E106BD" w:rsidRDefault="005600BB" w:rsidP="00404472">
            <w:pPr>
              <w:rPr>
                <w:rFonts w:ascii="Arial" w:hAnsi="Arial" w:cs="Arial"/>
                <w:sz w:val="16"/>
                <w:szCs w:val="16"/>
              </w:rPr>
            </w:pPr>
            <w:r w:rsidRPr="003A13C5">
              <w:rPr>
                <w:rFonts w:ascii="Arial" w:hAnsi="Arial" w:cs="Arial"/>
                <w:sz w:val="16"/>
                <w:szCs w:val="16"/>
              </w:rPr>
              <w:t>TX</w:t>
            </w:r>
          </w:p>
        </w:tc>
        <w:tc>
          <w:tcPr>
            <w:tcW w:w="477" w:type="pct"/>
          </w:tcPr>
          <w:p w:rsidR="005600BB" w:rsidRPr="00E106BD" w:rsidRDefault="005600BB" w:rsidP="00404472">
            <w:pPr>
              <w:rPr>
                <w:rFonts w:ascii="Arial" w:hAnsi="Arial" w:cs="Arial"/>
                <w:sz w:val="16"/>
                <w:szCs w:val="16"/>
              </w:rPr>
            </w:pPr>
            <w:r w:rsidRPr="003A13C5">
              <w:rPr>
                <w:rFonts w:ascii="Arial" w:hAnsi="Arial" w:cs="Arial"/>
                <w:sz w:val="16"/>
                <w:szCs w:val="16"/>
              </w:rPr>
              <w:t>C6980 C6982 C6983 C6984 C6992 C6998 C10362</w:t>
            </w:r>
          </w:p>
        </w:tc>
        <w:tc>
          <w:tcPr>
            <w:tcW w:w="424" w:type="pct"/>
          </w:tcPr>
          <w:p w:rsidR="005600BB" w:rsidRPr="00E106BD" w:rsidDel="00EA247A" w:rsidRDefault="005600BB" w:rsidP="00404472">
            <w:pPr>
              <w:rPr>
                <w:rFonts w:ascii="Arial" w:hAnsi="Arial" w:cs="Arial"/>
                <w:sz w:val="16"/>
                <w:szCs w:val="16"/>
              </w:rPr>
            </w:pPr>
            <w:r w:rsidRPr="003A13C5">
              <w:rPr>
                <w:rFonts w:ascii="Arial" w:hAnsi="Arial" w:cs="Arial"/>
                <w:sz w:val="16"/>
                <w:szCs w:val="16"/>
              </w:rPr>
              <w:t>P6980 P6982 P6983 P6984 P6992 P6998</w:t>
            </w:r>
          </w:p>
        </w:tc>
        <w:tc>
          <w:tcPr>
            <w:tcW w:w="344" w:type="pct"/>
          </w:tcPr>
          <w:p w:rsidR="005600BB" w:rsidRPr="00E106BD" w:rsidRDefault="005600BB" w:rsidP="00404472">
            <w:pPr>
              <w:rPr>
                <w:rFonts w:ascii="Arial" w:hAnsi="Arial" w:cs="Arial"/>
                <w:sz w:val="16"/>
                <w:szCs w:val="16"/>
              </w:rPr>
            </w:pPr>
            <w:r w:rsidRPr="003A13C5">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3A13C5">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3A13C5">
              <w:rPr>
                <w:rFonts w:ascii="Arial" w:hAnsi="Arial" w:cs="Arial"/>
                <w:sz w:val="16"/>
                <w:szCs w:val="16"/>
              </w:rPr>
              <w:t>D</w:t>
            </w:r>
          </w:p>
        </w:tc>
      </w:tr>
      <w:tr w:rsidR="005600BB" w:rsidRPr="00E106BD" w:rsidDel="00EA247A" w:rsidTr="00802FC7">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3A13C5">
              <w:rPr>
                <w:rFonts w:ascii="Arial" w:hAnsi="Arial" w:cs="Arial"/>
                <w:sz w:val="16"/>
                <w:szCs w:val="16"/>
              </w:rPr>
              <w:t>Viread</w:t>
            </w:r>
          </w:p>
        </w:tc>
        <w:tc>
          <w:tcPr>
            <w:tcW w:w="220" w:type="pct"/>
          </w:tcPr>
          <w:p w:rsidR="005600BB" w:rsidRPr="00E106BD" w:rsidRDefault="005600BB" w:rsidP="00404472">
            <w:pPr>
              <w:rPr>
                <w:rFonts w:ascii="Arial" w:hAnsi="Arial" w:cs="Arial"/>
                <w:sz w:val="16"/>
                <w:szCs w:val="16"/>
              </w:rPr>
            </w:pPr>
            <w:r w:rsidRPr="003A13C5">
              <w:rPr>
                <w:rFonts w:ascii="Arial" w:hAnsi="Arial" w:cs="Arial"/>
                <w:sz w:val="16"/>
                <w:szCs w:val="16"/>
              </w:rPr>
              <w:t>GI</w:t>
            </w:r>
          </w:p>
        </w:tc>
        <w:tc>
          <w:tcPr>
            <w:tcW w:w="477" w:type="pct"/>
          </w:tcPr>
          <w:p w:rsidR="005600BB" w:rsidRPr="00E106BD" w:rsidRDefault="005600BB" w:rsidP="00404472">
            <w:pPr>
              <w:rPr>
                <w:rFonts w:ascii="Arial" w:hAnsi="Arial" w:cs="Arial"/>
                <w:sz w:val="16"/>
                <w:szCs w:val="16"/>
              </w:rPr>
            </w:pPr>
            <w:r w:rsidRPr="003A13C5">
              <w:rPr>
                <w:rFonts w:ascii="Arial" w:hAnsi="Arial" w:cs="Arial"/>
                <w:sz w:val="16"/>
                <w:szCs w:val="16"/>
              </w:rPr>
              <w:t>C6980 C6982 C6983 C6984 C6992 C6998 C10362</w:t>
            </w:r>
          </w:p>
        </w:tc>
        <w:tc>
          <w:tcPr>
            <w:tcW w:w="424" w:type="pct"/>
          </w:tcPr>
          <w:p w:rsidR="005600BB" w:rsidRPr="00E106BD" w:rsidDel="00EA247A" w:rsidRDefault="005600BB" w:rsidP="00404472">
            <w:pPr>
              <w:rPr>
                <w:rFonts w:ascii="Arial" w:hAnsi="Arial" w:cs="Arial"/>
                <w:sz w:val="16"/>
                <w:szCs w:val="16"/>
              </w:rPr>
            </w:pPr>
            <w:r w:rsidRPr="003A13C5">
              <w:rPr>
                <w:rFonts w:ascii="Arial" w:hAnsi="Arial" w:cs="Arial"/>
                <w:sz w:val="16"/>
                <w:szCs w:val="16"/>
              </w:rPr>
              <w:t>P6980 P6982 P6983 P6984 P6992 P6998</w:t>
            </w:r>
          </w:p>
        </w:tc>
        <w:tc>
          <w:tcPr>
            <w:tcW w:w="344" w:type="pct"/>
          </w:tcPr>
          <w:p w:rsidR="005600BB" w:rsidRPr="00E106BD" w:rsidRDefault="005600BB" w:rsidP="00404472">
            <w:pPr>
              <w:rPr>
                <w:rFonts w:ascii="Arial" w:hAnsi="Arial" w:cs="Arial"/>
                <w:sz w:val="16"/>
                <w:szCs w:val="16"/>
              </w:rPr>
            </w:pPr>
            <w:r w:rsidRPr="003A13C5">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3A13C5">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3A13C5">
              <w:rPr>
                <w:rFonts w:ascii="Arial" w:hAnsi="Arial" w:cs="Arial"/>
                <w:sz w:val="16"/>
                <w:szCs w:val="16"/>
              </w:rPr>
              <w:t>D</w:t>
            </w:r>
          </w:p>
        </w:tc>
      </w:tr>
      <w:tr w:rsidR="005600BB" w:rsidRPr="00E106BD" w:rsidDel="00EA247A" w:rsidTr="00802FC7">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3A13C5">
              <w:rPr>
                <w:rFonts w:ascii="Arial" w:hAnsi="Arial" w:cs="Arial"/>
                <w:sz w:val="16"/>
                <w:szCs w:val="16"/>
              </w:rPr>
              <w:t>Tablet containing tenofovir disoproxil maleate 300 mg</w:t>
            </w:r>
          </w:p>
        </w:tc>
        <w:tc>
          <w:tcPr>
            <w:tcW w:w="365" w:type="pct"/>
          </w:tcPr>
          <w:p w:rsidR="005600BB" w:rsidRPr="00E106BD" w:rsidRDefault="005600BB" w:rsidP="00404472">
            <w:pPr>
              <w:rPr>
                <w:rFonts w:ascii="Arial" w:hAnsi="Arial" w:cs="Arial"/>
                <w:sz w:val="16"/>
                <w:szCs w:val="16"/>
              </w:rPr>
            </w:pPr>
            <w:r w:rsidRPr="003A13C5">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3A13C5">
              <w:rPr>
                <w:rFonts w:ascii="Arial" w:hAnsi="Arial" w:cs="Arial"/>
                <w:sz w:val="16"/>
                <w:szCs w:val="16"/>
              </w:rPr>
              <w:t>Tenofovir Disoproxil Mylan</w:t>
            </w:r>
          </w:p>
        </w:tc>
        <w:tc>
          <w:tcPr>
            <w:tcW w:w="220" w:type="pct"/>
          </w:tcPr>
          <w:p w:rsidR="005600BB" w:rsidRPr="00E106BD" w:rsidRDefault="005600BB" w:rsidP="00404472">
            <w:pPr>
              <w:rPr>
                <w:rFonts w:ascii="Arial" w:hAnsi="Arial" w:cs="Arial"/>
                <w:sz w:val="16"/>
                <w:szCs w:val="16"/>
              </w:rPr>
            </w:pPr>
            <w:r w:rsidRPr="003A13C5">
              <w:rPr>
                <w:rFonts w:ascii="Arial" w:hAnsi="Arial" w:cs="Arial"/>
                <w:sz w:val="16"/>
                <w:szCs w:val="16"/>
              </w:rPr>
              <w:t>AF</w:t>
            </w:r>
          </w:p>
        </w:tc>
        <w:tc>
          <w:tcPr>
            <w:tcW w:w="477" w:type="pct"/>
          </w:tcPr>
          <w:p w:rsidR="005600BB" w:rsidRPr="00E106BD" w:rsidRDefault="005600BB" w:rsidP="00404472">
            <w:pPr>
              <w:rPr>
                <w:rFonts w:ascii="Arial" w:hAnsi="Arial" w:cs="Arial"/>
                <w:sz w:val="16"/>
                <w:szCs w:val="16"/>
              </w:rPr>
            </w:pPr>
            <w:r w:rsidRPr="003A13C5">
              <w:rPr>
                <w:rFonts w:ascii="Arial" w:hAnsi="Arial" w:cs="Arial"/>
                <w:sz w:val="16"/>
                <w:szCs w:val="16"/>
              </w:rPr>
              <w:t>C6980 C6982 C6983 C6984 C6992 C6998 C10362</w:t>
            </w:r>
          </w:p>
        </w:tc>
        <w:tc>
          <w:tcPr>
            <w:tcW w:w="424" w:type="pct"/>
          </w:tcPr>
          <w:p w:rsidR="005600BB" w:rsidRPr="00E106BD" w:rsidDel="00EA247A" w:rsidRDefault="005600BB" w:rsidP="00404472">
            <w:pPr>
              <w:rPr>
                <w:rFonts w:ascii="Arial" w:hAnsi="Arial" w:cs="Arial"/>
                <w:sz w:val="16"/>
                <w:szCs w:val="16"/>
              </w:rPr>
            </w:pPr>
            <w:r w:rsidRPr="003A13C5">
              <w:rPr>
                <w:rFonts w:ascii="Arial" w:hAnsi="Arial" w:cs="Arial"/>
                <w:sz w:val="16"/>
                <w:szCs w:val="16"/>
              </w:rPr>
              <w:t>P10362</w:t>
            </w:r>
          </w:p>
        </w:tc>
        <w:tc>
          <w:tcPr>
            <w:tcW w:w="344" w:type="pct"/>
          </w:tcPr>
          <w:p w:rsidR="005600BB" w:rsidRPr="00E106BD" w:rsidRDefault="005600BB" w:rsidP="00404472">
            <w:pPr>
              <w:rPr>
                <w:rFonts w:ascii="Arial" w:hAnsi="Arial" w:cs="Arial"/>
                <w:sz w:val="16"/>
                <w:szCs w:val="16"/>
              </w:rPr>
            </w:pPr>
            <w:r w:rsidRPr="003A13C5">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3A13C5">
              <w:rPr>
                <w:rFonts w:ascii="Arial" w:hAnsi="Arial" w:cs="Arial"/>
                <w:sz w:val="16"/>
                <w:szCs w:val="16"/>
              </w:rPr>
              <w:t>2</w:t>
            </w:r>
          </w:p>
        </w:tc>
        <w:tc>
          <w:tcPr>
            <w:tcW w:w="313" w:type="pct"/>
          </w:tcPr>
          <w:p w:rsidR="005600BB" w:rsidRPr="00E106BD" w:rsidRDefault="005600BB" w:rsidP="00404472">
            <w:pPr>
              <w:rPr>
                <w:rFonts w:ascii="Arial" w:hAnsi="Arial" w:cs="Arial"/>
                <w:sz w:val="16"/>
                <w:szCs w:val="16"/>
              </w:rPr>
            </w:pPr>
            <w:r w:rsidRPr="003A13C5">
              <w:rPr>
                <w:rFonts w:ascii="Arial" w:hAnsi="Arial" w:cs="Arial"/>
                <w:sz w:val="16"/>
                <w:szCs w:val="16"/>
              </w:rPr>
              <w:t>D</w:t>
            </w:r>
          </w:p>
        </w:tc>
      </w:tr>
      <w:tr w:rsidR="005600BB" w:rsidRPr="00E106BD" w:rsidDel="00EA247A" w:rsidTr="00802FC7">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p>
        </w:tc>
        <w:tc>
          <w:tcPr>
            <w:tcW w:w="220" w:type="pct"/>
          </w:tcPr>
          <w:p w:rsidR="005600BB" w:rsidRPr="00E106BD" w:rsidRDefault="005600BB" w:rsidP="00404472">
            <w:pPr>
              <w:rPr>
                <w:rFonts w:ascii="Arial" w:hAnsi="Arial" w:cs="Arial"/>
                <w:sz w:val="16"/>
                <w:szCs w:val="16"/>
              </w:rPr>
            </w:pPr>
          </w:p>
        </w:tc>
        <w:tc>
          <w:tcPr>
            <w:tcW w:w="477" w:type="pct"/>
          </w:tcPr>
          <w:p w:rsidR="005600BB" w:rsidRPr="00E106BD" w:rsidRDefault="005600BB" w:rsidP="00404472">
            <w:pPr>
              <w:rPr>
                <w:rFonts w:ascii="Arial" w:hAnsi="Arial" w:cs="Arial"/>
                <w:sz w:val="16"/>
                <w:szCs w:val="16"/>
              </w:rPr>
            </w:pPr>
            <w:r w:rsidRPr="003A13C5">
              <w:rPr>
                <w:rFonts w:ascii="Arial" w:hAnsi="Arial" w:cs="Arial"/>
                <w:sz w:val="16"/>
                <w:szCs w:val="16"/>
              </w:rPr>
              <w:t>C6980 C6982 C6983 C6984 C6992 C6998 C10362</w:t>
            </w:r>
          </w:p>
        </w:tc>
        <w:tc>
          <w:tcPr>
            <w:tcW w:w="424" w:type="pct"/>
          </w:tcPr>
          <w:p w:rsidR="005600BB" w:rsidRPr="00E106BD" w:rsidDel="00EA247A" w:rsidRDefault="005600BB" w:rsidP="00404472">
            <w:pPr>
              <w:rPr>
                <w:rFonts w:ascii="Arial" w:hAnsi="Arial" w:cs="Arial"/>
                <w:sz w:val="16"/>
                <w:szCs w:val="16"/>
              </w:rPr>
            </w:pPr>
            <w:r w:rsidRPr="003A13C5">
              <w:rPr>
                <w:rFonts w:ascii="Arial" w:hAnsi="Arial" w:cs="Arial"/>
                <w:sz w:val="16"/>
                <w:szCs w:val="16"/>
              </w:rPr>
              <w:t>P6980 P6982 P6983 P6984 P6992 P6998</w:t>
            </w:r>
          </w:p>
        </w:tc>
        <w:tc>
          <w:tcPr>
            <w:tcW w:w="344" w:type="pct"/>
          </w:tcPr>
          <w:p w:rsidR="005600BB" w:rsidRPr="00E106BD" w:rsidRDefault="005600BB" w:rsidP="00404472">
            <w:pPr>
              <w:rPr>
                <w:rFonts w:ascii="Arial" w:hAnsi="Arial" w:cs="Arial"/>
                <w:sz w:val="16"/>
                <w:szCs w:val="16"/>
              </w:rPr>
            </w:pPr>
            <w:r w:rsidRPr="003A13C5">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3A13C5">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3A13C5">
              <w:rPr>
                <w:rFonts w:ascii="Arial" w:hAnsi="Arial" w:cs="Arial"/>
                <w:sz w:val="16"/>
                <w:szCs w:val="16"/>
              </w:rPr>
              <w:t>D</w:t>
            </w:r>
          </w:p>
        </w:tc>
      </w:tr>
      <w:tr w:rsidR="005600BB" w:rsidRPr="00E106BD" w:rsidDel="00EA247A" w:rsidTr="00802FC7">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3A13C5">
              <w:rPr>
                <w:rFonts w:ascii="Arial" w:hAnsi="Arial" w:cs="Arial"/>
                <w:sz w:val="16"/>
                <w:szCs w:val="16"/>
              </w:rPr>
              <w:t>Tablet containing tenofovir disoproxil phosphate 291 mg</w:t>
            </w:r>
          </w:p>
        </w:tc>
        <w:tc>
          <w:tcPr>
            <w:tcW w:w="365" w:type="pct"/>
          </w:tcPr>
          <w:p w:rsidR="005600BB" w:rsidRPr="00E106BD" w:rsidRDefault="005600BB" w:rsidP="00404472">
            <w:pPr>
              <w:rPr>
                <w:rFonts w:ascii="Arial" w:hAnsi="Arial" w:cs="Arial"/>
                <w:sz w:val="16"/>
                <w:szCs w:val="16"/>
              </w:rPr>
            </w:pPr>
            <w:r w:rsidRPr="003A13C5">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3A13C5">
              <w:rPr>
                <w:rFonts w:ascii="Arial" w:hAnsi="Arial" w:cs="Arial"/>
                <w:sz w:val="16"/>
                <w:szCs w:val="16"/>
              </w:rPr>
              <w:t>Tenofovir GH</w:t>
            </w:r>
          </w:p>
        </w:tc>
        <w:tc>
          <w:tcPr>
            <w:tcW w:w="220" w:type="pct"/>
          </w:tcPr>
          <w:p w:rsidR="005600BB" w:rsidRPr="00E106BD" w:rsidRDefault="005600BB" w:rsidP="00404472">
            <w:pPr>
              <w:rPr>
                <w:rFonts w:ascii="Arial" w:hAnsi="Arial" w:cs="Arial"/>
                <w:sz w:val="16"/>
                <w:szCs w:val="16"/>
              </w:rPr>
            </w:pPr>
            <w:r w:rsidRPr="003A13C5">
              <w:rPr>
                <w:rFonts w:ascii="Arial" w:hAnsi="Arial" w:cs="Arial"/>
                <w:sz w:val="16"/>
                <w:szCs w:val="16"/>
              </w:rPr>
              <w:t>GQ</w:t>
            </w:r>
          </w:p>
        </w:tc>
        <w:tc>
          <w:tcPr>
            <w:tcW w:w="477" w:type="pct"/>
          </w:tcPr>
          <w:p w:rsidR="005600BB" w:rsidRPr="00E106BD" w:rsidRDefault="005600BB" w:rsidP="00404472">
            <w:pPr>
              <w:rPr>
                <w:rFonts w:ascii="Arial" w:hAnsi="Arial" w:cs="Arial"/>
                <w:sz w:val="16"/>
                <w:szCs w:val="16"/>
              </w:rPr>
            </w:pPr>
            <w:r w:rsidRPr="003A13C5">
              <w:rPr>
                <w:rFonts w:ascii="Arial" w:hAnsi="Arial" w:cs="Arial"/>
                <w:sz w:val="16"/>
                <w:szCs w:val="16"/>
              </w:rPr>
              <w:t>C6980 C6982 C6983 C6984 C6992 C6998 C10362</w:t>
            </w:r>
          </w:p>
        </w:tc>
        <w:tc>
          <w:tcPr>
            <w:tcW w:w="424" w:type="pct"/>
          </w:tcPr>
          <w:p w:rsidR="005600BB" w:rsidRPr="00E106BD" w:rsidDel="00EA247A" w:rsidRDefault="005600BB" w:rsidP="00404472">
            <w:pPr>
              <w:rPr>
                <w:rFonts w:ascii="Arial" w:hAnsi="Arial" w:cs="Arial"/>
                <w:sz w:val="16"/>
                <w:szCs w:val="16"/>
              </w:rPr>
            </w:pPr>
            <w:r w:rsidRPr="003A13C5">
              <w:rPr>
                <w:rFonts w:ascii="Arial" w:hAnsi="Arial" w:cs="Arial"/>
                <w:sz w:val="16"/>
                <w:szCs w:val="16"/>
              </w:rPr>
              <w:t>P10362</w:t>
            </w:r>
          </w:p>
        </w:tc>
        <w:tc>
          <w:tcPr>
            <w:tcW w:w="344" w:type="pct"/>
          </w:tcPr>
          <w:p w:rsidR="005600BB" w:rsidRPr="00E106BD" w:rsidRDefault="005600BB" w:rsidP="00404472">
            <w:pPr>
              <w:rPr>
                <w:rFonts w:ascii="Arial" w:hAnsi="Arial" w:cs="Arial"/>
                <w:sz w:val="16"/>
                <w:szCs w:val="16"/>
              </w:rPr>
            </w:pPr>
            <w:r w:rsidRPr="003A13C5">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3A13C5">
              <w:rPr>
                <w:rFonts w:ascii="Arial" w:hAnsi="Arial" w:cs="Arial"/>
                <w:sz w:val="16"/>
                <w:szCs w:val="16"/>
              </w:rPr>
              <w:t>2</w:t>
            </w:r>
          </w:p>
        </w:tc>
        <w:tc>
          <w:tcPr>
            <w:tcW w:w="313" w:type="pct"/>
          </w:tcPr>
          <w:p w:rsidR="005600BB" w:rsidRPr="00E106BD" w:rsidRDefault="005600BB" w:rsidP="00404472">
            <w:pPr>
              <w:rPr>
                <w:rFonts w:ascii="Arial" w:hAnsi="Arial" w:cs="Arial"/>
                <w:sz w:val="16"/>
                <w:szCs w:val="16"/>
              </w:rPr>
            </w:pPr>
            <w:r w:rsidRPr="003A13C5">
              <w:rPr>
                <w:rFonts w:ascii="Arial" w:hAnsi="Arial" w:cs="Arial"/>
                <w:sz w:val="16"/>
                <w:szCs w:val="16"/>
              </w:rPr>
              <w:t>D</w:t>
            </w:r>
          </w:p>
        </w:tc>
      </w:tr>
      <w:tr w:rsidR="005600BB" w:rsidRPr="00E106BD" w:rsidDel="00EA247A" w:rsidTr="00802FC7">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p>
        </w:tc>
        <w:tc>
          <w:tcPr>
            <w:tcW w:w="220" w:type="pct"/>
          </w:tcPr>
          <w:p w:rsidR="005600BB" w:rsidRPr="00E106BD" w:rsidRDefault="005600BB" w:rsidP="00404472">
            <w:pPr>
              <w:rPr>
                <w:rFonts w:ascii="Arial" w:hAnsi="Arial" w:cs="Arial"/>
                <w:sz w:val="16"/>
                <w:szCs w:val="16"/>
              </w:rPr>
            </w:pPr>
          </w:p>
        </w:tc>
        <w:tc>
          <w:tcPr>
            <w:tcW w:w="477" w:type="pct"/>
          </w:tcPr>
          <w:p w:rsidR="005600BB" w:rsidRPr="00E106BD" w:rsidRDefault="005600BB" w:rsidP="00404472">
            <w:pPr>
              <w:rPr>
                <w:rFonts w:ascii="Arial" w:hAnsi="Arial" w:cs="Arial"/>
                <w:sz w:val="16"/>
                <w:szCs w:val="16"/>
              </w:rPr>
            </w:pPr>
            <w:r w:rsidRPr="003A13C5">
              <w:rPr>
                <w:rFonts w:ascii="Arial" w:hAnsi="Arial" w:cs="Arial"/>
                <w:sz w:val="16"/>
                <w:szCs w:val="16"/>
              </w:rPr>
              <w:t>C6980 C6982 C6983 C6984 C6992 C6998 C10362</w:t>
            </w:r>
          </w:p>
        </w:tc>
        <w:tc>
          <w:tcPr>
            <w:tcW w:w="424" w:type="pct"/>
          </w:tcPr>
          <w:p w:rsidR="005600BB" w:rsidRPr="00E106BD" w:rsidDel="00EA247A" w:rsidRDefault="005600BB" w:rsidP="00404472">
            <w:pPr>
              <w:rPr>
                <w:rFonts w:ascii="Arial" w:hAnsi="Arial" w:cs="Arial"/>
                <w:sz w:val="16"/>
                <w:szCs w:val="16"/>
              </w:rPr>
            </w:pPr>
            <w:r w:rsidRPr="003A13C5">
              <w:rPr>
                <w:rFonts w:ascii="Arial" w:hAnsi="Arial" w:cs="Arial"/>
                <w:sz w:val="16"/>
                <w:szCs w:val="16"/>
              </w:rPr>
              <w:t>P6980 P6982 P6983 P6984 P6992 P6998</w:t>
            </w:r>
          </w:p>
        </w:tc>
        <w:tc>
          <w:tcPr>
            <w:tcW w:w="344" w:type="pct"/>
          </w:tcPr>
          <w:p w:rsidR="005600BB" w:rsidRPr="00E106BD" w:rsidRDefault="005600BB" w:rsidP="00404472">
            <w:pPr>
              <w:rPr>
                <w:rFonts w:ascii="Arial" w:hAnsi="Arial" w:cs="Arial"/>
                <w:sz w:val="16"/>
                <w:szCs w:val="16"/>
              </w:rPr>
            </w:pPr>
            <w:r w:rsidRPr="003A13C5">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3A13C5">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3A13C5">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Tenofovir alafenamide with emtricitabine, elvitegravir and cobicistat</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containing tenofovir alafenamide 10 mg with emtricitabine 200 mg, elvitegravir 150 mg and cobicistat 150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Genvoya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GI</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C4470 C4522</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Del="00EA247A" w:rsidTr="00802FC7">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Tenofovir with emtricitabine</w:t>
            </w:r>
          </w:p>
        </w:tc>
        <w:tc>
          <w:tcPr>
            <w:tcW w:w="943"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Tablet containing tenofovir disoproxil fumarate 300 mg with emtricitabine 200 mg</w:t>
            </w:r>
          </w:p>
        </w:tc>
        <w:tc>
          <w:tcPr>
            <w:tcW w:w="365"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Tenofovir/Emtricitabine 300/200 APOTEX</w:t>
            </w:r>
          </w:p>
        </w:tc>
        <w:tc>
          <w:tcPr>
            <w:tcW w:w="220"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TX</w:t>
            </w:r>
          </w:p>
        </w:tc>
        <w:tc>
          <w:tcPr>
            <w:tcW w:w="477"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C6985 C6986</w:t>
            </w:r>
          </w:p>
        </w:tc>
        <w:tc>
          <w:tcPr>
            <w:tcW w:w="424" w:type="pct"/>
          </w:tcPr>
          <w:p w:rsidR="005600BB" w:rsidRPr="00E106BD" w:rsidDel="00EA247A" w:rsidRDefault="005600BB" w:rsidP="00404472">
            <w:pPr>
              <w:rPr>
                <w:rFonts w:ascii="Arial" w:hAnsi="Arial" w:cs="Arial"/>
                <w:sz w:val="16"/>
                <w:szCs w:val="16"/>
              </w:rPr>
            </w:pPr>
          </w:p>
        </w:tc>
        <w:tc>
          <w:tcPr>
            <w:tcW w:w="344"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EA247A" w:rsidTr="00802FC7">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Tablet containing tenofovir disoproxil maleate 300 mg with emtricitabine 200 mg</w:t>
            </w:r>
          </w:p>
        </w:tc>
        <w:tc>
          <w:tcPr>
            <w:tcW w:w="365"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Tenofovir Disoproxil Emtricitabine Mylan 300/200</w:t>
            </w:r>
          </w:p>
        </w:tc>
        <w:tc>
          <w:tcPr>
            <w:tcW w:w="220"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AF</w:t>
            </w:r>
          </w:p>
        </w:tc>
        <w:tc>
          <w:tcPr>
            <w:tcW w:w="477"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C6985 C6986</w:t>
            </w:r>
          </w:p>
        </w:tc>
        <w:tc>
          <w:tcPr>
            <w:tcW w:w="424" w:type="pct"/>
          </w:tcPr>
          <w:p w:rsidR="005600BB" w:rsidRPr="00E106BD" w:rsidDel="00EA247A" w:rsidRDefault="005600BB" w:rsidP="00404472">
            <w:pPr>
              <w:rPr>
                <w:rFonts w:ascii="Arial" w:hAnsi="Arial" w:cs="Arial"/>
                <w:sz w:val="16"/>
                <w:szCs w:val="16"/>
              </w:rPr>
            </w:pPr>
          </w:p>
        </w:tc>
        <w:tc>
          <w:tcPr>
            <w:tcW w:w="344"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EA247A" w:rsidTr="00802FC7">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Tablet containing tenofovir disoproxil phosphate 291 mg with emtricitabine 200 mg</w:t>
            </w:r>
          </w:p>
        </w:tc>
        <w:tc>
          <w:tcPr>
            <w:tcW w:w="365"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Tenofovir EMT GH</w:t>
            </w:r>
          </w:p>
        </w:tc>
        <w:tc>
          <w:tcPr>
            <w:tcW w:w="220"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GQ</w:t>
            </w:r>
          </w:p>
        </w:tc>
        <w:tc>
          <w:tcPr>
            <w:tcW w:w="477"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C6985 C6986</w:t>
            </w:r>
          </w:p>
        </w:tc>
        <w:tc>
          <w:tcPr>
            <w:tcW w:w="424" w:type="pct"/>
          </w:tcPr>
          <w:p w:rsidR="005600BB" w:rsidRPr="00E106BD" w:rsidDel="00EA247A" w:rsidRDefault="005600BB" w:rsidP="00404472">
            <w:pPr>
              <w:rPr>
                <w:rFonts w:ascii="Arial" w:hAnsi="Arial" w:cs="Arial"/>
                <w:sz w:val="16"/>
                <w:szCs w:val="16"/>
              </w:rPr>
            </w:pPr>
          </w:p>
        </w:tc>
        <w:tc>
          <w:tcPr>
            <w:tcW w:w="344"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C</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1232E2" w:rsidP="00404472">
            <w:pPr>
              <w:rPr>
                <w:rFonts w:ascii="Arial" w:hAnsi="Arial" w:cs="Arial"/>
                <w:sz w:val="16"/>
                <w:szCs w:val="16"/>
              </w:rPr>
            </w:pPr>
            <w:r w:rsidRPr="00E106BD">
              <w:rPr>
                <w:rFonts w:ascii="Arial" w:hAnsi="Arial" w:cs="Arial"/>
                <w:sz w:val="16"/>
                <w:szCs w:val="16"/>
              </w:rPr>
              <w:t>Tenofovir with emtricitabine and efavirenz</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rPr>
              <w:t>Tablet containing tenofovir disoproxil maleate 300 mg with emtricitabine 200 mg and efavirenz 600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rPr>
              <w:t>Tenofovir Disoproxil/Emtricitabine/Efavirenz Mylan 300/200/600</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rPr>
              <w:t>AF</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rPr>
              <w:t>C4470 C4522</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rPr>
              <w:t>60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Tezacaftor with ivacaftor and ivacaftor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Pack containing 28 tablets tezacaftor 100 mg with ivacaftor 150 mg and 28 tablets ivacaftor 150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Symdeko</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VR</w:t>
            </w:r>
          </w:p>
        </w:tc>
        <w:tc>
          <w:tcPr>
            <w:tcW w:w="477" w:type="pct"/>
          </w:tcPr>
          <w:p w:rsidR="005600BB" w:rsidRPr="00E106BD" w:rsidRDefault="005600BB" w:rsidP="00C15E9C">
            <w:pPr>
              <w:rPr>
                <w:rFonts w:ascii="Arial" w:hAnsi="Arial" w:cs="Arial"/>
                <w:sz w:val="16"/>
                <w:szCs w:val="16"/>
              </w:rPr>
            </w:pPr>
            <w:r w:rsidRPr="00E106BD">
              <w:rPr>
                <w:rFonts w:ascii="Arial" w:hAnsi="Arial" w:cs="Arial"/>
                <w:sz w:val="16"/>
                <w:szCs w:val="16"/>
              </w:rPr>
              <w:t>C9880 C9961 C10064 C10069</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Thalidomide</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Capsule 50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Thalomid</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CJ</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C5914 C9290</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112</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0</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Capsule 100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Thalomid</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CJ</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C5914 C9290</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56</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0</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Tipranavir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Capsule 250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Aptivus</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BY</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C5764</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240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Tocilizumab</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Concentrate for injection 80 mg in 4 mL</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Actemra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RO</w:t>
            </w:r>
          </w:p>
        </w:tc>
        <w:tc>
          <w:tcPr>
            <w:tcW w:w="477" w:type="pct"/>
          </w:tcPr>
          <w:p w:rsidR="005600BB" w:rsidRPr="00E106BD" w:rsidRDefault="005600BB">
            <w:pPr>
              <w:rPr>
                <w:rFonts w:ascii="Arial" w:hAnsi="Arial" w:cs="Arial"/>
                <w:sz w:val="16"/>
                <w:szCs w:val="16"/>
              </w:rPr>
            </w:pPr>
            <w:r w:rsidRPr="00E106BD">
              <w:rPr>
                <w:rFonts w:ascii="Arial" w:hAnsi="Arial" w:cs="Arial"/>
                <w:sz w:val="16"/>
                <w:szCs w:val="16"/>
              </w:rPr>
              <w:t xml:space="preserve">C8627 C8635 C8636 C8637 C8638 C8709 C9380 C9384 C9386 C9407 C9417 C9494 C9495 C9496 </w:t>
            </w:r>
            <w:r w:rsidR="00687E4E" w:rsidRPr="00DA6B50">
              <w:rPr>
                <w:rFonts w:ascii="Arial" w:hAnsi="Arial" w:cs="Arial"/>
                <w:sz w:val="16"/>
                <w:szCs w:val="16"/>
              </w:rPr>
              <w:t>C10532 C10535 C10536 C10541 C10542 C10545 C10567 C10570 C10571 C10616</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Tr="00802FC7">
        <w:tblPrEx>
          <w:tblBorders>
            <w:top w:val="single" w:sz="4" w:space="0" w:color="auto"/>
          </w:tblBorders>
        </w:tblPrEx>
        <w:trPr>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Concentrate for injection 200 mg in 10 mL</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Actemra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RO</w:t>
            </w:r>
          </w:p>
        </w:tc>
        <w:tc>
          <w:tcPr>
            <w:tcW w:w="477" w:type="pct"/>
          </w:tcPr>
          <w:p w:rsidR="005600BB" w:rsidRPr="00E106BD" w:rsidRDefault="005600BB">
            <w:pPr>
              <w:rPr>
                <w:rFonts w:ascii="Arial" w:hAnsi="Arial" w:cs="Arial"/>
                <w:sz w:val="16"/>
                <w:szCs w:val="16"/>
              </w:rPr>
            </w:pPr>
            <w:r w:rsidRPr="00E106BD">
              <w:rPr>
                <w:rFonts w:ascii="Arial" w:hAnsi="Arial" w:cs="Arial"/>
                <w:sz w:val="16"/>
                <w:szCs w:val="16"/>
              </w:rPr>
              <w:t xml:space="preserve">C8627 C8635 C8636 C8637 C8638 C8709 C9380 C9384 C9386 C9407 C9417 C9494 C9495 C9496 </w:t>
            </w:r>
            <w:r w:rsidR="00687E4E" w:rsidRPr="00DA6B50">
              <w:rPr>
                <w:rFonts w:ascii="Arial" w:hAnsi="Arial" w:cs="Arial"/>
                <w:sz w:val="16"/>
                <w:szCs w:val="16"/>
              </w:rPr>
              <w:t>C10532 C10535 C10536 C10541 C10542 C10545 C10567 C10570 C10571 C10616</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Del="0016726A" w:rsidTr="00802FC7">
        <w:tblPrEx>
          <w:tblBorders>
            <w:top w:val="single" w:sz="4" w:space="0" w:color="auto"/>
          </w:tblBorders>
        </w:tblPrEx>
        <w:trPr>
          <w:tblCellSpacing w:w="22" w:type="dxa"/>
        </w:trPr>
        <w:tc>
          <w:tcPr>
            <w:tcW w:w="1050" w:type="pct"/>
          </w:tcPr>
          <w:p w:rsidR="005600BB" w:rsidRPr="00E106BD" w:rsidDel="0016726A" w:rsidRDefault="005600BB" w:rsidP="00D653A0">
            <w:pPr>
              <w:rPr>
                <w:rFonts w:ascii="Arial" w:hAnsi="Arial" w:cs="Arial"/>
                <w:sz w:val="16"/>
                <w:szCs w:val="16"/>
              </w:rPr>
            </w:pPr>
          </w:p>
        </w:tc>
        <w:tc>
          <w:tcPr>
            <w:tcW w:w="943" w:type="pct"/>
          </w:tcPr>
          <w:p w:rsidR="005600BB" w:rsidRPr="00E106BD" w:rsidDel="0016726A" w:rsidRDefault="005600BB" w:rsidP="003A4651">
            <w:pPr>
              <w:keepNext/>
              <w:tabs>
                <w:tab w:val="left" w:pos="3437"/>
              </w:tabs>
              <w:rPr>
                <w:rFonts w:ascii="Arial" w:hAnsi="Arial" w:cs="Arial"/>
                <w:sz w:val="16"/>
                <w:szCs w:val="16"/>
              </w:rPr>
            </w:pPr>
            <w:r w:rsidRPr="00E106BD">
              <w:rPr>
                <w:rFonts w:ascii="Arial" w:hAnsi="Arial" w:cs="Arial"/>
                <w:sz w:val="16"/>
                <w:szCs w:val="16"/>
              </w:rPr>
              <w:t>Concentrate for injection 400 mg in 20 mL</w:t>
            </w:r>
          </w:p>
        </w:tc>
        <w:tc>
          <w:tcPr>
            <w:tcW w:w="365" w:type="pct"/>
          </w:tcPr>
          <w:p w:rsidR="005600BB" w:rsidRPr="00E106BD" w:rsidDel="0016726A" w:rsidRDefault="005600BB" w:rsidP="003A4651">
            <w:pPr>
              <w:keepNext/>
              <w:rPr>
                <w:rFonts w:ascii="Arial" w:hAnsi="Arial" w:cs="Arial"/>
                <w:sz w:val="16"/>
                <w:szCs w:val="16"/>
              </w:rPr>
            </w:pPr>
            <w:r w:rsidRPr="00E106BD">
              <w:rPr>
                <w:rFonts w:ascii="Arial" w:hAnsi="Arial" w:cs="Arial"/>
                <w:sz w:val="16"/>
                <w:szCs w:val="16"/>
              </w:rPr>
              <w:t>Injection</w:t>
            </w:r>
          </w:p>
        </w:tc>
        <w:tc>
          <w:tcPr>
            <w:tcW w:w="374" w:type="pct"/>
          </w:tcPr>
          <w:p w:rsidR="005600BB" w:rsidRPr="00E106BD" w:rsidDel="0016726A" w:rsidRDefault="005600BB" w:rsidP="003A4651">
            <w:pPr>
              <w:keepNext/>
              <w:rPr>
                <w:rFonts w:ascii="Arial" w:hAnsi="Arial" w:cs="Arial"/>
                <w:sz w:val="16"/>
                <w:szCs w:val="16"/>
              </w:rPr>
            </w:pPr>
            <w:r w:rsidRPr="00E106BD">
              <w:rPr>
                <w:rFonts w:ascii="Arial" w:hAnsi="Arial" w:cs="Arial"/>
                <w:sz w:val="16"/>
                <w:szCs w:val="16"/>
              </w:rPr>
              <w:t>Actemra</w:t>
            </w:r>
          </w:p>
        </w:tc>
        <w:tc>
          <w:tcPr>
            <w:tcW w:w="220" w:type="pct"/>
          </w:tcPr>
          <w:p w:rsidR="005600BB" w:rsidRPr="00E106BD" w:rsidDel="0016726A" w:rsidRDefault="005600BB" w:rsidP="003A4651">
            <w:pPr>
              <w:keepNext/>
              <w:rPr>
                <w:rFonts w:ascii="Arial" w:hAnsi="Arial" w:cs="Arial"/>
                <w:sz w:val="16"/>
                <w:szCs w:val="16"/>
              </w:rPr>
            </w:pPr>
            <w:r w:rsidRPr="00E106BD">
              <w:rPr>
                <w:rFonts w:ascii="Arial" w:hAnsi="Arial" w:cs="Arial"/>
                <w:sz w:val="16"/>
                <w:szCs w:val="16"/>
              </w:rPr>
              <w:t>RO</w:t>
            </w:r>
          </w:p>
        </w:tc>
        <w:tc>
          <w:tcPr>
            <w:tcW w:w="477" w:type="pct"/>
          </w:tcPr>
          <w:p w:rsidR="005600BB" w:rsidRPr="00E106BD" w:rsidDel="0016726A" w:rsidRDefault="005600BB">
            <w:pPr>
              <w:keepNext/>
              <w:rPr>
                <w:rFonts w:ascii="Arial" w:hAnsi="Arial" w:cs="Arial"/>
                <w:sz w:val="16"/>
                <w:szCs w:val="16"/>
              </w:rPr>
            </w:pPr>
            <w:r w:rsidRPr="00E106BD">
              <w:rPr>
                <w:rFonts w:ascii="Arial" w:hAnsi="Arial" w:cs="Arial"/>
                <w:sz w:val="16"/>
                <w:szCs w:val="16"/>
              </w:rPr>
              <w:t>C8627 C8635 C8636 C8637 C8638 C8709 C9380 C9384 C9386 C9407 C9417 C9494 C9495 C9496</w:t>
            </w:r>
            <w:r w:rsidR="00687E4E">
              <w:rPr>
                <w:rFonts w:ascii="Arial" w:hAnsi="Arial" w:cs="Arial"/>
                <w:sz w:val="16"/>
                <w:szCs w:val="16"/>
              </w:rPr>
              <w:t xml:space="preserve"> </w:t>
            </w:r>
            <w:r w:rsidR="00687E4E" w:rsidRPr="00DA6B50">
              <w:rPr>
                <w:rFonts w:ascii="Arial" w:hAnsi="Arial" w:cs="Arial"/>
                <w:sz w:val="16"/>
                <w:szCs w:val="16"/>
              </w:rPr>
              <w:t>C10532 C10535 C10536 C10541 C10542 C10545 C10567 C10570 C10571 C10616</w:t>
            </w:r>
          </w:p>
        </w:tc>
        <w:tc>
          <w:tcPr>
            <w:tcW w:w="424" w:type="pct"/>
          </w:tcPr>
          <w:p w:rsidR="005600BB" w:rsidRPr="00E106BD" w:rsidDel="0016726A" w:rsidRDefault="005600BB" w:rsidP="003A4651">
            <w:pPr>
              <w:keepNext/>
              <w:rPr>
                <w:rFonts w:ascii="Arial" w:hAnsi="Arial" w:cs="Arial"/>
                <w:sz w:val="16"/>
                <w:szCs w:val="16"/>
              </w:rPr>
            </w:pPr>
          </w:p>
        </w:tc>
        <w:tc>
          <w:tcPr>
            <w:tcW w:w="344" w:type="pct"/>
          </w:tcPr>
          <w:p w:rsidR="005600BB" w:rsidRPr="00E106BD" w:rsidDel="0016726A" w:rsidRDefault="005600BB" w:rsidP="003A4651">
            <w:pPr>
              <w:keepNext/>
              <w:rPr>
                <w:rFonts w:ascii="Arial" w:hAnsi="Arial" w:cs="Arial"/>
                <w:sz w:val="16"/>
                <w:szCs w:val="16"/>
              </w:rPr>
            </w:pPr>
            <w:r w:rsidRPr="00E106BD">
              <w:rPr>
                <w:rFonts w:ascii="Arial" w:hAnsi="Arial" w:cs="Arial"/>
                <w:sz w:val="16"/>
                <w:szCs w:val="16"/>
              </w:rPr>
              <w:t>See Note 1</w:t>
            </w:r>
          </w:p>
        </w:tc>
        <w:tc>
          <w:tcPr>
            <w:tcW w:w="297" w:type="pct"/>
          </w:tcPr>
          <w:p w:rsidR="005600BB" w:rsidRPr="00E106BD" w:rsidDel="0016726A" w:rsidRDefault="005600BB" w:rsidP="003A4651">
            <w:pPr>
              <w:keepNext/>
              <w:rPr>
                <w:rFonts w:ascii="Arial" w:hAnsi="Arial" w:cs="Arial"/>
                <w:sz w:val="16"/>
                <w:szCs w:val="16"/>
              </w:rPr>
            </w:pPr>
            <w:r w:rsidRPr="00E106BD">
              <w:rPr>
                <w:rFonts w:ascii="Arial" w:hAnsi="Arial" w:cs="Arial"/>
                <w:sz w:val="16"/>
                <w:szCs w:val="16"/>
              </w:rPr>
              <w:t>See Note 2</w:t>
            </w:r>
          </w:p>
        </w:tc>
        <w:tc>
          <w:tcPr>
            <w:tcW w:w="313" w:type="pct"/>
          </w:tcPr>
          <w:p w:rsidR="005600BB" w:rsidRPr="00E106BD" w:rsidDel="0016726A" w:rsidRDefault="005600BB" w:rsidP="003A4651">
            <w:pPr>
              <w:keepNext/>
              <w:rPr>
                <w:rFonts w:ascii="Arial" w:hAnsi="Arial" w:cs="Arial"/>
                <w:sz w:val="16"/>
                <w:szCs w:val="16"/>
              </w:rPr>
            </w:pPr>
            <w:r w:rsidRPr="00E106BD">
              <w:rPr>
                <w:rFonts w:ascii="Arial" w:hAnsi="Arial" w:cs="Arial"/>
                <w:sz w:val="16"/>
                <w:szCs w:val="16"/>
              </w:rPr>
              <w:t>PB</w:t>
            </w:r>
          </w:p>
        </w:tc>
      </w:tr>
      <w:tr w:rsidR="005600BB" w:rsidRPr="00E106BD" w:rsidDel="0016726A" w:rsidTr="00802FC7">
        <w:tblPrEx>
          <w:tblBorders>
            <w:top w:val="single" w:sz="4" w:space="0" w:color="auto"/>
          </w:tblBorders>
        </w:tblPrEx>
        <w:trPr>
          <w:tblCellSpacing w:w="22" w:type="dxa"/>
        </w:trPr>
        <w:tc>
          <w:tcPr>
            <w:tcW w:w="1050" w:type="pct"/>
          </w:tcPr>
          <w:p w:rsidR="005600BB" w:rsidRPr="00E106BD" w:rsidDel="0016726A" w:rsidRDefault="005600BB" w:rsidP="003A4651">
            <w:pPr>
              <w:keepNext/>
              <w:rPr>
                <w:rFonts w:ascii="Arial" w:hAnsi="Arial" w:cs="Arial"/>
                <w:sz w:val="16"/>
                <w:szCs w:val="16"/>
              </w:rPr>
            </w:pPr>
            <w:r w:rsidRPr="00E106BD">
              <w:rPr>
                <w:rFonts w:ascii="Arial" w:hAnsi="Arial" w:cs="Arial"/>
                <w:sz w:val="16"/>
                <w:szCs w:val="16"/>
              </w:rPr>
              <w:t>Ustekinumab</w:t>
            </w:r>
          </w:p>
        </w:tc>
        <w:tc>
          <w:tcPr>
            <w:tcW w:w="943" w:type="pct"/>
          </w:tcPr>
          <w:p w:rsidR="005600BB" w:rsidRPr="00E106BD" w:rsidRDefault="005600BB" w:rsidP="003A4651">
            <w:pPr>
              <w:keepNext/>
              <w:tabs>
                <w:tab w:val="left" w:pos="3437"/>
              </w:tabs>
              <w:rPr>
                <w:rFonts w:ascii="Arial" w:hAnsi="Arial" w:cs="Arial"/>
                <w:sz w:val="16"/>
                <w:szCs w:val="16"/>
              </w:rPr>
            </w:pPr>
            <w:r w:rsidRPr="00E106BD">
              <w:rPr>
                <w:rFonts w:ascii="Arial" w:hAnsi="Arial" w:cs="Arial"/>
                <w:sz w:val="16"/>
                <w:szCs w:val="16"/>
              </w:rPr>
              <w:t>Solution for I.V. infusion 130 mg in 26 mL</w:t>
            </w:r>
          </w:p>
        </w:tc>
        <w:tc>
          <w:tcPr>
            <w:tcW w:w="365" w:type="pct"/>
          </w:tcPr>
          <w:p w:rsidR="005600BB" w:rsidRPr="00E106BD" w:rsidRDefault="005600BB" w:rsidP="003A4651">
            <w:pPr>
              <w:keepNext/>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3A4651">
            <w:pPr>
              <w:keepNext/>
              <w:rPr>
                <w:rFonts w:ascii="Arial" w:hAnsi="Arial" w:cs="Arial"/>
                <w:sz w:val="16"/>
                <w:szCs w:val="16"/>
              </w:rPr>
            </w:pPr>
            <w:r w:rsidRPr="00E106BD">
              <w:rPr>
                <w:rFonts w:ascii="Arial" w:hAnsi="Arial" w:cs="Arial"/>
                <w:sz w:val="16"/>
                <w:szCs w:val="16"/>
              </w:rPr>
              <w:t>Stelara</w:t>
            </w:r>
          </w:p>
        </w:tc>
        <w:tc>
          <w:tcPr>
            <w:tcW w:w="220" w:type="pct"/>
          </w:tcPr>
          <w:p w:rsidR="005600BB" w:rsidRPr="00E106BD" w:rsidRDefault="005600BB" w:rsidP="003A4651">
            <w:pPr>
              <w:keepNext/>
              <w:rPr>
                <w:rFonts w:ascii="Arial" w:hAnsi="Arial" w:cs="Arial"/>
                <w:sz w:val="16"/>
                <w:szCs w:val="16"/>
              </w:rPr>
            </w:pPr>
            <w:r w:rsidRPr="00E106BD">
              <w:rPr>
                <w:rFonts w:ascii="Arial" w:hAnsi="Arial" w:cs="Arial"/>
                <w:sz w:val="16"/>
                <w:szCs w:val="16"/>
              </w:rPr>
              <w:t>JC</w:t>
            </w:r>
          </w:p>
        </w:tc>
        <w:tc>
          <w:tcPr>
            <w:tcW w:w="477" w:type="pct"/>
          </w:tcPr>
          <w:p w:rsidR="005600BB" w:rsidRPr="00E106BD" w:rsidRDefault="005600BB" w:rsidP="00351793">
            <w:pPr>
              <w:rPr>
                <w:rFonts w:ascii="Arial" w:hAnsi="Arial" w:cs="Arial"/>
                <w:sz w:val="16"/>
                <w:szCs w:val="16"/>
              </w:rPr>
            </w:pPr>
            <w:r w:rsidRPr="00E106BD">
              <w:rPr>
                <w:rFonts w:ascii="Arial" w:hAnsi="Arial" w:cs="Arial"/>
                <w:sz w:val="16"/>
                <w:szCs w:val="16"/>
              </w:rPr>
              <w:t>C9655 C9656 C9710</w:t>
            </w:r>
          </w:p>
        </w:tc>
        <w:tc>
          <w:tcPr>
            <w:tcW w:w="424" w:type="pct"/>
          </w:tcPr>
          <w:p w:rsidR="005600BB" w:rsidRPr="00E106BD" w:rsidDel="0016726A" w:rsidRDefault="005600BB" w:rsidP="003A4651">
            <w:pPr>
              <w:keepNext/>
              <w:rPr>
                <w:rFonts w:ascii="Arial" w:hAnsi="Arial" w:cs="Arial"/>
                <w:sz w:val="16"/>
                <w:szCs w:val="16"/>
              </w:rPr>
            </w:pPr>
          </w:p>
        </w:tc>
        <w:tc>
          <w:tcPr>
            <w:tcW w:w="344" w:type="pct"/>
          </w:tcPr>
          <w:p w:rsidR="005600BB" w:rsidRPr="00E106BD" w:rsidRDefault="005600BB" w:rsidP="003A4651">
            <w:pPr>
              <w:keepNext/>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3A4651">
            <w:pPr>
              <w:keepNext/>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3A4651">
            <w:pPr>
              <w:keepNext/>
              <w:rPr>
                <w:rFonts w:ascii="Arial" w:hAnsi="Arial" w:cs="Arial"/>
                <w:sz w:val="16"/>
                <w:szCs w:val="16"/>
              </w:rPr>
            </w:pPr>
            <w:r w:rsidRPr="00E106BD">
              <w:rPr>
                <w:rFonts w:ascii="Arial" w:hAnsi="Arial" w:cs="Arial"/>
                <w:sz w:val="16"/>
                <w:szCs w:val="16"/>
              </w:rPr>
              <w:t>PB</w:t>
            </w:r>
          </w:p>
        </w:tc>
      </w:tr>
      <w:tr w:rsidR="005600BB" w:rsidRPr="00E106BD" w:rsidDel="004239FE" w:rsidTr="00802FC7">
        <w:tblPrEx>
          <w:tblBorders>
            <w:top w:val="single" w:sz="4" w:space="0" w:color="auto"/>
          </w:tblBorders>
        </w:tblPrEx>
        <w:trPr>
          <w:cantSplit/>
          <w:tblCellSpacing w:w="22" w:type="dxa"/>
        </w:trPr>
        <w:tc>
          <w:tcPr>
            <w:tcW w:w="1050"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Valaciclovir</w:t>
            </w:r>
          </w:p>
        </w:tc>
        <w:tc>
          <w:tcPr>
            <w:tcW w:w="943"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Tablet 500 mg (as hydrochloride)</w:t>
            </w:r>
          </w:p>
        </w:tc>
        <w:tc>
          <w:tcPr>
            <w:tcW w:w="365"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4239FE" w:rsidRDefault="005600BB" w:rsidP="007F4AC7">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Valaciclovir</w:t>
            </w:r>
          </w:p>
        </w:tc>
        <w:tc>
          <w:tcPr>
            <w:tcW w:w="220"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TX</w:t>
            </w:r>
          </w:p>
        </w:tc>
        <w:tc>
          <w:tcPr>
            <w:tcW w:w="477"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C5975 C9267</w:t>
            </w:r>
          </w:p>
        </w:tc>
        <w:tc>
          <w:tcPr>
            <w:tcW w:w="424" w:type="pct"/>
          </w:tcPr>
          <w:p w:rsidR="005600BB" w:rsidRPr="00E106BD" w:rsidDel="004239FE" w:rsidRDefault="005600BB" w:rsidP="00404472">
            <w:pPr>
              <w:rPr>
                <w:rFonts w:ascii="Arial" w:hAnsi="Arial" w:cs="Arial"/>
                <w:sz w:val="16"/>
                <w:szCs w:val="16"/>
              </w:rPr>
            </w:pPr>
          </w:p>
        </w:tc>
        <w:tc>
          <w:tcPr>
            <w:tcW w:w="344"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500</w:t>
            </w:r>
          </w:p>
        </w:tc>
        <w:tc>
          <w:tcPr>
            <w:tcW w:w="297"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2</w:t>
            </w:r>
          </w:p>
        </w:tc>
        <w:tc>
          <w:tcPr>
            <w:tcW w:w="313"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4239FE"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7F4AC7">
            <w:pPr>
              <w:rPr>
                <w:rFonts w:ascii="Arial" w:hAnsi="Arial" w:cs="Arial"/>
                <w:sz w:val="16"/>
                <w:szCs w:val="16"/>
              </w:rPr>
            </w:pPr>
            <w:r w:rsidRPr="00E106BD">
              <w:rPr>
                <w:rFonts w:ascii="Arial" w:hAnsi="Arial" w:cs="Arial"/>
                <w:sz w:val="16"/>
                <w:szCs w:val="16"/>
              </w:rPr>
              <w:t>Valaciclovir APOTEX</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GX</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C5975 C9267</w:t>
            </w:r>
          </w:p>
        </w:tc>
        <w:tc>
          <w:tcPr>
            <w:tcW w:w="424" w:type="pct"/>
          </w:tcPr>
          <w:p w:rsidR="005600BB" w:rsidRPr="00E106BD" w:rsidDel="004239FE"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500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4239FE" w:rsidTr="00802FC7">
        <w:tblPrEx>
          <w:tblBorders>
            <w:top w:val="single" w:sz="4" w:space="0" w:color="auto"/>
          </w:tblBorders>
        </w:tblPrEx>
        <w:trPr>
          <w:cantSplit/>
          <w:tblCellSpacing w:w="22" w:type="dxa"/>
        </w:trPr>
        <w:tc>
          <w:tcPr>
            <w:tcW w:w="1050" w:type="pct"/>
          </w:tcPr>
          <w:p w:rsidR="005600BB" w:rsidRPr="00E106BD" w:rsidDel="004239FE" w:rsidRDefault="005600BB" w:rsidP="00404472">
            <w:pPr>
              <w:rPr>
                <w:rFonts w:ascii="Arial" w:hAnsi="Arial" w:cs="Arial"/>
                <w:sz w:val="16"/>
                <w:szCs w:val="16"/>
              </w:rPr>
            </w:pPr>
          </w:p>
        </w:tc>
        <w:tc>
          <w:tcPr>
            <w:tcW w:w="943" w:type="pct"/>
          </w:tcPr>
          <w:p w:rsidR="005600BB" w:rsidRPr="00E106BD" w:rsidDel="004239FE" w:rsidRDefault="005600BB" w:rsidP="00404472">
            <w:pPr>
              <w:rPr>
                <w:rFonts w:ascii="Arial" w:hAnsi="Arial" w:cs="Arial"/>
                <w:sz w:val="16"/>
                <w:szCs w:val="16"/>
              </w:rPr>
            </w:pPr>
          </w:p>
        </w:tc>
        <w:tc>
          <w:tcPr>
            <w:tcW w:w="365" w:type="pct"/>
          </w:tcPr>
          <w:p w:rsidR="005600BB" w:rsidRPr="00E106BD" w:rsidDel="004239FE" w:rsidRDefault="005600BB" w:rsidP="00404472">
            <w:pPr>
              <w:rPr>
                <w:rFonts w:ascii="Arial" w:hAnsi="Arial" w:cs="Arial"/>
                <w:sz w:val="16"/>
                <w:szCs w:val="16"/>
              </w:rPr>
            </w:pPr>
          </w:p>
        </w:tc>
        <w:tc>
          <w:tcPr>
            <w:tcW w:w="374"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Valaciclovir RBX</w:t>
            </w:r>
          </w:p>
        </w:tc>
        <w:tc>
          <w:tcPr>
            <w:tcW w:w="220"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RA</w:t>
            </w:r>
          </w:p>
        </w:tc>
        <w:tc>
          <w:tcPr>
            <w:tcW w:w="477"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C5975 C9267</w:t>
            </w:r>
          </w:p>
        </w:tc>
        <w:tc>
          <w:tcPr>
            <w:tcW w:w="424" w:type="pct"/>
          </w:tcPr>
          <w:p w:rsidR="005600BB" w:rsidRPr="00E106BD" w:rsidDel="004239FE" w:rsidRDefault="005600BB" w:rsidP="00404472">
            <w:pPr>
              <w:rPr>
                <w:rFonts w:ascii="Arial" w:hAnsi="Arial" w:cs="Arial"/>
                <w:sz w:val="16"/>
                <w:szCs w:val="16"/>
              </w:rPr>
            </w:pPr>
          </w:p>
        </w:tc>
        <w:tc>
          <w:tcPr>
            <w:tcW w:w="344"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500</w:t>
            </w:r>
          </w:p>
        </w:tc>
        <w:tc>
          <w:tcPr>
            <w:tcW w:w="297"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2</w:t>
            </w:r>
          </w:p>
        </w:tc>
        <w:tc>
          <w:tcPr>
            <w:tcW w:w="313"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4239FE" w:rsidTr="00802FC7">
        <w:tblPrEx>
          <w:tblBorders>
            <w:top w:val="single" w:sz="4" w:space="0" w:color="auto"/>
          </w:tblBorders>
        </w:tblPrEx>
        <w:trPr>
          <w:cantSplit/>
          <w:tblCellSpacing w:w="22" w:type="dxa"/>
        </w:trPr>
        <w:tc>
          <w:tcPr>
            <w:tcW w:w="1050" w:type="pct"/>
          </w:tcPr>
          <w:p w:rsidR="005600BB" w:rsidRPr="00E106BD" w:rsidDel="004239FE" w:rsidRDefault="005600BB" w:rsidP="00404472">
            <w:pPr>
              <w:rPr>
                <w:rFonts w:ascii="Arial" w:hAnsi="Arial" w:cs="Arial"/>
                <w:sz w:val="16"/>
                <w:szCs w:val="16"/>
              </w:rPr>
            </w:pPr>
          </w:p>
        </w:tc>
        <w:tc>
          <w:tcPr>
            <w:tcW w:w="943" w:type="pct"/>
          </w:tcPr>
          <w:p w:rsidR="005600BB" w:rsidRPr="00E106BD" w:rsidDel="004239FE" w:rsidRDefault="005600BB" w:rsidP="00404472">
            <w:pPr>
              <w:rPr>
                <w:rFonts w:ascii="Arial" w:hAnsi="Arial" w:cs="Arial"/>
                <w:sz w:val="16"/>
                <w:szCs w:val="16"/>
              </w:rPr>
            </w:pPr>
          </w:p>
        </w:tc>
        <w:tc>
          <w:tcPr>
            <w:tcW w:w="365" w:type="pct"/>
          </w:tcPr>
          <w:p w:rsidR="005600BB" w:rsidRPr="00E106BD" w:rsidDel="004239FE" w:rsidRDefault="005600BB" w:rsidP="00404472">
            <w:pPr>
              <w:rPr>
                <w:rFonts w:ascii="Arial" w:hAnsi="Arial" w:cs="Arial"/>
                <w:sz w:val="16"/>
                <w:szCs w:val="16"/>
              </w:rPr>
            </w:pPr>
          </w:p>
        </w:tc>
        <w:tc>
          <w:tcPr>
            <w:tcW w:w="374"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Valtrex</w:t>
            </w:r>
          </w:p>
        </w:tc>
        <w:tc>
          <w:tcPr>
            <w:tcW w:w="220"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RW</w:t>
            </w:r>
          </w:p>
        </w:tc>
        <w:tc>
          <w:tcPr>
            <w:tcW w:w="477"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C5975 C9267</w:t>
            </w:r>
          </w:p>
        </w:tc>
        <w:tc>
          <w:tcPr>
            <w:tcW w:w="424" w:type="pct"/>
          </w:tcPr>
          <w:p w:rsidR="005600BB" w:rsidRPr="00E106BD" w:rsidDel="004239FE" w:rsidRDefault="005600BB" w:rsidP="00404472">
            <w:pPr>
              <w:rPr>
                <w:rFonts w:ascii="Arial" w:hAnsi="Arial" w:cs="Arial"/>
                <w:sz w:val="16"/>
                <w:szCs w:val="16"/>
              </w:rPr>
            </w:pPr>
          </w:p>
        </w:tc>
        <w:tc>
          <w:tcPr>
            <w:tcW w:w="344"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500</w:t>
            </w:r>
          </w:p>
        </w:tc>
        <w:tc>
          <w:tcPr>
            <w:tcW w:w="297"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2</w:t>
            </w:r>
          </w:p>
        </w:tc>
        <w:tc>
          <w:tcPr>
            <w:tcW w:w="313"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C</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Valganciclovir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450 mg (as hydrochloride)</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Valcyte</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RO</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C4980 C4989 C9316</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120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Valganciclovir Mylan</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AF</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C4980 C4989 C9316</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120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Valganciclovir Sandoz</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SZ</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C4980 C4989 C9316</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120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Powder for oral solution 50 mg (as hydrochloride) per mL, 100 mL</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Valcyte</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RO</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C4980 C4989 C9316</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Vedolizumab</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Powder for injection 300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Entyvio</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TK</w:t>
            </w:r>
          </w:p>
        </w:tc>
        <w:tc>
          <w:tcPr>
            <w:tcW w:w="477" w:type="pct"/>
          </w:tcPr>
          <w:p w:rsidR="005600BB" w:rsidRPr="00E106BD" w:rsidRDefault="005600BB">
            <w:pPr>
              <w:rPr>
                <w:rFonts w:ascii="Arial" w:hAnsi="Arial" w:cs="Arial"/>
                <w:sz w:val="16"/>
                <w:szCs w:val="16"/>
              </w:rPr>
            </w:pPr>
            <w:r w:rsidRPr="00E106BD">
              <w:rPr>
                <w:rFonts w:ascii="Arial" w:hAnsi="Arial" w:cs="Arial"/>
                <w:sz w:val="16"/>
                <w:szCs w:val="16"/>
              </w:rPr>
              <w:t>C9682 C9683 C9708 C9738 C9739 C9771 C9792 C9796 C9815 C9825</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Zidovudine</w:t>
            </w:r>
          </w:p>
        </w:tc>
        <w:tc>
          <w:tcPr>
            <w:tcW w:w="943"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Capsule 100 mg</w:t>
            </w:r>
          </w:p>
        </w:tc>
        <w:tc>
          <w:tcPr>
            <w:tcW w:w="365"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Retrovir</w:t>
            </w:r>
          </w:p>
        </w:tc>
        <w:tc>
          <w:tcPr>
            <w:tcW w:w="220"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VI</w:t>
            </w:r>
          </w:p>
        </w:tc>
        <w:tc>
          <w:tcPr>
            <w:tcW w:w="477"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C4454 C4512</w:t>
            </w:r>
          </w:p>
        </w:tc>
        <w:tc>
          <w:tcPr>
            <w:tcW w:w="424" w:type="pct"/>
          </w:tcPr>
          <w:p w:rsidR="005600BB" w:rsidRPr="00E106BD" w:rsidRDefault="005600BB" w:rsidP="00404472">
            <w:pPr>
              <w:keepNext/>
              <w:keepLines/>
              <w:rPr>
                <w:rFonts w:ascii="Arial" w:hAnsi="Arial" w:cs="Arial"/>
                <w:sz w:val="16"/>
                <w:szCs w:val="16"/>
              </w:rPr>
            </w:pPr>
          </w:p>
        </w:tc>
        <w:tc>
          <w:tcPr>
            <w:tcW w:w="344"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400</w:t>
            </w:r>
          </w:p>
        </w:tc>
        <w:tc>
          <w:tcPr>
            <w:tcW w:w="297"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Capsule 250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Retrovir</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VI</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C4454 C4512</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240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Syrup 10 mg per mL, 200 mL</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Retrovir</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VI</w:t>
            </w:r>
          </w:p>
        </w:tc>
        <w:tc>
          <w:tcPr>
            <w:tcW w:w="477" w:type="pct"/>
          </w:tcPr>
          <w:p w:rsidR="005600BB" w:rsidRPr="00E106BD" w:rsidRDefault="005600BB" w:rsidP="00404472">
            <w:pPr>
              <w:rPr>
                <w:rFonts w:ascii="Arial" w:hAnsi="Arial" w:cs="Arial"/>
                <w:sz w:val="16"/>
                <w:szCs w:val="16"/>
              </w:rPr>
            </w:pPr>
            <w:r w:rsidRPr="00E106BD">
              <w:rPr>
                <w:rFonts w:ascii="Arial" w:hAnsi="Arial" w:cs="Arial"/>
                <w:sz w:val="16"/>
                <w:szCs w:val="16"/>
              </w:rPr>
              <w:t>C4454 C4512</w:t>
            </w:r>
          </w:p>
        </w:tc>
        <w:tc>
          <w:tcPr>
            <w:tcW w:w="424"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15</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802FC7">
        <w:tblPrEx>
          <w:tblBorders>
            <w:top w:val="single" w:sz="4" w:space="0" w:color="auto"/>
          </w:tblBorders>
        </w:tblPrEx>
        <w:trPr>
          <w:cantSplit/>
          <w:trHeight w:val="1102"/>
          <w:tblCellSpacing w:w="22" w:type="dxa"/>
        </w:trPr>
        <w:tc>
          <w:tcPr>
            <w:tcW w:w="1050"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Zoledronic acid</w:t>
            </w:r>
          </w:p>
        </w:tc>
        <w:tc>
          <w:tcPr>
            <w:tcW w:w="943"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Injection concentrate for I.V. infusion 4 mg (as monohydrate) in 5 mL</w:t>
            </w:r>
          </w:p>
        </w:tc>
        <w:tc>
          <w:tcPr>
            <w:tcW w:w="365"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Zoledronic Acid</w:t>
            </w:r>
          </w:p>
        </w:tc>
        <w:tc>
          <w:tcPr>
            <w:tcW w:w="220"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TX</w:t>
            </w:r>
          </w:p>
        </w:tc>
        <w:tc>
          <w:tcPr>
            <w:tcW w:w="477" w:type="pct"/>
            <w:tcBorders>
              <w:top w:val="nil"/>
              <w:bottom w:val="nil"/>
            </w:tcBorders>
          </w:tcPr>
          <w:p w:rsidR="005600BB" w:rsidRPr="00E106BD" w:rsidRDefault="005600BB" w:rsidP="005C2207">
            <w:pPr>
              <w:rPr>
                <w:rFonts w:ascii="Arial" w:hAnsi="Arial" w:cs="Arial"/>
                <w:sz w:val="16"/>
                <w:szCs w:val="16"/>
              </w:rPr>
            </w:pPr>
            <w:r w:rsidRPr="00E106BD">
              <w:rPr>
                <w:rFonts w:ascii="Arial" w:hAnsi="Arial" w:cs="Arial"/>
                <w:sz w:val="16"/>
                <w:szCs w:val="16"/>
              </w:rPr>
              <w:t>C5605 C5703 C5704 C5735 C9268 C9304 C9317 C9328</w:t>
            </w:r>
          </w:p>
        </w:tc>
        <w:tc>
          <w:tcPr>
            <w:tcW w:w="424" w:type="pct"/>
            <w:tcBorders>
              <w:top w:val="nil"/>
              <w:bottom w:val="nil"/>
            </w:tcBorders>
          </w:tcPr>
          <w:p w:rsidR="005600BB" w:rsidRPr="00E106BD" w:rsidRDefault="005600BB" w:rsidP="00404472">
            <w:pPr>
              <w:rPr>
                <w:rFonts w:ascii="Arial" w:hAnsi="Arial" w:cs="Arial"/>
                <w:sz w:val="16"/>
                <w:szCs w:val="16"/>
              </w:rPr>
            </w:pPr>
          </w:p>
        </w:tc>
        <w:tc>
          <w:tcPr>
            <w:tcW w:w="34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w:t>
            </w:r>
          </w:p>
        </w:tc>
        <w:tc>
          <w:tcPr>
            <w:tcW w:w="297"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11</w:t>
            </w:r>
          </w:p>
        </w:tc>
        <w:tc>
          <w:tcPr>
            <w:tcW w:w="313"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Tr="00802FC7">
        <w:tblPrEx>
          <w:tblBorders>
            <w:top w:val="single" w:sz="4" w:space="0" w:color="auto"/>
          </w:tblBorders>
        </w:tblPrEx>
        <w:trPr>
          <w:cantSplit/>
          <w:trHeight w:val="1102"/>
          <w:tblCellSpacing w:w="22" w:type="dxa"/>
        </w:trPr>
        <w:tc>
          <w:tcPr>
            <w:tcW w:w="1050" w:type="pct"/>
            <w:tcBorders>
              <w:top w:val="nil"/>
              <w:bottom w:val="nil"/>
            </w:tcBorders>
          </w:tcPr>
          <w:p w:rsidR="005600BB" w:rsidRPr="00E106BD" w:rsidRDefault="005600BB" w:rsidP="00404472">
            <w:pPr>
              <w:rPr>
                <w:rFonts w:ascii="Arial" w:hAnsi="Arial" w:cs="Arial"/>
                <w:sz w:val="16"/>
                <w:szCs w:val="16"/>
              </w:rPr>
            </w:pPr>
          </w:p>
        </w:tc>
        <w:tc>
          <w:tcPr>
            <w:tcW w:w="943" w:type="pct"/>
            <w:tcBorders>
              <w:top w:val="nil"/>
              <w:bottom w:val="nil"/>
            </w:tcBorders>
          </w:tcPr>
          <w:p w:rsidR="005600BB" w:rsidRPr="00E106BD" w:rsidRDefault="005600BB" w:rsidP="00404472">
            <w:pPr>
              <w:rPr>
                <w:rFonts w:ascii="Arial" w:hAnsi="Arial" w:cs="Arial"/>
                <w:sz w:val="16"/>
                <w:szCs w:val="16"/>
              </w:rPr>
            </w:pPr>
          </w:p>
        </w:tc>
        <w:tc>
          <w:tcPr>
            <w:tcW w:w="365" w:type="pct"/>
            <w:tcBorders>
              <w:top w:val="nil"/>
              <w:bottom w:val="nil"/>
            </w:tcBorders>
          </w:tcPr>
          <w:p w:rsidR="005600BB" w:rsidRPr="00E106BD" w:rsidRDefault="005600BB" w:rsidP="00404472">
            <w:pPr>
              <w:rPr>
                <w:rFonts w:ascii="Arial" w:hAnsi="Arial" w:cs="Arial"/>
                <w:sz w:val="16"/>
                <w:szCs w:val="16"/>
              </w:rPr>
            </w:pPr>
          </w:p>
        </w:tc>
        <w:tc>
          <w:tcPr>
            <w:tcW w:w="37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DBL Zoledronic Acid</w:t>
            </w:r>
          </w:p>
        </w:tc>
        <w:tc>
          <w:tcPr>
            <w:tcW w:w="220"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PF</w:t>
            </w:r>
          </w:p>
        </w:tc>
        <w:tc>
          <w:tcPr>
            <w:tcW w:w="477" w:type="pct"/>
            <w:tcBorders>
              <w:top w:val="nil"/>
              <w:bottom w:val="nil"/>
            </w:tcBorders>
          </w:tcPr>
          <w:p w:rsidR="005600BB" w:rsidRPr="00E106BD" w:rsidRDefault="005600BB" w:rsidP="00C701A3">
            <w:pPr>
              <w:rPr>
                <w:rFonts w:ascii="Arial" w:hAnsi="Arial" w:cs="Arial"/>
                <w:sz w:val="16"/>
                <w:szCs w:val="16"/>
              </w:rPr>
            </w:pPr>
            <w:r w:rsidRPr="00E106BD">
              <w:rPr>
                <w:rFonts w:ascii="Arial" w:hAnsi="Arial" w:cs="Arial"/>
                <w:sz w:val="16"/>
                <w:szCs w:val="16"/>
              </w:rPr>
              <w:t>C5605 C5703 C5704 C5735 C9268 C9304 C9317 C9328</w:t>
            </w:r>
          </w:p>
        </w:tc>
        <w:tc>
          <w:tcPr>
            <w:tcW w:w="424" w:type="pct"/>
            <w:tcBorders>
              <w:top w:val="nil"/>
              <w:bottom w:val="nil"/>
            </w:tcBorders>
          </w:tcPr>
          <w:p w:rsidR="005600BB" w:rsidRPr="00E106BD" w:rsidRDefault="005600BB" w:rsidP="00404472">
            <w:pPr>
              <w:rPr>
                <w:rFonts w:ascii="Arial" w:hAnsi="Arial" w:cs="Arial"/>
                <w:sz w:val="16"/>
                <w:szCs w:val="16"/>
              </w:rPr>
            </w:pPr>
          </w:p>
        </w:tc>
        <w:tc>
          <w:tcPr>
            <w:tcW w:w="34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w:t>
            </w:r>
          </w:p>
        </w:tc>
        <w:tc>
          <w:tcPr>
            <w:tcW w:w="297"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11</w:t>
            </w:r>
          </w:p>
        </w:tc>
        <w:tc>
          <w:tcPr>
            <w:tcW w:w="313"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Tr="00802FC7">
        <w:tblPrEx>
          <w:tblBorders>
            <w:top w:val="single" w:sz="4" w:space="0" w:color="auto"/>
          </w:tblBorders>
        </w:tblPrEx>
        <w:trPr>
          <w:cantSplit/>
          <w:trHeight w:val="1102"/>
          <w:tblCellSpacing w:w="22" w:type="dxa"/>
        </w:trPr>
        <w:tc>
          <w:tcPr>
            <w:tcW w:w="1050" w:type="pct"/>
            <w:tcBorders>
              <w:top w:val="nil"/>
              <w:bottom w:val="nil"/>
            </w:tcBorders>
          </w:tcPr>
          <w:p w:rsidR="005600BB" w:rsidRPr="00E106BD" w:rsidRDefault="005600BB" w:rsidP="00404472">
            <w:pPr>
              <w:rPr>
                <w:rFonts w:ascii="Arial" w:hAnsi="Arial" w:cs="Arial"/>
                <w:sz w:val="16"/>
                <w:szCs w:val="16"/>
              </w:rPr>
            </w:pPr>
          </w:p>
        </w:tc>
        <w:tc>
          <w:tcPr>
            <w:tcW w:w="943" w:type="pct"/>
            <w:tcBorders>
              <w:top w:val="nil"/>
              <w:bottom w:val="nil"/>
            </w:tcBorders>
          </w:tcPr>
          <w:p w:rsidR="005600BB" w:rsidRPr="00E106BD" w:rsidRDefault="005600BB" w:rsidP="00404472">
            <w:pPr>
              <w:rPr>
                <w:rFonts w:ascii="Arial" w:hAnsi="Arial" w:cs="Arial"/>
                <w:sz w:val="16"/>
                <w:szCs w:val="16"/>
              </w:rPr>
            </w:pPr>
          </w:p>
        </w:tc>
        <w:tc>
          <w:tcPr>
            <w:tcW w:w="365" w:type="pct"/>
            <w:tcBorders>
              <w:top w:val="nil"/>
              <w:bottom w:val="nil"/>
            </w:tcBorders>
          </w:tcPr>
          <w:p w:rsidR="005600BB" w:rsidRPr="00E106BD" w:rsidRDefault="005600BB" w:rsidP="00404472">
            <w:pPr>
              <w:rPr>
                <w:rFonts w:ascii="Arial" w:hAnsi="Arial" w:cs="Arial"/>
                <w:sz w:val="16"/>
                <w:szCs w:val="16"/>
              </w:rPr>
            </w:pPr>
          </w:p>
        </w:tc>
        <w:tc>
          <w:tcPr>
            <w:tcW w:w="37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DEZTRON</w:t>
            </w:r>
          </w:p>
        </w:tc>
        <w:tc>
          <w:tcPr>
            <w:tcW w:w="220"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DZ</w:t>
            </w:r>
          </w:p>
        </w:tc>
        <w:tc>
          <w:tcPr>
            <w:tcW w:w="477" w:type="pct"/>
            <w:tcBorders>
              <w:top w:val="nil"/>
              <w:bottom w:val="nil"/>
            </w:tcBorders>
          </w:tcPr>
          <w:p w:rsidR="005600BB" w:rsidRPr="00E106BD" w:rsidRDefault="005600BB" w:rsidP="005C2207">
            <w:pPr>
              <w:rPr>
                <w:rFonts w:ascii="Arial" w:hAnsi="Arial" w:cs="Arial"/>
                <w:sz w:val="16"/>
                <w:szCs w:val="16"/>
              </w:rPr>
            </w:pPr>
            <w:r w:rsidRPr="00E106BD">
              <w:rPr>
                <w:rFonts w:ascii="Arial" w:hAnsi="Arial" w:cs="Arial"/>
                <w:sz w:val="16"/>
                <w:szCs w:val="16"/>
              </w:rPr>
              <w:t>C5605 C5703 C5704 C5735 C9268 C9304 C9317 C9328</w:t>
            </w:r>
          </w:p>
        </w:tc>
        <w:tc>
          <w:tcPr>
            <w:tcW w:w="424" w:type="pct"/>
            <w:tcBorders>
              <w:top w:val="nil"/>
              <w:bottom w:val="nil"/>
            </w:tcBorders>
          </w:tcPr>
          <w:p w:rsidR="005600BB" w:rsidRPr="00E106BD" w:rsidRDefault="005600BB" w:rsidP="00404472">
            <w:pPr>
              <w:rPr>
                <w:rFonts w:ascii="Arial" w:hAnsi="Arial" w:cs="Arial"/>
                <w:sz w:val="16"/>
                <w:szCs w:val="16"/>
              </w:rPr>
            </w:pPr>
          </w:p>
        </w:tc>
        <w:tc>
          <w:tcPr>
            <w:tcW w:w="34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w:t>
            </w:r>
          </w:p>
        </w:tc>
        <w:tc>
          <w:tcPr>
            <w:tcW w:w="297"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11</w:t>
            </w:r>
          </w:p>
        </w:tc>
        <w:tc>
          <w:tcPr>
            <w:tcW w:w="313"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Tr="00802FC7">
        <w:tblPrEx>
          <w:tblBorders>
            <w:top w:val="single" w:sz="4" w:space="0" w:color="auto"/>
          </w:tblBorders>
        </w:tblPrEx>
        <w:trPr>
          <w:cantSplit/>
          <w:trHeight w:val="1102"/>
          <w:tblCellSpacing w:w="22" w:type="dxa"/>
        </w:trPr>
        <w:tc>
          <w:tcPr>
            <w:tcW w:w="1050" w:type="pct"/>
            <w:tcBorders>
              <w:top w:val="nil"/>
              <w:bottom w:val="nil"/>
            </w:tcBorders>
          </w:tcPr>
          <w:p w:rsidR="005600BB" w:rsidRPr="00E106BD" w:rsidRDefault="005600BB" w:rsidP="00404472">
            <w:pPr>
              <w:rPr>
                <w:rFonts w:ascii="Arial" w:hAnsi="Arial" w:cs="Arial"/>
                <w:sz w:val="16"/>
                <w:szCs w:val="16"/>
              </w:rPr>
            </w:pPr>
          </w:p>
        </w:tc>
        <w:tc>
          <w:tcPr>
            <w:tcW w:w="943" w:type="pct"/>
            <w:tcBorders>
              <w:top w:val="nil"/>
              <w:bottom w:val="nil"/>
            </w:tcBorders>
          </w:tcPr>
          <w:p w:rsidR="005600BB" w:rsidRPr="00E106BD" w:rsidRDefault="005600BB" w:rsidP="00404472">
            <w:pPr>
              <w:rPr>
                <w:rFonts w:ascii="Arial" w:hAnsi="Arial" w:cs="Arial"/>
                <w:sz w:val="16"/>
                <w:szCs w:val="16"/>
              </w:rPr>
            </w:pPr>
          </w:p>
        </w:tc>
        <w:tc>
          <w:tcPr>
            <w:tcW w:w="365" w:type="pct"/>
            <w:tcBorders>
              <w:top w:val="nil"/>
              <w:bottom w:val="nil"/>
            </w:tcBorders>
          </w:tcPr>
          <w:p w:rsidR="005600BB" w:rsidRPr="00E106BD" w:rsidRDefault="005600BB" w:rsidP="00404472">
            <w:pPr>
              <w:rPr>
                <w:rFonts w:ascii="Arial" w:hAnsi="Arial" w:cs="Arial"/>
                <w:sz w:val="16"/>
                <w:szCs w:val="16"/>
              </w:rPr>
            </w:pPr>
          </w:p>
        </w:tc>
        <w:tc>
          <w:tcPr>
            <w:tcW w:w="37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Zometa</w:t>
            </w:r>
          </w:p>
        </w:tc>
        <w:tc>
          <w:tcPr>
            <w:tcW w:w="220"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NV</w:t>
            </w:r>
          </w:p>
        </w:tc>
        <w:tc>
          <w:tcPr>
            <w:tcW w:w="477" w:type="pct"/>
            <w:tcBorders>
              <w:top w:val="nil"/>
              <w:bottom w:val="nil"/>
            </w:tcBorders>
          </w:tcPr>
          <w:p w:rsidR="005600BB" w:rsidRPr="00E106BD" w:rsidRDefault="005600BB">
            <w:pPr>
              <w:rPr>
                <w:rFonts w:ascii="Arial" w:hAnsi="Arial" w:cs="Arial"/>
                <w:sz w:val="16"/>
                <w:szCs w:val="16"/>
              </w:rPr>
            </w:pPr>
            <w:r w:rsidRPr="00E106BD">
              <w:rPr>
                <w:rFonts w:ascii="Arial" w:hAnsi="Arial" w:cs="Arial"/>
                <w:sz w:val="16"/>
                <w:szCs w:val="16"/>
              </w:rPr>
              <w:t>C5605 C5703 C5704 C5735 C9268 C9304 C9317 C9328</w:t>
            </w:r>
          </w:p>
        </w:tc>
        <w:tc>
          <w:tcPr>
            <w:tcW w:w="424" w:type="pct"/>
            <w:tcBorders>
              <w:top w:val="nil"/>
              <w:bottom w:val="nil"/>
            </w:tcBorders>
          </w:tcPr>
          <w:p w:rsidR="005600BB" w:rsidRPr="00E106BD" w:rsidRDefault="005600BB" w:rsidP="00404472">
            <w:pPr>
              <w:rPr>
                <w:rFonts w:ascii="Arial" w:hAnsi="Arial" w:cs="Arial"/>
                <w:sz w:val="16"/>
                <w:szCs w:val="16"/>
              </w:rPr>
            </w:pPr>
          </w:p>
        </w:tc>
        <w:tc>
          <w:tcPr>
            <w:tcW w:w="34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w:t>
            </w:r>
          </w:p>
        </w:tc>
        <w:tc>
          <w:tcPr>
            <w:tcW w:w="297"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11</w:t>
            </w:r>
          </w:p>
        </w:tc>
        <w:tc>
          <w:tcPr>
            <w:tcW w:w="313"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Tr="00802FC7">
        <w:tblPrEx>
          <w:tblBorders>
            <w:top w:val="single" w:sz="4" w:space="0" w:color="auto"/>
          </w:tblBorders>
        </w:tblPrEx>
        <w:trPr>
          <w:cantSplit/>
          <w:trHeight w:val="1102"/>
          <w:tblCellSpacing w:w="22" w:type="dxa"/>
        </w:trPr>
        <w:tc>
          <w:tcPr>
            <w:tcW w:w="1050" w:type="pct"/>
            <w:tcBorders>
              <w:top w:val="nil"/>
              <w:bottom w:val="single" w:sz="12" w:space="0" w:color="auto"/>
            </w:tcBorders>
          </w:tcPr>
          <w:p w:rsidR="005600BB" w:rsidRPr="00E106BD" w:rsidRDefault="005600BB" w:rsidP="00404472">
            <w:pPr>
              <w:rPr>
                <w:rFonts w:ascii="Arial" w:hAnsi="Arial" w:cs="Arial"/>
                <w:sz w:val="16"/>
                <w:szCs w:val="16"/>
              </w:rPr>
            </w:pPr>
          </w:p>
        </w:tc>
        <w:tc>
          <w:tcPr>
            <w:tcW w:w="943" w:type="pct"/>
            <w:tcBorders>
              <w:top w:val="nil"/>
              <w:bottom w:val="single" w:sz="12" w:space="0" w:color="auto"/>
            </w:tcBorders>
          </w:tcPr>
          <w:p w:rsidR="005600BB" w:rsidRPr="00E106BD" w:rsidRDefault="005600BB" w:rsidP="00404472">
            <w:pPr>
              <w:rPr>
                <w:rFonts w:ascii="Arial" w:hAnsi="Arial" w:cs="Arial"/>
                <w:sz w:val="16"/>
                <w:szCs w:val="16"/>
              </w:rPr>
            </w:pPr>
            <w:r w:rsidRPr="00E106BD">
              <w:rPr>
                <w:rFonts w:ascii="Arial" w:hAnsi="Arial" w:cs="Arial"/>
                <w:sz w:val="16"/>
                <w:szCs w:val="16"/>
              </w:rPr>
              <w:t>Solution for I.V. infusion 4 mg (as monohydrate) in 100 mL</w:t>
            </w:r>
          </w:p>
        </w:tc>
        <w:tc>
          <w:tcPr>
            <w:tcW w:w="365" w:type="pct"/>
            <w:tcBorders>
              <w:top w:val="nil"/>
              <w:bottom w:val="single" w:sz="12" w:space="0" w:color="auto"/>
            </w:tcBorders>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Borders>
              <w:top w:val="nil"/>
              <w:bottom w:val="single" w:sz="12" w:space="0" w:color="auto"/>
            </w:tcBorders>
          </w:tcPr>
          <w:p w:rsidR="005600BB" w:rsidRPr="00E106BD" w:rsidRDefault="005600BB" w:rsidP="00404472">
            <w:pPr>
              <w:rPr>
                <w:rFonts w:ascii="Arial" w:hAnsi="Arial" w:cs="Arial"/>
                <w:sz w:val="16"/>
                <w:szCs w:val="16"/>
              </w:rPr>
            </w:pPr>
            <w:r w:rsidRPr="00E106BD">
              <w:rPr>
                <w:rFonts w:ascii="Arial" w:hAnsi="Arial" w:cs="Arial"/>
                <w:sz w:val="16"/>
                <w:szCs w:val="16"/>
              </w:rPr>
              <w:t>DBL Zoledronic Acid</w:t>
            </w:r>
          </w:p>
        </w:tc>
        <w:tc>
          <w:tcPr>
            <w:tcW w:w="220" w:type="pct"/>
            <w:tcBorders>
              <w:top w:val="nil"/>
              <w:bottom w:val="single" w:sz="12" w:space="0" w:color="auto"/>
            </w:tcBorders>
          </w:tcPr>
          <w:p w:rsidR="005600BB" w:rsidRPr="00E106BD" w:rsidRDefault="005600BB" w:rsidP="00404472">
            <w:pPr>
              <w:rPr>
                <w:rFonts w:ascii="Arial" w:hAnsi="Arial" w:cs="Arial"/>
                <w:sz w:val="16"/>
                <w:szCs w:val="16"/>
              </w:rPr>
            </w:pPr>
            <w:r w:rsidRPr="00E106BD">
              <w:rPr>
                <w:rFonts w:ascii="Arial" w:hAnsi="Arial" w:cs="Arial"/>
                <w:sz w:val="16"/>
                <w:szCs w:val="16"/>
              </w:rPr>
              <w:t>PF</w:t>
            </w:r>
          </w:p>
        </w:tc>
        <w:tc>
          <w:tcPr>
            <w:tcW w:w="477" w:type="pct"/>
            <w:tcBorders>
              <w:top w:val="nil"/>
              <w:bottom w:val="single" w:sz="12" w:space="0" w:color="auto"/>
            </w:tcBorders>
          </w:tcPr>
          <w:p w:rsidR="005600BB" w:rsidRPr="00E106BD" w:rsidRDefault="005600BB" w:rsidP="005C2207">
            <w:pPr>
              <w:rPr>
                <w:rFonts w:ascii="Arial" w:hAnsi="Arial" w:cs="Arial"/>
                <w:sz w:val="16"/>
                <w:szCs w:val="16"/>
              </w:rPr>
            </w:pPr>
            <w:r w:rsidRPr="00E106BD">
              <w:rPr>
                <w:rFonts w:ascii="Arial" w:hAnsi="Arial" w:cs="Arial"/>
                <w:sz w:val="16"/>
                <w:szCs w:val="16"/>
              </w:rPr>
              <w:t>C5605 C5703 C5704 C5735 C9268 C9304 C9317 C9328</w:t>
            </w:r>
          </w:p>
        </w:tc>
        <w:tc>
          <w:tcPr>
            <w:tcW w:w="424" w:type="pct"/>
            <w:tcBorders>
              <w:top w:val="nil"/>
              <w:bottom w:val="single" w:sz="12" w:space="0" w:color="auto"/>
            </w:tcBorders>
          </w:tcPr>
          <w:p w:rsidR="005600BB" w:rsidRPr="00E106BD" w:rsidRDefault="005600BB" w:rsidP="00404472">
            <w:pPr>
              <w:rPr>
                <w:rFonts w:ascii="Arial" w:hAnsi="Arial" w:cs="Arial"/>
                <w:sz w:val="16"/>
                <w:szCs w:val="16"/>
              </w:rPr>
            </w:pPr>
          </w:p>
        </w:tc>
        <w:tc>
          <w:tcPr>
            <w:tcW w:w="344" w:type="pct"/>
            <w:tcBorders>
              <w:top w:val="nil"/>
              <w:bottom w:val="single" w:sz="12" w:space="0" w:color="auto"/>
            </w:tcBorders>
          </w:tcPr>
          <w:p w:rsidR="005600BB" w:rsidRPr="00E106BD" w:rsidRDefault="005600BB" w:rsidP="00404472">
            <w:pPr>
              <w:rPr>
                <w:rFonts w:ascii="Arial" w:hAnsi="Arial" w:cs="Arial"/>
                <w:sz w:val="16"/>
                <w:szCs w:val="16"/>
              </w:rPr>
            </w:pPr>
            <w:r w:rsidRPr="00E106BD">
              <w:rPr>
                <w:rFonts w:ascii="Arial" w:hAnsi="Arial" w:cs="Arial"/>
                <w:sz w:val="16"/>
                <w:szCs w:val="16"/>
              </w:rPr>
              <w:t>1</w:t>
            </w:r>
          </w:p>
        </w:tc>
        <w:tc>
          <w:tcPr>
            <w:tcW w:w="297" w:type="pct"/>
            <w:tcBorders>
              <w:top w:val="nil"/>
              <w:bottom w:val="single" w:sz="12" w:space="0" w:color="auto"/>
            </w:tcBorders>
          </w:tcPr>
          <w:p w:rsidR="005600BB" w:rsidRPr="00E106BD" w:rsidRDefault="005600BB" w:rsidP="00404472">
            <w:pPr>
              <w:rPr>
                <w:rFonts w:ascii="Arial" w:hAnsi="Arial" w:cs="Arial"/>
                <w:sz w:val="16"/>
                <w:szCs w:val="16"/>
              </w:rPr>
            </w:pPr>
            <w:r w:rsidRPr="00E106BD">
              <w:rPr>
                <w:rFonts w:ascii="Arial" w:hAnsi="Arial" w:cs="Arial"/>
                <w:sz w:val="16"/>
                <w:szCs w:val="16"/>
              </w:rPr>
              <w:t>11</w:t>
            </w:r>
          </w:p>
        </w:tc>
        <w:tc>
          <w:tcPr>
            <w:tcW w:w="313" w:type="pct"/>
            <w:tcBorders>
              <w:top w:val="nil"/>
              <w:bottom w:val="single" w:sz="12" w:space="0" w:color="auto"/>
            </w:tcBorders>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bl>
    <w:p w:rsidR="009A56D1" w:rsidRPr="00E106BD" w:rsidRDefault="00295F4A" w:rsidP="004E4760">
      <w:pPr>
        <w:pStyle w:val="notetext"/>
        <w:spacing w:before="240"/>
      </w:pPr>
      <w:r w:rsidRPr="00E106BD">
        <w:t>Note 1:</w:t>
      </w:r>
      <w:r w:rsidRPr="00E106BD">
        <w:tab/>
      </w:r>
      <w:r w:rsidR="009A56D1" w:rsidRPr="00E106BD">
        <w:t>The quantity or number of units of the HSD pharmaceutical benefit that may be directed in a prescription to be supplied to an eligible patient on any 1 occasion may only be in accordance with the limitations set out in section</w:t>
      </w:r>
      <w:r w:rsidR="00E106BD">
        <w:t> </w:t>
      </w:r>
      <w:r w:rsidR="009A56D1" w:rsidRPr="00E106BD">
        <w:t>24.</w:t>
      </w:r>
    </w:p>
    <w:p w:rsidR="009A56D1" w:rsidRPr="00E106BD" w:rsidRDefault="00295F4A" w:rsidP="004E4760">
      <w:pPr>
        <w:pStyle w:val="notetext"/>
      </w:pPr>
      <w:r w:rsidRPr="00E106BD">
        <w:t>Note 2:</w:t>
      </w:r>
      <w:r w:rsidRPr="00E106BD">
        <w:tab/>
      </w:r>
      <w:r w:rsidR="009A56D1" w:rsidRPr="00E106BD">
        <w:t>The maximum number of repeats that may be authorised in a repeated supply of the HSD pharmaceutical benefit is set out in section</w:t>
      </w:r>
      <w:r w:rsidR="00E106BD">
        <w:t> </w:t>
      </w:r>
      <w:r w:rsidR="009A56D1" w:rsidRPr="00E106BD">
        <w:t>25.</w:t>
      </w:r>
    </w:p>
    <w:p w:rsidR="00295F4A" w:rsidRPr="00E106BD" w:rsidRDefault="00295F4A" w:rsidP="004E4760">
      <w:pPr>
        <w:sectPr w:rsidR="00295F4A" w:rsidRPr="00E106BD" w:rsidSect="00AF69B5">
          <w:headerReference w:type="even" r:id="rId28"/>
          <w:headerReference w:type="default" r:id="rId29"/>
          <w:footerReference w:type="even" r:id="rId30"/>
          <w:footerReference w:type="default" r:id="rId31"/>
          <w:headerReference w:type="first" r:id="rId32"/>
          <w:footerReference w:type="first" r:id="rId33"/>
          <w:pgSz w:w="16839" w:h="11907" w:orient="landscape" w:code="9"/>
          <w:pgMar w:top="1981" w:right="1797" w:bottom="1440" w:left="1797" w:header="720" w:footer="709" w:gutter="0"/>
          <w:cols w:space="720"/>
          <w:docGrid w:linePitch="299"/>
        </w:sectPr>
      </w:pPr>
    </w:p>
    <w:p w:rsidR="009A56D1" w:rsidRPr="00E106BD" w:rsidRDefault="00295F4A" w:rsidP="004E4760">
      <w:pPr>
        <w:pStyle w:val="ActHead1"/>
        <w:keepNext w:val="0"/>
        <w:keepLines w:val="0"/>
        <w:pageBreakBefore/>
        <w:spacing w:before="120"/>
      </w:pPr>
      <w:bookmarkStart w:id="76" w:name="_Toc53559004"/>
      <w:r w:rsidRPr="00E106BD">
        <w:rPr>
          <w:rStyle w:val="CharChapNo"/>
        </w:rPr>
        <w:t>Schedule</w:t>
      </w:r>
      <w:r w:rsidR="00E106BD">
        <w:rPr>
          <w:rStyle w:val="CharChapNo"/>
        </w:rPr>
        <w:t> </w:t>
      </w:r>
      <w:r w:rsidR="009A56D1" w:rsidRPr="00E106BD">
        <w:rPr>
          <w:rStyle w:val="CharChapNo"/>
        </w:rPr>
        <w:t>2</w:t>
      </w:r>
      <w:r w:rsidRPr="00E106BD">
        <w:t>—</w:t>
      </w:r>
      <w:r w:rsidR="009A56D1" w:rsidRPr="00E106BD">
        <w:rPr>
          <w:rStyle w:val="CharChapText"/>
        </w:rPr>
        <w:t>Responsible Person Codes</w:t>
      </w:r>
      <w:bookmarkEnd w:id="76"/>
    </w:p>
    <w:p w:rsidR="00DE68D5" w:rsidRPr="00E106BD" w:rsidRDefault="00DE68D5" w:rsidP="004E4760">
      <w:bookmarkStart w:id="77" w:name="OPCSB_NonAmdSchNoClausesA4"/>
    </w:p>
    <w:tbl>
      <w:tblPr>
        <w:tblStyle w:val="TableGrid"/>
        <w:tblW w:w="4800" w:type="pct"/>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1345"/>
        <w:gridCol w:w="3958"/>
        <w:gridCol w:w="2885"/>
      </w:tblGrid>
      <w:tr w:rsidR="009A3E1B" w:rsidRPr="00E106BD" w:rsidTr="008A0D43">
        <w:trPr>
          <w:trHeight w:val="261"/>
          <w:tblHeader/>
        </w:trPr>
        <w:tc>
          <w:tcPr>
            <w:tcW w:w="821" w:type="pct"/>
            <w:tcBorders>
              <w:top w:val="single" w:sz="12" w:space="0" w:color="auto"/>
              <w:bottom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Code</w:t>
            </w:r>
          </w:p>
        </w:tc>
        <w:tc>
          <w:tcPr>
            <w:tcW w:w="2417" w:type="pct"/>
            <w:tcBorders>
              <w:top w:val="single" w:sz="12" w:space="0" w:color="auto"/>
              <w:bottom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Responsible Person</w:t>
            </w:r>
          </w:p>
        </w:tc>
        <w:tc>
          <w:tcPr>
            <w:tcW w:w="1762" w:type="pct"/>
            <w:tcBorders>
              <w:top w:val="single" w:sz="12" w:space="0" w:color="auto"/>
              <w:bottom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Australian Business Number</w:t>
            </w:r>
          </w:p>
        </w:tc>
      </w:tr>
      <w:tr w:rsidR="009A3E1B" w:rsidRPr="00E106BD" w:rsidTr="008A0D43">
        <w:trPr>
          <w:trHeight w:val="261"/>
        </w:trPr>
        <w:tc>
          <w:tcPr>
            <w:tcW w:w="821" w:type="pct"/>
            <w:tcBorders>
              <w:top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AF</w:t>
            </w:r>
          </w:p>
        </w:tc>
        <w:tc>
          <w:tcPr>
            <w:tcW w:w="2417" w:type="pct"/>
            <w:tcBorders>
              <w:top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Alphapharm Pty Ltd</w:t>
            </w:r>
          </w:p>
        </w:tc>
        <w:tc>
          <w:tcPr>
            <w:tcW w:w="1762" w:type="pct"/>
            <w:tcBorders>
              <w:top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 xml:space="preserve"> 93</w:t>
            </w:r>
            <w:r w:rsidR="00E106BD">
              <w:rPr>
                <w:bCs/>
                <w:color w:val="000000"/>
                <w:sz w:val="16"/>
                <w:szCs w:val="16"/>
              </w:rPr>
              <w:t> </w:t>
            </w:r>
            <w:r w:rsidRPr="00E106BD">
              <w:rPr>
                <w:bCs/>
                <w:color w:val="000000"/>
                <w:sz w:val="16"/>
                <w:szCs w:val="16"/>
              </w:rPr>
              <w:t>002</w:t>
            </w:r>
            <w:r w:rsidR="00C33CB5" w:rsidRPr="00E106BD">
              <w:rPr>
                <w:bCs/>
                <w:color w:val="000000"/>
                <w:sz w:val="16"/>
                <w:szCs w:val="16"/>
              </w:rPr>
              <w:t> </w:t>
            </w:r>
            <w:r w:rsidRPr="00E106BD">
              <w:rPr>
                <w:bCs/>
                <w:color w:val="000000"/>
                <w:sz w:val="16"/>
                <w:szCs w:val="16"/>
              </w:rPr>
              <w:t>359</w:t>
            </w:r>
            <w:r w:rsidR="00E106BD">
              <w:rPr>
                <w:bCs/>
                <w:color w:val="000000"/>
                <w:sz w:val="16"/>
                <w:szCs w:val="16"/>
              </w:rPr>
              <w:t> </w:t>
            </w:r>
            <w:r w:rsidRPr="00E106BD">
              <w:rPr>
                <w:bCs/>
                <w:color w:val="000000"/>
                <w:sz w:val="16"/>
                <w:szCs w:val="16"/>
              </w:rPr>
              <w:t>739</w:t>
            </w:r>
          </w:p>
        </w:tc>
      </w:tr>
      <w:tr w:rsidR="009A3E1B" w:rsidRPr="00E106BD" w:rsidTr="008A0D43">
        <w:trPr>
          <w:trHeight w:val="261"/>
        </w:trPr>
        <w:tc>
          <w:tcPr>
            <w:tcW w:w="821" w:type="pct"/>
            <w:vAlign w:val="center"/>
          </w:tcPr>
          <w:p w:rsidR="009A3E1B" w:rsidRPr="00E106BD" w:rsidRDefault="009A3E1B" w:rsidP="008454B6">
            <w:pPr>
              <w:rPr>
                <w:bCs/>
                <w:color w:val="000000"/>
                <w:sz w:val="16"/>
                <w:szCs w:val="16"/>
              </w:rPr>
            </w:pPr>
            <w:r w:rsidRPr="00E106BD">
              <w:rPr>
                <w:bCs/>
                <w:color w:val="000000"/>
                <w:sz w:val="16"/>
                <w:szCs w:val="16"/>
              </w:rPr>
              <w:t>AN</w:t>
            </w:r>
          </w:p>
        </w:tc>
        <w:tc>
          <w:tcPr>
            <w:tcW w:w="2417" w:type="pct"/>
            <w:vAlign w:val="center"/>
          </w:tcPr>
          <w:p w:rsidR="009A3E1B" w:rsidRPr="00E106BD" w:rsidRDefault="009A3E1B" w:rsidP="008454B6">
            <w:pPr>
              <w:rPr>
                <w:bCs/>
                <w:color w:val="000000"/>
                <w:sz w:val="16"/>
                <w:szCs w:val="16"/>
              </w:rPr>
            </w:pPr>
            <w:r w:rsidRPr="00E106BD">
              <w:rPr>
                <w:bCs/>
                <w:color w:val="000000"/>
                <w:sz w:val="16"/>
                <w:szCs w:val="16"/>
              </w:rPr>
              <w:t>Amgen Australia Pty Limited</w:t>
            </w:r>
          </w:p>
        </w:tc>
        <w:tc>
          <w:tcPr>
            <w:tcW w:w="1762" w:type="pct"/>
            <w:vAlign w:val="center"/>
          </w:tcPr>
          <w:p w:rsidR="009A3E1B" w:rsidRPr="00E106BD" w:rsidRDefault="009A3E1B" w:rsidP="008454B6">
            <w:pPr>
              <w:rPr>
                <w:bCs/>
                <w:color w:val="000000"/>
                <w:sz w:val="16"/>
                <w:szCs w:val="16"/>
              </w:rPr>
            </w:pPr>
            <w:r w:rsidRPr="00E106BD">
              <w:rPr>
                <w:bCs/>
                <w:color w:val="000000"/>
                <w:sz w:val="16"/>
                <w:szCs w:val="16"/>
              </w:rPr>
              <w:t xml:space="preserve"> 31</w:t>
            </w:r>
            <w:r w:rsidR="00E106BD">
              <w:rPr>
                <w:bCs/>
                <w:color w:val="000000"/>
                <w:sz w:val="16"/>
                <w:szCs w:val="16"/>
              </w:rPr>
              <w:t> </w:t>
            </w:r>
            <w:r w:rsidRPr="00E106BD">
              <w:rPr>
                <w:bCs/>
                <w:color w:val="000000"/>
                <w:sz w:val="16"/>
                <w:szCs w:val="16"/>
              </w:rPr>
              <w:t>051</w:t>
            </w:r>
            <w:r w:rsidR="00C33CB5" w:rsidRPr="00E106BD">
              <w:rPr>
                <w:bCs/>
                <w:color w:val="000000"/>
                <w:sz w:val="16"/>
                <w:szCs w:val="16"/>
              </w:rPr>
              <w:t> </w:t>
            </w:r>
            <w:r w:rsidRPr="00E106BD">
              <w:rPr>
                <w:bCs/>
                <w:color w:val="000000"/>
                <w:sz w:val="16"/>
                <w:szCs w:val="16"/>
              </w:rPr>
              <w:t>057</w:t>
            </w:r>
            <w:r w:rsidR="00E106BD">
              <w:rPr>
                <w:bCs/>
                <w:color w:val="000000"/>
                <w:sz w:val="16"/>
                <w:szCs w:val="16"/>
              </w:rPr>
              <w:t> </w:t>
            </w:r>
            <w:r w:rsidRPr="00E106BD">
              <w:rPr>
                <w:bCs/>
                <w:color w:val="000000"/>
                <w:sz w:val="16"/>
                <w:szCs w:val="16"/>
              </w:rPr>
              <w:t>428</w:t>
            </w:r>
          </w:p>
        </w:tc>
      </w:tr>
      <w:tr w:rsidR="00D03CE3" w:rsidRPr="00E106BD" w:rsidTr="00685306">
        <w:trPr>
          <w:trHeight w:val="261"/>
        </w:trPr>
        <w:tc>
          <w:tcPr>
            <w:tcW w:w="821" w:type="pct"/>
            <w:vAlign w:val="bottom"/>
          </w:tcPr>
          <w:p w:rsidR="00D03CE3" w:rsidRPr="00E106BD" w:rsidRDefault="00D03CE3" w:rsidP="008454B6">
            <w:pPr>
              <w:rPr>
                <w:bCs/>
                <w:color w:val="000000"/>
                <w:sz w:val="16"/>
                <w:szCs w:val="16"/>
              </w:rPr>
            </w:pPr>
            <w:r w:rsidRPr="00E106BD">
              <w:rPr>
                <w:bCs/>
                <w:color w:val="000000"/>
                <w:sz w:val="16"/>
                <w:szCs w:val="16"/>
              </w:rPr>
              <w:t>AP</w:t>
            </w:r>
          </w:p>
        </w:tc>
        <w:tc>
          <w:tcPr>
            <w:tcW w:w="2417" w:type="pct"/>
            <w:vAlign w:val="bottom"/>
          </w:tcPr>
          <w:p w:rsidR="00D03CE3" w:rsidRPr="00E106BD" w:rsidRDefault="00D03CE3" w:rsidP="008454B6">
            <w:pPr>
              <w:rPr>
                <w:bCs/>
                <w:color w:val="000000"/>
                <w:sz w:val="16"/>
                <w:szCs w:val="16"/>
              </w:rPr>
            </w:pPr>
            <w:r w:rsidRPr="00E106BD">
              <w:rPr>
                <w:bCs/>
                <w:color w:val="000000"/>
                <w:sz w:val="16"/>
                <w:szCs w:val="16"/>
              </w:rPr>
              <w:t>AstraZeneca Pty Ltd</w:t>
            </w:r>
          </w:p>
        </w:tc>
        <w:tc>
          <w:tcPr>
            <w:tcW w:w="1762" w:type="pct"/>
            <w:vAlign w:val="bottom"/>
          </w:tcPr>
          <w:p w:rsidR="00D03CE3" w:rsidRPr="00E106BD" w:rsidRDefault="00D03CE3" w:rsidP="008454B6">
            <w:pPr>
              <w:rPr>
                <w:bCs/>
                <w:color w:val="000000"/>
                <w:sz w:val="16"/>
                <w:szCs w:val="16"/>
              </w:rPr>
            </w:pPr>
            <w:r w:rsidRPr="00E106BD">
              <w:rPr>
                <w:bCs/>
                <w:color w:val="000000"/>
                <w:sz w:val="16"/>
                <w:szCs w:val="16"/>
              </w:rPr>
              <w:t xml:space="preserve"> 54</w:t>
            </w:r>
            <w:r w:rsidR="00E106BD">
              <w:rPr>
                <w:bCs/>
                <w:color w:val="000000"/>
                <w:sz w:val="16"/>
                <w:szCs w:val="16"/>
              </w:rPr>
              <w:t> </w:t>
            </w:r>
            <w:r w:rsidRPr="00E106BD">
              <w:rPr>
                <w:bCs/>
                <w:color w:val="000000"/>
                <w:sz w:val="16"/>
                <w:szCs w:val="16"/>
              </w:rPr>
              <w:t>009</w:t>
            </w:r>
            <w:r w:rsidR="00C33CB5" w:rsidRPr="00E106BD">
              <w:rPr>
                <w:bCs/>
                <w:color w:val="000000"/>
                <w:sz w:val="16"/>
                <w:szCs w:val="16"/>
              </w:rPr>
              <w:t> </w:t>
            </w:r>
            <w:r w:rsidRPr="00E106BD">
              <w:rPr>
                <w:bCs/>
                <w:color w:val="000000"/>
                <w:sz w:val="16"/>
                <w:szCs w:val="16"/>
              </w:rPr>
              <w:t>682</w:t>
            </w:r>
            <w:r w:rsidR="00E106BD">
              <w:rPr>
                <w:bCs/>
                <w:color w:val="000000"/>
                <w:sz w:val="16"/>
                <w:szCs w:val="16"/>
              </w:rPr>
              <w:t> </w:t>
            </w:r>
            <w:r w:rsidRPr="00E106BD">
              <w:rPr>
                <w:bCs/>
                <w:color w:val="000000"/>
                <w:sz w:val="16"/>
                <w:szCs w:val="16"/>
              </w:rPr>
              <w:t>311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BD</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Biogen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30</w:t>
            </w:r>
            <w:r w:rsidR="00E106BD">
              <w:rPr>
                <w:bCs/>
                <w:color w:val="000000"/>
                <w:sz w:val="16"/>
                <w:szCs w:val="16"/>
              </w:rPr>
              <w:t> </w:t>
            </w:r>
            <w:r w:rsidRPr="00E106BD">
              <w:rPr>
                <w:bCs/>
                <w:color w:val="000000"/>
                <w:sz w:val="16"/>
                <w:szCs w:val="16"/>
              </w:rPr>
              <w:t>095</w:t>
            </w:r>
            <w:r w:rsidR="00C33CB5" w:rsidRPr="00E106BD">
              <w:rPr>
                <w:bCs/>
                <w:color w:val="000000"/>
                <w:sz w:val="16"/>
                <w:szCs w:val="16"/>
              </w:rPr>
              <w:t> </w:t>
            </w:r>
            <w:r w:rsidRPr="00E106BD">
              <w:rPr>
                <w:bCs/>
                <w:color w:val="000000"/>
                <w:sz w:val="16"/>
                <w:szCs w:val="16"/>
              </w:rPr>
              <w:t>760</w:t>
            </w:r>
            <w:r w:rsidR="00E106BD">
              <w:rPr>
                <w:bCs/>
                <w:color w:val="000000"/>
                <w:sz w:val="16"/>
                <w:szCs w:val="16"/>
              </w:rPr>
              <w:t> </w:t>
            </w:r>
            <w:r w:rsidRPr="00E106BD">
              <w:rPr>
                <w:bCs/>
                <w:color w:val="000000"/>
                <w:sz w:val="16"/>
                <w:szCs w:val="16"/>
              </w:rPr>
              <w:t>115</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BN</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Bayer Australia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22</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138</w:t>
            </w:r>
            <w:r w:rsidR="00E106BD">
              <w:rPr>
                <w:bCs/>
                <w:color w:val="000000"/>
                <w:sz w:val="16"/>
                <w:szCs w:val="16"/>
              </w:rPr>
              <w:t> </w:t>
            </w:r>
            <w:r w:rsidRPr="00E106BD">
              <w:rPr>
                <w:bCs/>
                <w:color w:val="000000"/>
                <w:sz w:val="16"/>
                <w:szCs w:val="16"/>
              </w:rPr>
              <w:t>714</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BQ</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Bristol</w:t>
            </w:r>
            <w:r w:rsidR="00E106BD">
              <w:rPr>
                <w:bCs/>
                <w:color w:val="000000"/>
                <w:sz w:val="16"/>
                <w:szCs w:val="16"/>
              </w:rPr>
              <w:noBreakHyphen/>
            </w:r>
            <w:r w:rsidRPr="00E106BD">
              <w:rPr>
                <w:bCs/>
                <w:color w:val="000000"/>
                <w:sz w:val="16"/>
                <w:szCs w:val="16"/>
              </w:rPr>
              <w:t>Myers Squibb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33</w:t>
            </w:r>
            <w:r w:rsidR="00E106BD">
              <w:rPr>
                <w:bCs/>
                <w:color w:val="000000"/>
                <w:sz w:val="16"/>
                <w:szCs w:val="16"/>
              </w:rPr>
              <w:t> </w:t>
            </w:r>
            <w:r w:rsidRPr="00E106BD">
              <w:rPr>
                <w:bCs/>
                <w:color w:val="000000"/>
                <w:sz w:val="16"/>
                <w:szCs w:val="16"/>
              </w:rPr>
              <w:t>004</w:t>
            </w:r>
            <w:r w:rsidR="00C33CB5" w:rsidRPr="00E106BD">
              <w:rPr>
                <w:bCs/>
                <w:color w:val="000000"/>
                <w:sz w:val="16"/>
                <w:szCs w:val="16"/>
              </w:rPr>
              <w:t> </w:t>
            </w:r>
            <w:r w:rsidRPr="00E106BD">
              <w:rPr>
                <w:bCs/>
                <w:color w:val="000000"/>
                <w:sz w:val="16"/>
                <w:szCs w:val="16"/>
              </w:rPr>
              <w:t>333</w:t>
            </w:r>
            <w:r w:rsidR="00E106BD">
              <w:rPr>
                <w:bCs/>
                <w:color w:val="000000"/>
                <w:sz w:val="16"/>
                <w:szCs w:val="16"/>
              </w:rPr>
              <w:t> </w:t>
            </w:r>
            <w:r w:rsidRPr="00E106BD">
              <w:rPr>
                <w:bCs/>
                <w:color w:val="000000"/>
                <w:sz w:val="16"/>
                <w:szCs w:val="16"/>
              </w:rPr>
              <w:t>322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BY</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Boehringer Ingelheim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52</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452</w:t>
            </w:r>
            <w:r w:rsidR="00E106BD">
              <w:rPr>
                <w:bCs/>
                <w:color w:val="000000"/>
                <w:sz w:val="16"/>
                <w:szCs w:val="16"/>
              </w:rPr>
              <w:t> </w:t>
            </w:r>
            <w:r w:rsidRPr="00E106BD">
              <w:rPr>
                <w:bCs/>
                <w:color w:val="000000"/>
                <w:sz w:val="16"/>
                <w:szCs w:val="16"/>
              </w:rPr>
              <w:t>308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BZ</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Boucher &amp; Muir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58</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140</w:t>
            </w:r>
            <w:r w:rsidR="00E106BD">
              <w:rPr>
                <w:bCs/>
                <w:color w:val="000000"/>
                <w:sz w:val="16"/>
                <w:szCs w:val="16"/>
              </w:rPr>
              <w:t> </w:t>
            </w:r>
            <w:r w:rsidRPr="00E106BD">
              <w:rPr>
                <w:bCs/>
                <w:color w:val="000000"/>
                <w:sz w:val="16"/>
                <w:szCs w:val="16"/>
              </w:rPr>
              <w:t>474</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CJ</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Celgene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42</w:t>
            </w:r>
            <w:r w:rsidR="00E106BD">
              <w:rPr>
                <w:bCs/>
                <w:color w:val="000000"/>
                <w:sz w:val="16"/>
                <w:szCs w:val="16"/>
              </w:rPr>
              <w:t> </w:t>
            </w:r>
            <w:r w:rsidRPr="00E106BD">
              <w:rPr>
                <w:bCs/>
                <w:color w:val="000000"/>
                <w:sz w:val="16"/>
                <w:szCs w:val="16"/>
              </w:rPr>
              <w:t>118</w:t>
            </w:r>
            <w:r w:rsidR="00C33CB5" w:rsidRPr="00E106BD">
              <w:rPr>
                <w:bCs/>
                <w:color w:val="000000"/>
                <w:sz w:val="16"/>
                <w:szCs w:val="16"/>
              </w:rPr>
              <w:t> </w:t>
            </w:r>
            <w:r w:rsidRPr="00E106BD">
              <w:rPr>
                <w:bCs/>
                <w:color w:val="000000"/>
                <w:sz w:val="16"/>
                <w:szCs w:val="16"/>
              </w:rPr>
              <w:t>998</w:t>
            </w:r>
            <w:r w:rsidR="00E106BD">
              <w:rPr>
                <w:bCs/>
                <w:color w:val="000000"/>
                <w:sz w:val="16"/>
                <w:szCs w:val="16"/>
              </w:rPr>
              <w:t> </w:t>
            </w:r>
            <w:r w:rsidRPr="00E106BD">
              <w:rPr>
                <w:bCs/>
                <w:color w:val="000000"/>
                <w:sz w:val="16"/>
                <w:szCs w:val="16"/>
              </w:rPr>
              <w:t>771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CR</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Pharmacor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58</w:t>
            </w:r>
            <w:r w:rsidR="00E106BD">
              <w:rPr>
                <w:bCs/>
                <w:color w:val="000000"/>
                <w:sz w:val="16"/>
                <w:szCs w:val="16"/>
              </w:rPr>
              <w:t> </w:t>
            </w:r>
            <w:r w:rsidRPr="00E106BD">
              <w:rPr>
                <w:bCs/>
                <w:color w:val="000000"/>
                <w:sz w:val="16"/>
                <w:szCs w:val="16"/>
              </w:rPr>
              <w:t>121</w:t>
            </w:r>
            <w:r w:rsidR="00C33CB5" w:rsidRPr="00E106BD">
              <w:rPr>
                <w:bCs/>
                <w:color w:val="000000"/>
                <w:sz w:val="16"/>
                <w:szCs w:val="16"/>
              </w:rPr>
              <w:t> </w:t>
            </w:r>
            <w:r w:rsidRPr="00E106BD">
              <w:rPr>
                <w:bCs/>
                <w:color w:val="000000"/>
                <w:sz w:val="16"/>
                <w:szCs w:val="16"/>
              </w:rPr>
              <w:t>020</w:t>
            </w:r>
            <w:r w:rsidR="00E106BD">
              <w:rPr>
                <w:bCs/>
                <w:color w:val="000000"/>
                <w:sz w:val="16"/>
                <w:szCs w:val="16"/>
              </w:rPr>
              <w:t> </w:t>
            </w:r>
            <w:r w:rsidRPr="00E106BD">
              <w:rPr>
                <w:bCs/>
                <w:color w:val="000000"/>
                <w:sz w:val="16"/>
                <w:szCs w:val="16"/>
              </w:rPr>
              <w:t>835</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DZ</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Medsurge Healthcare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92</w:t>
            </w:r>
            <w:r w:rsidR="00E106BD">
              <w:rPr>
                <w:bCs/>
                <w:color w:val="000000"/>
                <w:sz w:val="16"/>
                <w:szCs w:val="16"/>
              </w:rPr>
              <w:t> </w:t>
            </w:r>
            <w:r w:rsidRPr="00E106BD">
              <w:rPr>
                <w:bCs/>
                <w:color w:val="000000"/>
                <w:sz w:val="16"/>
                <w:szCs w:val="16"/>
              </w:rPr>
              <w:t>124</w:t>
            </w:r>
            <w:r w:rsidR="00C33CB5" w:rsidRPr="00E106BD">
              <w:rPr>
                <w:bCs/>
                <w:color w:val="000000"/>
                <w:sz w:val="16"/>
                <w:szCs w:val="16"/>
              </w:rPr>
              <w:t> </w:t>
            </w:r>
            <w:r w:rsidRPr="00E106BD">
              <w:rPr>
                <w:bCs/>
                <w:color w:val="000000"/>
                <w:sz w:val="16"/>
                <w:szCs w:val="16"/>
              </w:rPr>
              <w:t>728</w:t>
            </w:r>
            <w:r w:rsidR="00E106BD">
              <w:rPr>
                <w:bCs/>
                <w:color w:val="000000"/>
                <w:sz w:val="16"/>
                <w:szCs w:val="16"/>
              </w:rPr>
              <w:t> </w:t>
            </w:r>
            <w:r w:rsidRPr="00E106BD">
              <w:rPr>
                <w:bCs/>
                <w:color w:val="000000"/>
                <w:sz w:val="16"/>
                <w:szCs w:val="16"/>
              </w:rPr>
              <w:t>892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EA</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Amneal Pharmaceuticals Pty Ltd</w:t>
            </w:r>
          </w:p>
        </w:tc>
        <w:tc>
          <w:tcPr>
            <w:tcW w:w="1762" w:type="pct"/>
            <w:vAlign w:val="center"/>
          </w:tcPr>
          <w:p w:rsidR="00D03CE3" w:rsidRPr="00E106BD" w:rsidRDefault="00D03CE3" w:rsidP="003D2A62">
            <w:pPr>
              <w:rPr>
                <w:bCs/>
                <w:color w:val="000000"/>
                <w:sz w:val="16"/>
                <w:szCs w:val="16"/>
              </w:rPr>
            </w:pPr>
            <w:r w:rsidRPr="00E106BD">
              <w:rPr>
                <w:bCs/>
                <w:color w:val="000000"/>
                <w:sz w:val="16"/>
                <w:szCs w:val="16"/>
              </w:rPr>
              <w:t xml:space="preserve"> 11</w:t>
            </w:r>
            <w:r w:rsidR="00E106BD">
              <w:rPr>
                <w:bCs/>
                <w:color w:val="000000"/>
                <w:sz w:val="16"/>
                <w:szCs w:val="16"/>
              </w:rPr>
              <w:t> </w:t>
            </w:r>
            <w:r w:rsidRPr="00E106BD">
              <w:rPr>
                <w:bCs/>
                <w:color w:val="000000"/>
                <w:sz w:val="16"/>
                <w:szCs w:val="16"/>
              </w:rPr>
              <w:t>163</w:t>
            </w:r>
            <w:r w:rsidR="00C33CB5" w:rsidRPr="00E106BD">
              <w:rPr>
                <w:bCs/>
                <w:color w:val="000000"/>
                <w:sz w:val="16"/>
                <w:szCs w:val="16"/>
              </w:rPr>
              <w:t> </w:t>
            </w:r>
            <w:r w:rsidRPr="00E106BD">
              <w:rPr>
                <w:bCs/>
                <w:color w:val="000000"/>
                <w:sz w:val="16"/>
                <w:szCs w:val="16"/>
              </w:rPr>
              <w:t>167</w:t>
            </w:r>
            <w:r w:rsidR="00E106BD">
              <w:rPr>
                <w:bCs/>
                <w:color w:val="000000"/>
                <w:sz w:val="16"/>
                <w:szCs w:val="16"/>
              </w:rPr>
              <w:t> </w:t>
            </w:r>
            <w:r w:rsidRPr="00E106BD">
              <w:rPr>
                <w:bCs/>
                <w:color w:val="000000"/>
                <w:sz w:val="16"/>
                <w:szCs w:val="16"/>
              </w:rPr>
              <w:t>851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EU</w:t>
            </w:r>
          </w:p>
        </w:tc>
        <w:tc>
          <w:tcPr>
            <w:tcW w:w="2417" w:type="pct"/>
            <w:vAlign w:val="center"/>
          </w:tcPr>
          <w:p w:rsidR="00D03CE3" w:rsidRPr="00E106BD" w:rsidRDefault="00195FBD" w:rsidP="008454B6">
            <w:pPr>
              <w:rPr>
                <w:bCs/>
                <w:color w:val="000000"/>
                <w:sz w:val="16"/>
                <w:szCs w:val="16"/>
              </w:rPr>
            </w:pPr>
            <w:r w:rsidRPr="007A1479">
              <w:rPr>
                <w:bCs/>
                <w:color w:val="000000"/>
                <w:sz w:val="16"/>
                <w:szCs w:val="16"/>
              </w:rPr>
              <w:t>Chiesi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72</w:t>
            </w:r>
            <w:r w:rsidR="00E106BD">
              <w:rPr>
                <w:bCs/>
                <w:color w:val="000000"/>
                <w:sz w:val="16"/>
                <w:szCs w:val="16"/>
              </w:rPr>
              <w:t> </w:t>
            </w:r>
            <w:r w:rsidRPr="00E106BD">
              <w:rPr>
                <w:bCs/>
                <w:color w:val="000000"/>
                <w:sz w:val="16"/>
                <w:szCs w:val="16"/>
              </w:rPr>
              <w:t>145</w:t>
            </w:r>
            <w:r w:rsidR="00C33CB5" w:rsidRPr="00E106BD">
              <w:rPr>
                <w:bCs/>
                <w:color w:val="000000"/>
                <w:sz w:val="16"/>
                <w:szCs w:val="16"/>
              </w:rPr>
              <w:t> </w:t>
            </w:r>
            <w:r w:rsidRPr="00E106BD">
              <w:rPr>
                <w:bCs/>
                <w:color w:val="000000"/>
                <w:sz w:val="16"/>
                <w:szCs w:val="16"/>
              </w:rPr>
              <w:t>180</w:t>
            </w:r>
            <w:r w:rsidR="00E106BD">
              <w:rPr>
                <w:bCs/>
                <w:color w:val="000000"/>
                <w:sz w:val="16"/>
                <w:szCs w:val="16"/>
              </w:rPr>
              <w:t> </w:t>
            </w:r>
            <w:r w:rsidRPr="00E106BD">
              <w:rPr>
                <w:bCs/>
                <w:color w:val="000000"/>
                <w:sz w:val="16"/>
                <w:szCs w:val="16"/>
              </w:rPr>
              <w:t>865</w:t>
            </w:r>
          </w:p>
        </w:tc>
      </w:tr>
      <w:tr w:rsidR="00BC16F9" w:rsidRPr="00E106BD" w:rsidTr="008A0D43">
        <w:trPr>
          <w:trHeight w:val="261"/>
        </w:trPr>
        <w:tc>
          <w:tcPr>
            <w:tcW w:w="821" w:type="pct"/>
            <w:vAlign w:val="center"/>
          </w:tcPr>
          <w:p w:rsidR="00BC16F9" w:rsidRPr="00E106BD" w:rsidRDefault="00BC16F9" w:rsidP="008454B6">
            <w:pPr>
              <w:rPr>
                <w:rFonts w:cs="Times New Roman"/>
                <w:bCs/>
                <w:color w:val="000000"/>
                <w:sz w:val="16"/>
                <w:szCs w:val="16"/>
              </w:rPr>
            </w:pPr>
            <w:r w:rsidRPr="00E106BD">
              <w:rPr>
                <w:rFonts w:cs="Times New Roman"/>
                <w:bCs/>
                <w:color w:val="000000"/>
                <w:sz w:val="16"/>
                <w:szCs w:val="16"/>
              </w:rPr>
              <w:t>EW</w:t>
            </w:r>
          </w:p>
        </w:tc>
        <w:tc>
          <w:tcPr>
            <w:tcW w:w="2417" w:type="pct"/>
            <w:vAlign w:val="center"/>
          </w:tcPr>
          <w:p w:rsidR="00BC16F9" w:rsidRPr="00E106BD" w:rsidRDefault="00BC16F9" w:rsidP="008454B6">
            <w:pPr>
              <w:rPr>
                <w:rFonts w:cs="Times New Roman"/>
                <w:bCs/>
                <w:color w:val="000000"/>
                <w:sz w:val="16"/>
                <w:szCs w:val="16"/>
              </w:rPr>
            </w:pPr>
            <w:r w:rsidRPr="00E106BD">
              <w:rPr>
                <w:rFonts w:cs="Times New Roman"/>
                <w:bCs/>
                <w:color w:val="000000"/>
                <w:sz w:val="16"/>
                <w:szCs w:val="16"/>
              </w:rPr>
              <w:t>Celltrion Healthcare Australia Pty Ltd</w:t>
            </w:r>
          </w:p>
        </w:tc>
        <w:tc>
          <w:tcPr>
            <w:tcW w:w="1762" w:type="pct"/>
            <w:vAlign w:val="center"/>
          </w:tcPr>
          <w:p w:rsidR="00BC16F9" w:rsidRPr="00E106BD" w:rsidRDefault="00BC16F9" w:rsidP="008454B6">
            <w:pPr>
              <w:rPr>
                <w:rFonts w:cs="Times New Roman"/>
                <w:bCs/>
                <w:color w:val="000000"/>
                <w:sz w:val="16"/>
                <w:szCs w:val="16"/>
              </w:rPr>
            </w:pPr>
            <w:r w:rsidRPr="00E106BD">
              <w:rPr>
                <w:rFonts w:cs="Times New Roman"/>
                <w:bCs/>
                <w:color w:val="000000"/>
                <w:sz w:val="16"/>
                <w:szCs w:val="16"/>
              </w:rPr>
              <w:t xml:space="preserve"> 66</w:t>
            </w:r>
            <w:r w:rsidR="00E106BD">
              <w:rPr>
                <w:rFonts w:cs="Times New Roman"/>
                <w:bCs/>
                <w:color w:val="000000"/>
                <w:sz w:val="16"/>
                <w:szCs w:val="16"/>
              </w:rPr>
              <w:t> </w:t>
            </w:r>
            <w:r w:rsidRPr="00E106BD">
              <w:rPr>
                <w:rFonts w:cs="Times New Roman"/>
                <w:bCs/>
                <w:color w:val="000000"/>
                <w:sz w:val="16"/>
                <w:szCs w:val="16"/>
              </w:rPr>
              <w:t>625</w:t>
            </w:r>
            <w:r w:rsidR="00C33CB5" w:rsidRPr="00E106BD">
              <w:rPr>
                <w:rFonts w:cs="Times New Roman"/>
                <w:bCs/>
                <w:color w:val="000000"/>
                <w:sz w:val="16"/>
                <w:szCs w:val="16"/>
              </w:rPr>
              <w:t> </w:t>
            </w:r>
            <w:r w:rsidRPr="00E106BD">
              <w:rPr>
                <w:rFonts w:cs="Times New Roman"/>
                <w:bCs/>
                <w:color w:val="000000"/>
                <w:sz w:val="16"/>
                <w:szCs w:val="16"/>
              </w:rPr>
              <w:t>407</w:t>
            </w:r>
            <w:r w:rsidR="00E106BD">
              <w:rPr>
                <w:rFonts w:cs="Times New Roman"/>
                <w:bCs/>
                <w:color w:val="000000"/>
                <w:sz w:val="16"/>
                <w:szCs w:val="16"/>
              </w:rPr>
              <w:t> </w:t>
            </w:r>
            <w:r w:rsidRPr="00E106BD">
              <w:rPr>
                <w:rFonts w:cs="Times New Roman"/>
                <w:bCs/>
                <w:color w:val="000000"/>
                <w:sz w:val="16"/>
                <w:szCs w:val="16"/>
              </w:rPr>
              <w:t>105</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FK</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 Menarini Australia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62</w:t>
            </w:r>
            <w:r w:rsidR="00E106BD">
              <w:rPr>
                <w:bCs/>
                <w:color w:val="000000"/>
                <w:sz w:val="16"/>
                <w:szCs w:val="16"/>
              </w:rPr>
              <w:t> </w:t>
            </w:r>
            <w:r w:rsidRPr="00E106BD">
              <w:rPr>
                <w:bCs/>
                <w:color w:val="000000"/>
                <w:sz w:val="16"/>
                <w:szCs w:val="16"/>
              </w:rPr>
              <w:t>116</w:t>
            </w:r>
            <w:r w:rsidR="00C33CB5" w:rsidRPr="00E106BD">
              <w:rPr>
                <w:bCs/>
                <w:color w:val="000000"/>
                <w:sz w:val="16"/>
                <w:szCs w:val="16"/>
              </w:rPr>
              <w:t> </w:t>
            </w:r>
            <w:r w:rsidRPr="00E106BD">
              <w:rPr>
                <w:bCs/>
                <w:color w:val="000000"/>
                <w:sz w:val="16"/>
                <w:szCs w:val="16"/>
              </w:rPr>
              <w:t>935</w:t>
            </w:r>
            <w:r w:rsidR="00E106BD">
              <w:rPr>
                <w:bCs/>
                <w:color w:val="000000"/>
                <w:sz w:val="16"/>
                <w:szCs w:val="16"/>
              </w:rPr>
              <w:t> </w:t>
            </w:r>
            <w:r w:rsidRPr="00E106BD">
              <w:rPr>
                <w:bCs/>
                <w:color w:val="000000"/>
                <w:sz w:val="16"/>
                <w:szCs w:val="16"/>
              </w:rPr>
              <w:t>758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GI</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Gilead Sciences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71</w:t>
            </w:r>
            <w:r w:rsidR="00E106BD">
              <w:rPr>
                <w:bCs/>
                <w:color w:val="000000"/>
                <w:sz w:val="16"/>
                <w:szCs w:val="16"/>
              </w:rPr>
              <w:t> </w:t>
            </w:r>
            <w:r w:rsidRPr="00E106BD">
              <w:rPr>
                <w:bCs/>
                <w:color w:val="000000"/>
                <w:sz w:val="16"/>
                <w:szCs w:val="16"/>
              </w:rPr>
              <w:t>072</w:t>
            </w:r>
            <w:r w:rsidR="00C33CB5" w:rsidRPr="00E106BD">
              <w:rPr>
                <w:bCs/>
                <w:color w:val="000000"/>
                <w:sz w:val="16"/>
                <w:szCs w:val="16"/>
              </w:rPr>
              <w:t> </w:t>
            </w:r>
            <w:r w:rsidRPr="00E106BD">
              <w:rPr>
                <w:bCs/>
                <w:color w:val="000000"/>
                <w:sz w:val="16"/>
                <w:szCs w:val="16"/>
              </w:rPr>
              <w:t>611</w:t>
            </w:r>
            <w:r w:rsidR="00E106BD">
              <w:rPr>
                <w:bCs/>
                <w:color w:val="000000"/>
                <w:sz w:val="16"/>
                <w:szCs w:val="16"/>
              </w:rPr>
              <w:t> </w:t>
            </w:r>
            <w:r w:rsidRPr="00E106BD">
              <w:rPr>
                <w:bCs/>
                <w:color w:val="000000"/>
                <w:sz w:val="16"/>
                <w:szCs w:val="16"/>
              </w:rPr>
              <w:t>708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GK</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GlaxoSmithKline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47</w:t>
            </w:r>
            <w:r w:rsidR="00E106BD">
              <w:rPr>
                <w:bCs/>
                <w:color w:val="000000"/>
                <w:sz w:val="16"/>
                <w:szCs w:val="16"/>
              </w:rPr>
              <w:t> </w:t>
            </w:r>
            <w:r w:rsidRPr="00E106BD">
              <w:rPr>
                <w:bCs/>
                <w:color w:val="000000"/>
                <w:sz w:val="16"/>
                <w:szCs w:val="16"/>
              </w:rPr>
              <w:t>100</w:t>
            </w:r>
            <w:r w:rsidR="00C33CB5" w:rsidRPr="00E106BD">
              <w:rPr>
                <w:bCs/>
                <w:color w:val="000000"/>
                <w:sz w:val="16"/>
                <w:szCs w:val="16"/>
              </w:rPr>
              <w:t> </w:t>
            </w:r>
            <w:r w:rsidRPr="00E106BD">
              <w:rPr>
                <w:bCs/>
                <w:color w:val="000000"/>
                <w:sz w:val="16"/>
                <w:szCs w:val="16"/>
              </w:rPr>
              <w:t>162</w:t>
            </w:r>
            <w:r w:rsidR="00E106BD">
              <w:rPr>
                <w:bCs/>
                <w:color w:val="000000"/>
                <w:sz w:val="16"/>
                <w:szCs w:val="16"/>
              </w:rPr>
              <w:t> </w:t>
            </w:r>
            <w:r w:rsidRPr="00E106BD">
              <w:rPr>
                <w:bCs/>
                <w:color w:val="000000"/>
                <w:sz w:val="16"/>
                <w:szCs w:val="16"/>
              </w:rPr>
              <w:t>481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GO</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Mylan Health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29</w:t>
            </w:r>
            <w:r w:rsidR="00E106BD">
              <w:rPr>
                <w:bCs/>
                <w:color w:val="000000"/>
                <w:sz w:val="16"/>
                <w:szCs w:val="16"/>
              </w:rPr>
              <w:t> </w:t>
            </w:r>
            <w:r w:rsidRPr="00E106BD">
              <w:rPr>
                <w:bCs/>
                <w:color w:val="000000"/>
                <w:sz w:val="16"/>
                <w:szCs w:val="16"/>
              </w:rPr>
              <w:t>601</w:t>
            </w:r>
            <w:r w:rsidR="00C33CB5" w:rsidRPr="00E106BD">
              <w:rPr>
                <w:bCs/>
                <w:color w:val="000000"/>
                <w:sz w:val="16"/>
                <w:szCs w:val="16"/>
              </w:rPr>
              <w:t> </w:t>
            </w:r>
            <w:r w:rsidRPr="00E106BD">
              <w:rPr>
                <w:bCs/>
                <w:color w:val="000000"/>
                <w:sz w:val="16"/>
                <w:szCs w:val="16"/>
              </w:rPr>
              <w:t>608</w:t>
            </w:r>
            <w:r w:rsidR="00E106BD">
              <w:rPr>
                <w:bCs/>
                <w:color w:val="000000"/>
                <w:sz w:val="16"/>
                <w:szCs w:val="16"/>
              </w:rPr>
              <w:t> </w:t>
            </w:r>
            <w:r w:rsidRPr="00E106BD">
              <w:rPr>
                <w:bCs/>
                <w:color w:val="000000"/>
                <w:sz w:val="16"/>
                <w:szCs w:val="16"/>
              </w:rPr>
              <w:t>771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GQ</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Generic Health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93</w:t>
            </w:r>
            <w:r w:rsidR="00E106BD">
              <w:rPr>
                <w:bCs/>
                <w:color w:val="000000"/>
                <w:sz w:val="16"/>
                <w:szCs w:val="16"/>
              </w:rPr>
              <w:t> </w:t>
            </w:r>
            <w:r w:rsidRPr="00E106BD">
              <w:rPr>
                <w:bCs/>
                <w:color w:val="000000"/>
                <w:sz w:val="16"/>
                <w:szCs w:val="16"/>
              </w:rPr>
              <w:t>110</w:t>
            </w:r>
            <w:r w:rsidR="00C33CB5" w:rsidRPr="00E106BD">
              <w:rPr>
                <w:bCs/>
                <w:color w:val="000000"/>
                <w:sz w:val="16"/>
                <w:szCs w:val="16"/>
              </w:rPr>
              <w:t> </w:t>
            </w:r>
            <w:r w:rsidRPr="00E106BD">
              <w:rPr>
                <w:bCs/>
                <w:color w:val="000000"/>
                <w:sz w:val="16"/>
                <w:szCs w:val="16"/>
              </w:rPr>
              <w:t>617</w:t>
            </w:r>
            <w:r w:rsidR="00E106BD">
              <w:rPr>
                <w:bCs/>
                <w:color w:val="000000"/>
                <w:sz w:val="16"/>
                <w:szCs w:val="16"/>
              </w:rPr>
              <w:t> </w:t>
            </w:r>
            <w:r w:rsidRPr="00E106BD">
              <w:rPr>
                <w:bCs/>
                <w:color w:val="000000"/>
                <w:sz w:val="16"/>
                <w:szCs w:val="16"/>
              </w:rPr>
              <w:t>859</w:t>
            </w:r>
          </w:p>
        </w:tc>
      </w:tr>
      <w:tr w:rsidR="002A5895" w:rsidRPr="00E106BD" w:rsidTr="008A0D43">
        <w:trPr>
          <w:trHeight w:val="261"/>
        </w:trPr>
        <w:tc>
          <w:tcPr>
            <w:tcW w:w="821" w:type="pct"/>
            <w:vAlign w:val="center"/>
          </w:tcPr>
          <w:p w:rsidR="002A5895" w:rsidRPr="00E106BD" w:rsidRDefault="002A5895" w:rsidP="008454B6">
            <w:pPr>
              <w:rPr>
                <w:bCs/>
                <w:color w:val="000000"/>
                <w:sz w:val="16"/>
                <w:szCs w:val="16"/>
              </w:rPr>
            </w:pPr>
            <w:r w:rsidRPr="00E106BD">
              <w:rPr>
                <w:bCs/>
                <w:color w:val="000000"/>
                <w:sz w:val="16"/>
                <w:szCs w:val="16"/>
              </w:rPr>
              <w:t>GX</w:t>
            </w:r>
          </w:p>
        </w:tc>
        <w:tc>
          <w:tcPr>
            <w:tcW w:w="2417" w:type="pct"/>
            <w:vAlign w:val="center"/>
          </w:tcPr>
          <w:p w:rsidR="002A5895" w:rsidRPr="00E106BD" w:rsidRDefault="002A5895" w:rsidP="008454B6">
            <w:pPr>
              <w:rPr>
                <w:bCs/>
                <w:color w:val="000000"/>
                <w:sz w:val="16"/>
                <w:szCs w:val="16"/>
              </w:rPr>
            </w:pPr>
            <w:r w:rsidRPr="00E106BD">
              <w:rPr>
                <w:bCs/>
                <w:color w:val="000000"/>
                <w:sz w:val="16"/>
                <w:szCs w:val="16"/>
              </w:rPr>
              <w:t>Apotex Pty Ltd</w:t>
            </w:r>
          </w:p>
        </w:tc>
        <w:tc>
          <w:tcPr>
            <w:tcW w:w="1762" w:type="pct"/>
            <w:vAlign w:val="center"/>
          </w:tcPr>
          <w:p w:rsidR="002A5895" w:rsidRPr="00E106BD" w:rsidRDefault="002A5895" w:rsidP="008454B6">
            <w:pPr>
              <w:rPr>
                <w:bCs/>
                <w:color w:val="000000"/>
                <w:sz w:val="16"/>
                <w:szCs w:val="16"/>
              </w:rPr>
            </w:pPr>
            <w:r w:rsidRPr="00E106BD">
              <w:rPr>
                <w:bCs/>
                <w:color w:val="000000"/>
                <w:sz w:val="16"/>
                <w:szCs w:val="16"/>
              </w:rPr>
              <w:t xml:space="preserve"> 52</w:t>
            </w:r>
            <w:r w:rsidR="00E106BD">
              <w:rPr>
                <w:bCs/>
                <w:color w:val="000000"/>
                <w:sz w:val="16"/>
                <w:szCs w:val="16"/>
              </w:rPr>
              <w:t> </w:t>
            </w:r>
            <w:r w:rsidRPr="00E106BD">
              <w:rPr>
                <w:bCs/>
                <w:color w:val="000000"/>
                <w:sz w:val="16"/>
                <w:szCs w:val="16"/>
              </w:rPr>
              <w:t>096</w:t>
            </w:r>
            <w:r w:rsidR="00C33CB5" w:rsidRPr="00E106BD">
              <w:rPr>
                <w:bCs/>
                <w:color w:val="000000"/>
                <w:sz w:val="16"/>
                <w:szCs w:val="16"/>
              </w:rPr>
              <w:t> </w:t>
            </w:r>
            <w:r w:rsidRPr="00E106BD">
              <w:rPr>
                <w:bCs/>
                <w:color w:val="000000"/>
                <w:sz w:val="16"/>
                <w:szCs w:val="16"/>
              </w:rPr>
              <w:t>916</w:t>
            </w:r>
            <w:r w:rsidR="00E106BD">
              <w:rPr>
                <w:bCs/>
                <w:color w:val="000000"/>
                <w:sz w:val="16"/>
                <w:szCs w:val="16"/>
              </w:rPr>
              <w:t> </w:t>
            </w:r>
            <w:r w:rsidRPr="00E106BD">
              <w:rPr>
                <w:bCs/>
                <w:color w:val="000000"/>
                <w:sz w:val="16"/>
                <w:szCs w:val="16"/>
              </w:rPr>
              <w:t>148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GZ</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sanofi</w:t>
            </w:r>
            <w:r w:rsidR="00E106BD">
              <w:rPr>
                <w:bCs/>
                <w:color w:val="000000"/>
                <w:sz w:val="16"/>
                <w:szCs w:val="16"/>
              </w:rPr>
              <w:noBreakHyphen/>
            </w:r>
            <w:r w:rsidRPr="00E106BD">
              <w:rPr>
                <w:bCs/>
                <w:color w:val="000000"/>
                <w:sz w:val="16"/>
                <w:szCs w:val="16"/>
              </w:rPr>
              <w:t>aventis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31</w:t>
            </w:r>
            <w:r w:rsidR="00E106BD">
              <w:rPr>
                <w:bCs/>
                <w:color w:val="000000"/>
                <w:sz w:val="16"/>
                <w:szCs w:val="16"/>
              </w:rPr>
              <w:t> </w:t>
            </w:r>
            <w:r w:rsidRPr="00E106BD">
              <w:rPr>
                <w:bCs/>
                <w:color w:val="000000"/>
                <w:sz w:val="16"/>
                <w:szCs w:val="16"/>
              </w:rPr>
              <w:t>008</w:t>
            </w:r>
            <w:r w:rsidR="00C33CB5" w:rsidRPr="00E106BD">
              <w:rPr>
                <w:bCs/>
                <w:color w:val="000000"/>
                <w:sz w:val="16"/>
                <w:szCs w:val="16"/>
              </w:rPr>
              <w:t> </w:t>
            </w:r>
            <w:r w:rsidRPr="00E106BD">
              <w:rPr>
                <w:bCs/>
                <w:color w:val="000000"/>
                <w:sz w:val="16"/>
                <w:szCs w:val="16"/>
              </w:rPr>
              <w:t>558</w:t>
            </w:r>
            <w:r w:rsidR="00E106BD">
              <w:rPr>
                <w:bCs/>
                <w:color w:val="000000"/>
                <w:sz w:val="16"/>
                <w:szCs w:val="16"/>
              </w:rPr>
              <w:t> </w:t>
            </w:r>
            <w:r w:rsidRPr="00E106BD">
              <w:rPr>
                <w:bCs/>
                <w:color w:val="000000"/>
                <w:sz w:val="16"/>
                <w:szCs w:val="16"/>
              </w:rPr>
              <w:t>807</w:t>
            </w:r>
          </w:p>
        </w:tc>
      </w:tr>
      <w:tr w:rsidR="00D03CE3" w:rsidRPr="00E106BD" w:rsidTr="00CB6352">
        <w:trPr>
          <w:trHeight w:val="261"/>
        </w:trPr>
        <w:tc>
          <w:tcPr>
            <w:tcW w:w="821" w:type="pct"/>
          </w:tcPr>
          <w:p w:rsidR="00D03CE3" w:rsidRPr="00E106BD" w:rsidRDefault="00D03CE3" w:rsidP="008454B6">
            <w:pPr>
              <w:rPr>
                <w:bCs/>
                <w:color w:val="000000"/>
                <w:sz w:val="16"/>
                <w:szCs w:val="16"/>
              </w:rPr>
            </w:pPr>
            <w:r w:rsidRPr="00E106BD">
              <w:rPr>
                <w:bCs/>
                <w:color w:val="000000"/>
                <w:sz w:val="16"/>
                <w:szCs w:val="16"/>
              </w:rPr>
              <w:t>HN</w:t>
            </w:r>
          </w:p>
        </w:tc>
        <w:tc>
          <w:tcPr>
            <w:tcW w:w="2417" w:type="pct"/>
          </w:tcPr>
          <w:p w:rsidR="00D03CE3" w:rsidRPr="00E106BD" w:rsidRDefault="00D03CE3" w:rsidP="008454B6">
            <w:pPr>
              <w:rPr>
                <w:bCs/>
                <w:color w:val="000000"/>
                <w:sz w:val="16"/>
                <w:szCs w:val="16"/>
              </w:rPr>
            </w:pPr>
            <w:r w:rsidRPr="00E106BD">
              <w:rPr>
                <w:bCs/>
                <w:color w:val="000000"/>
                <w:sz w:val="16"/>
                <w:szCs w:val="16"/>
              </w:rPr>
              <w:t>Horizon Hospital Healthcare Pty Ltd</w:t>
            </w:r>
          </w:p>
        </w:tc>
        <w:tc>
          <w:tcPr>
            <w:tcW w:w="1762" w:type="pct"/>
          </w:tcPr>
          <w:p w:rsidR="00D03CE3" w:rsidRPr="00E106BD" w:rsidRDefault="00D03CE3" w:rsidP="008454B6">
            <w:pPr>
              <w:rPr>
                <w:bCs/>
                <w:color w:val="000000"/>
                <w:sz w:val="16"/>
                <w:szCs w:val="16"/>
              </w:rPr>
            </w:pPr>
            <w:r w:rsidRPr="00E106BD">
              <w:rPr>
                <w:bCs/>
                <w:color w:val="000000"/>
                <w:sz w:val="16"/>
                <w:szCs w:val="16"/>
              </w:rPr>
              <w:t xml:space="preserve"> 60</w:t>
            </w:r>
            <w:r w:rsidR="00E106BD">
              <w:rPr>
                <w:bCs/>
                <w:color w:val="000000"/>
                <w:sz w:val="16"/>
                <w:szCs w:val="16"/>
              </w:rPr>
              <w:t> </w:t>
            </w:r>
            <w:r w:rsidRPr="00E106BD">
              <w:rPr>
                <w:bCs/>
                <w:color w:val="000000"/>
                <w:sz w:val="16"/>
                <w:szCs w:val="16"/>
              </w:rPr>
              <w:t>148</w:t>
            </w:r>
            <w:r w:rsidR="00C33CB5" w:rsidRPr="00E106BD">
              <w:rPr>
                <w:bCs/>
                <w:color w:val="000000"/>
                <w:sz w:val="16"/>
                <w:szCs w:val="16"/>
              </w:rPr>
              <w:t> </w:t>
            </w:r>
            <w:r w:rsidRPr="00E106BD">
              <w:rPr>
                <w:bCs/>
                <w:color w:val="000000"/>
                <w:sz w:val="16"/>
                <w:szCs w:val="16"/>
              </w:rPr>
              <w:t>910</w:t>
            </w:r>
            <w:r w:rsidR="00E106BD">
              <w:rPr>
                <w:bCs/>
                <w:color w:val="000000"/>
                <w:sz w:val="16"/>
                <w:szCs w:val="16"/>
              </w:rPr>
              <w:t> </w:t>
            </w:r>
            <w:r w:rsidRPr="00E106BD">
              <w:rPr>
                <w:bCs/>
                <w:color w:val="000000"/>
                <w:sz w:val="16"/>
                <w:szCs w:val="16"/>
              </w:rPr>
              <w:t>883</w:t>
            </w:r>
          </w:p>
        </w:tc>
      </w:tr>
      <w:tr w:rsidR="00435AE3" w:rsidRPr="00E106BD" w:rsidTr="00CB6352">
        <w:trPr>
          <w:trHeight w:val="261"/>
        </w:trPr>
        <w:tc>
          <w:tcPr>
            <w:tcW w:w="821" w:type="pct"/>
          </w:tcPr>
          <w:p w:rsidR="00435AE3" w:rsidRPr="00E106BD" w:rsidRDefault="00435AE3" w:rsidP="008454B6">
            <w:pPr>
              <w:rPr>
                <w:bCs/>
                <w:color w:val="000000"/>
                <w:sz w:val="16"/>
                <w:szCs w:val="16"/>
              </w:rPr>
            </w:pPr>
            <w:r w:rsidRPr="00E106BD">
              <w:rPr>
                <w:bCs/>
                <w:color w:val="000000"/>
                <w:sz w:val="16"/>
                <w:szCs w:val="16"/>
              </w:rPr>
              <w:t>HQ</w:t>
            </w:r>
          </w:p>
        </w:tc>
        <w:tc>
          <w:tcPr>
            <w:tcW w:w="2417" w:type="pct"/>
          </w:tcPr>
          <w:p w:rsidR="00435AE3" w:rsidRPr="00E106BD" w:rsidRDefault="00435AE3" w:rsidP="008454B6">
            <w:pPr>
              <w:rPr>
                <w:bCs/>
                <w:color w:val="000000"/>
                <w:sz w:val="16"/>
                <w:szCs w:val="16"/>
              </w:rPr>
            </w:pPr>
            <w:r w:rsidRPr="00E106BD">
              <w:rPr>
                <w:bCs/>
                <w:color w:val="000000"/>
                <w:sz w:val="16"/>
                <w:szCs w:val="16"/>
              </w:rPr>
              <w:t>Generic Health Pty Ltd</w:t>
            </w:r>
          </w:p>
        </w:tc>
        <w:tc>
          <w:tcPr>
            <w:tcW w:w="1762" w:type="pct"/>
          </w:tcPr>
          <w:p w:rsidR="00435AE3" w:rsidRPr="00E106BD" w:rsidRDefault="00435AE3" w:rsidP="008454B6">
            <w:pPr>
              <w:rPr>
                <w:bCs/>
                <w:color w:val="000000"/>
                <w:sz w:val="16"/>
                <w:szCs w:val="16"/>
              </w:rPr>
            </w:pPr>
            <w:r w:rsidRPr="00E106BD">
              <w:rPr>
                <w:bCs/>
                <w:color w:val="000000"/>
                <w:sz w:val="16"/>
                <w:szCs w:val="16"/>
              </w:rPr>
              <w:t xml:space="preserve"> 93</w:t>
            </w:r>
            <w:r w:rsidR="00E106BD">
              <w:rPr>
                <w:bCs/>
                <w:color w:val="000000"/>
                <w:sz w:val="16"/>
                <w:szCs w:val="16"/>
              </w:rPr>
              <w:t> </w:t>
            </w:r>
            <w:r w:rsidRPr="00E106BD">
              <w:rPr>
                <w:bCs/>
                <w:color w:val="000000"/>
                <w:sz w:val="16"/>
                <w:szCs w:val="16"/>
              </w:rPr>
              <w:t>110</w:t>
            </w:r>
            <w:r w:rsidR="00C33CB5" w:rsidRPr="00E106BD">
              <w:rPr>
                <w:bCs/>
                <w:color w:val="000000"/>
                <w:sz w:val="16"/>
                <w:szCs w:val="16"/>
              </w:rPr>
              <w:t> </w:t>
            </w:r>
            <w:r w:rsidRPr="00E106BD">
              <w:rPr>
                <w:bCs/>
                <w:color w:val="000000"/>
                <w:sz w:val="16"/>
                <w:szCs w:val="16"/>
              </w:rPr>
              <w:t>617</w:t>
            </w:r>
            <w:r w:rsidR="00E106BD">
              <w:rPr>
                <w:bCs/>
                <w:color w:val="000000"/>
                <w:sz w:val="16"/>
                <w:szCs w:val="16"/>
              </w:rPr>
              <w:t> </w:t>
            </w:r>
            <w:r w:rsidRPr="00E106BD">
              <w:rPr>
                <w:bCs/>
                <w:color w:val="000000"/>
                <w:sz w:val="16"/>
                <w:szCs w:val="16"/>
              </w:rPr>
              <w:t>859</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IS</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Ipsen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47</w:t>
            </w:r>
            <w:r w:rsidR="00E106BD">
              <w:rPr>
                <w:bCs/>
                <w:color w:val="000000"/>
                <w:sz w:val="16"/>
                <w:szCs w:val="16"/>
              </w:rPr>
              <w:t> </w:t>
            </w:r>
            <w:r w:rsidRPr="00E106BD">
              <w:rPr>
                <w:bCs/>
                <w:color w:val="000000"/>
                <w:sz w:val="16"/>
                <w:szCs w:val="16"/>
              </w:rPr>
              <w:t>095</w:t>
            </w:r>
            <w:r w:rsidR="00C33CB5" w:rsidRPr="00E106BD">
              <w:rPr>
                <w:bCs/>
                <w:color w:val="000000"/>
                <w:sz w:val="16"/>
                <w:szCs w:val="16"/>
              </w:rPr>
              <w:t> </w:t>
            </w:r>
            <w:r w:rsidRPr="00E106BD">
              <w:rPr>
                <w:bCs/>
                <w:color w:val="000000"/>
                <w:sz w:val="16"/>
                <w:szCs w:val="16"/>
              </w:rPr>
              <w:t>036</w:t>
            </w:r>
            <w:r w:rsidR="00E106BD">
              <w:rPr>
                <w:bCs/>
                <w:color w:val="000000"/>
                <w:sz w:val="16"/>
                <w:szCs w:val="16"/>
              </w:rPr>
              <w:t> </w:t>
            </w:r>
            <w:r w:rsidRPr="00E106BD">
              <w:rPr>
                <w:bCs/>
                <w:color w:val="000000"/>
                <w:sz w:val="16"/>
                <w:szCs w:val="16"/>
              </w:rPr>
              <w:t>909</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IX</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Clinect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76</w:t>
            </w:r>
            <w:r w:rsidR="00E106BD">
              <w:rPr>
                <w:bCs/>
                <w:color w:val="000000"/>
                <w:sz w:val="16"/>
                <w:szCs w:val="16"/>
              </w:rPr>
              <w:t> </w:t>
            </w:r>
            <w:r w:rsidRPr="00E106BD">
              <w:rPr>
                <w:bCs/>
                <w:color w:val="000000"/>
                <w:sz w:val="16"/>
                <w:szCs w:val="16"/>
              </w:rPr>
              <w:t>150</w:t>
            </w:r>
            <w:r w:rsidR="00C33CB5" w:rsidRPr="00E106BD">
              <w:rPr>
                <w:bCs/>
                <w:color w:val="000000"/>
                <w:sz w:val="16"/>
                <w:szCs w:val="16"/>
              </w:rPr>
              <w:t> </w:t>
            </w:r>
            <w:r w:rsidRPr="00E106BD">
              <w:rPr>
                <w:bCs/>
                <w:color w:val="000000"/>
                <w:sz w:val="16"/>
                <w:szCs w:val="16"/>
              </w:rPr>
              <w:t>558</w:t>
            </w:r>
            <w:r w:rsidR="00E106BD">
              <w:rPr>
                <w:bCs/>
                <w:color w:val="000000"/>
                <w:sz w:val="16"/>
                <w:szCs w:val="16"/>
              </w:rPr>
              <w:t> </w:t>
            </w:r>
            <w:r w:rsidRPr="00E106BD">
              <w:rPr>
                <w:bCs/>
                <w:color w:val="000000"/>
                <w:sz w:val="16"/>
                <w:szCs w:val="16"/>
              </w:rPr>
              <w:t>473</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JC</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Janssen</w:t>
            </w:r>
            <w:r w:rsidR="00E106BD">
              <w:rPr>
                <w:bCs/>
                <w:color w:val="000000"/>
                <w:sz w:val="16"/>
                <w:szCs w:val="16"/>
              </w:rPr>
              <w:noBreakHyphen/>
            </w:r>
            <w:r w:rsidRPr="00E106BD">
              <w:rPr>
                <w:bCs/>
                <w:color w:val="000000"/>
                <w:sz w:val="16"/>
                <w:szCs w:val="16"/>
              </w:rPr>
              <w:t>Cilag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47</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129</w:t>
            </w:r>
            <w:r w:rsidR="00E106BD">
              <w:rPr>
                <w:bCs/>
                <w:color w:val="000000"/>
                <w:sz w:val="16"/>
                <w:szCs w:val="16"/>
              </w:rPr>
              <w:t> </w:t>
            </w:r>
            <w:r w:rsidRPr="00E106BD">
              <w:rPr>
                <w:bCs/>
                <w:color w:val="000000"/>
                <w:sz w:val="16"/>
                <w:szCs w:val="16"/>
              </w:rPr>
              <w:t>975</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JO</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Juno Pharmaceuticals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55</w:t>
            </w:r>
            <w:r w:rsidR="00E106BD">
              <w:rPr>
                <w:bCs/>
                <w:color w:val="000000"/>
                <w:sz w:val="16"/>
                <w:szCs w:val="16"/>
              </w:rPr>
              <w:t> </w:t>
            </w:r>
            <w:r w:rsidRPr="00E106BD">
              <w:rPr>
                <w:bCs/>
                <w:color w:val="000000"/>
                <w:sz w:val="16"/>
                <w:szCs w:val="16"/>
              </w:rPr>
              <w:t>156</w:t>
            </w:r>
            <w:r w:rsidR="00C33CB5" w:rsidRPr="00E106BD">
              <w:rPr>
                <w:bCs/>
                <w:color w:val="000000"/>
                <w:sz w:val="16"/>
                <w:szCs w:val="16"/>
              </w:rPr>
              <w:t> </w:t>
            </w:r>
            <w:r w:rsidRPr="00E106BD">
              <w:rPr>
                <w:bCs/>
                <w:color w:val="000000"/>
                <w:sz w:val="16"/>
                <w:szCs w:val="16"/>
              </w:rPr>
              <w:t>303</w:t>
            </w:r>
            <w:r w:rsidR="00E106BD">
              <w:rPr>
                <w:bCs/>
                <w:color w:val="000000"/>
                <w:sz w:val="16"/>
                <w:szCs w:val="16"/>
              </w:rPr>
              <w:t> </w:t>
            </w:r>
            <w:r w:rsidRPr="00E106BD">
              <w:rPr>
                <w:bCs/>
                <w:color w:val="000000"/>
                <w:sz w:val="16"/>
                <w:szCs w:val="16"/>
              </w:rPr>
              <w:t>650</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JU</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Juno Pharmaceuticals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55</w:t>
            </w:r>
            <w:r w:rsidR="00E106BD">
              <w:rPr>
                <w:bCs/>
                <w:color w:val="000000"/>
                <w:sz w:val="16"/>
                <w:szCs w:val="16"/>
              </w:rPr>
              <w:t> </w:t>
            </w:r>
            <w:r w:rsidRPr="00E106BD">
              <w:rPr>
                <w:bCs/>
                <w:color w:val="000000"/>
                <w:sz w:val="16"/>
                <w:szCs w:val="16"/>
              </w:rPr>
              <w:t>156</w:t>
            </w:r>
            <w:r w:rsidR="00C33CB5" w:rsidRPr="00E106BD">
              <w:rPr>
                <w:bCs/>
                <w:color w:val="000000"/>
                <w:sz w:val="16"/>
                <w:szCs w:val="16"/>
              </w:rPr>
              <w:t> </w:t>
            </w:r>
            <w:r w:rsidRPr="00E106BD">
              <w:rPr>
                <w:bCs/>
                <w:color w:val="000000"/>
                <w:sz w:val="16"/>
                <w:szCs w:val="16"/>
              </w:rPr>
              <w:t>303</w:t>
            </w:r>
            <w:r w:rsidR="00E106BD">
              <w:rPr>
                <w:bCs/>
                <w:color w:val="000000"/>
                <w:sz w:val="16"/>
                <w:szCs w:val="16"/>
              </w:rPr>
              <w:t> </w:t>
            </w:r>
            <w:r w:rsidRPr="00E106BD">
              <w:rPr>
                <w:bCs/>
                <w:color w:val="000000"/>
                <w:sz w:val="16"/>
                <w:szCs w:val="16"/>
              </w:rPr>
              <w:t>650</w:t>
            </w:r>
          </w:p>
        </w:tc>
      </w:tr>
      <w:tr w:rsidR="00D03CE3" w:rsidRPr="00E106BD" w:rsidTr="00650AB2">
        <w:trPr>
          <w:trHeight w:val="261"/>
        </w:trPr>
        <w:tc>
          <w:tcPr>
            <w:tcW w:w="821" w:type="pct"/>
            <w:vAlign w:val="bottom"/>
          </w:tcPr>
          <w:p w:rsidR="00D03CE3" w:rsidRPr="00E106BD" w:rsidRDefault="00D03CE3" w:rsidP="008454B6">
            <w:pPr>
              <w:rPr>
                <w:bCs/>
                <w:color w:val="000000"/>
                <w:sz w:val="16"/>
                <w:szCs w:val="16"/>
              </w:rPr>
            </w:pPr>
            <w:r w:rsidRPr="00E106BD">
              <w:rPr>
                <w:bCs/>
                <w:color w:val="000000"/>
                <w:sz w:val="16"/>
                <w:szCs w:val="16"/>
              </w:rPr>
              <w:t>JX</w:t>
            </w:r>
          </w:p>
        </w:tc>
        <w:tc>
          <w:tcPr>
            <w:tcW w:w="2417" w:type="pct"/>
            <w:vAlign w:val="bottom"/>
          </w:tcPr>
          <w:p w:rsidR="00D03CE3" w:rsidRPr="00E106BD" w:rsidRDefault="00D03CE3" w:rsidP="008454B6">
            <w:pPr>
              <w:rPr>
                <w:bCs/>
                <w:color w:val="000000"/>
                <w:sz w:val="16"/>
                <w:szCs w:val="16"/>
              </w:rPr>
            </w:pPr>
            <w:r w:rsidRPr="00E106BD">
              <w:rPr>
                <w:bCs/>
                <w:color w:val="000000"/>
                <w:sz w:val="16"/>
                <w:szCs w:val="16"/>
              </w:rPr>
              <w:t>Juno Pharmaceuticals Pty Ltd</w:t>
            </w:r>
          </w:p>
        </w:tc>
        <w:tc>
          <w:tcPr>
            <w:tcW w:w="1762" w:type="pct"/>
            <w:vAlign w:val="bottom"/>
          </w:tcPr>
          <w:p w:rsidR="00D03CE3" w:rsidRPr="00E106BD" w:rsidRDefault="00D03CE3" w:rsidP="008454B6">
            <w:pPr>
              <w:rPr>
                <w:bCs/>
                <w:color w:val="000000"/>
                <w:sz w:val="16"/>
                <w:szCs w:val="16"/>
              </w:rPr>
            </w:pPr>
            <w:r w:rsidRPr="00E106BD">
              <w:rPr>
                <w:bCs/>
                <w:color w:val="000000"/>
                <w:sz w:val="16"/>
                <w:szCs w:val="16"/>
              </w:rPr>
              <w:t xml:space="preserve"> 55</w:t>
            </w:r>
            <w:r w:rsidR="00E106BD">
              <w:rPr>
                <w:bCs/>
                <w:color w:val="000000"/>
                <w:sz w:val="16"/>
                <w:szCs w:val="16"/>
              </w:rPr>
              <w:t> </w:t>
            </w:r>
            <w:r w:rsidRPr="00E106BD">
              <w:rPr>
                <w:bCs/>
                <w:color w:val="000000"/>
                <w:sz w:val="16"/>
                <w:szCs w:val="16"/>
              </w:rPr>
              <w:t>156</w:t>
            </w:r>
            <w:r w:rsidR="00C33CB5" w:rsidRPr="00E106BD">
              <w:rPr>
                <w:bCs/>
                <w:color w:val="000000"/>
                <w:sz w:val="16"/>
                <w:szCs w:val="16"/>
              </w:rPr>
              <w:t> </w:t>
            </w:r>
            <w:r w:rsidRPr="00E106BD">
              <w:rPr>
                <w:bCs/>
                <w:color w:val="000000"/>
                <w:sz w:val="16"/>
                <w:szCs w:val="16"/>
              </w:rPr>
              <w:t>303</w:t>
            </w:r>
            <w:r w:rsidR="00E106BD">
              <w:rPr>
                <w:bCs/>
                <w:color w:val="000000"/>
                <w:sz w:val="16"/>
                <w:szCs w:val="16"/>
              </w:rPr>
              <w:t> </w:t>
            </w:r>
            <w:r w:rsidRPr="00E106BD">
              <w:rPr>
                <w:bCs/>
                <w:color w:val="000000"/>
                <w:sz w:val="16"/>
                <w:szCs w:val="16"/>
              </w:rPr>
              <w:t>650</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LL</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Astellas Pharma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81</w:t>
            </w:r>
            <w:r w:rsidR="00E106BD">
              <w:rPr>
                <w:bCs/>
                <w:color w:val="000000"/>
                <w:sz w:val="16"/>
                <w:szCs w:val="16"/>
              </w:rPr>
              <w:t> </w:t>
            </w:r>
            <w:r w:rsidRPr="00E106BD">
              <w:rPr>
                <w:bCs/>
                <w:color w:val="000000"/>
                <w:sz w:val="16"/>
                <w:szCs w:val="16"/>
              </w:rPr>
              <w:t>147</w:t>
            </w:r>
            <w:r w:rsidR="00C33CB5" w:rsidRPr="00E106BD">
              <w:rPr>
                <w:bCs/>
                <w:color w:val="000000"/>
                <w:sz w:val="16"/>
                <w:szCs w:val="16"/>
              </w:rPr>
              <w:t> </w:t>
            </w:r>
            <w:r w:rsidRPr="00E106BD">
              <w:rPr>
                <w:bCs/>
                <w:color w:val="000000"/>
                <w:sz w:val="16"/>
                <w:szCs w:val="16"/>
              </w:rPr>
              <w:t>915</w:t>
            </w:r>
            <w:r w:rsidR="00E106BD">
              <w:rPr>
                <w:bCs/>
                <w:color w:val="000000"/>
                <w:sz w:val="16"/>
                <w:szCs w:val="16"/>
              </w:rPr>
              <w:t> </w:t>
            </w:r>
            <w:r w:rsidRPr="00E106BD">
              <w:rPr>
                <w:bCs/>
                <w:color w:val="000000"/>
                <w:sz w:val="16"/>
                <w:szCs w:val="16"/>
              </w:rPr>
              <w:t>482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LQ</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Astellas Pharma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81</w:t>
            </w:r>
            <w:r w:rsidR="00E106BD">
              <w:rPr>
                <w:bCs/>
                <w:color w:val="000000"/>
                <w:sz w:val="16"/>
                <w:szCs w:val="16"/>
              </w:rPr>
              <w:t> </w:t>
            </w:r>
            <w:r w:rsidRPr="00E106BD">
              <w:rPr>
                <w:bCs/>
                <w:color w:val="000000"/>
                <w:sz w:val="16"/>
                <w:szCs w:val="16"/>
              </w:rPr>
              <w:t>147</w:t>
            </w:r>
            <w:r w:rsidR="00C33CB5" w:rsidRPr="00E106BD">
              <w:rPr>
                <w:bCs/>
                <w:color w:val="000000"/>
                <w:sz w:val="16"/>
                <w:szCs w:val="16"/>
              </w:rPr>
              <w:t> </w:t>
            </w:r>
            <w:r w:rsidRPr="00E106BD">
              <w:rPr>
                <w:bCs/>
                <w:color w:val="000000"/>
                <w:sz w:val="16"/>
                <w:szCs w:val="16"/>
              </w:rPr>
              <w:t>915</w:t>
            </w:r>
            <w:r w:rsidR="00E106BD">
              <w:rPr>
                <w:bCs/>
                <w:color w:val="000000"/>
                <w:sz w:val="16"/>
                <w:szCs w:val="16"/>
              </w:rPr>
              <w:t> </w:t>
            </w:r>
            <w:r w:rsidRPr="00E106BD">
              <w:rPr>
                <w:bCs/>
                <w:color w:val="000000"/>
                <w:sz w:val="16"/>
                <w:szCs w:val="16"/>
              </w:rPr>
              <w:t>482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LR</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Cipla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46</w:t>
            </w:r>
            <w:r w:rsidR="00E106BD">
              <w:rPr>
                <w:bCs/>
                <w:color w:val="000000"/>
                <w:sz w:val="16"/>
                <w:szCs w:val="16"/>
              </w:rPr>
              <w:t> </w:t>
            </w:r>
            <w:r w:rsidRPr="00E106BD">
              <w:rPr>
                <w:bCs/>
                <w:color w:val="000000"/>
                <w:sz w:val="16"/>
                <w:szCs w:val="16"/>
              </w:rPr>
              <w:t>132</w:t>
            </w:r>
            <w:r w:rsidR="00C33CB5" w:rsidRPr="00E106BD">
              <w:rPr>
                <w:bCs/>
                <w:color w:val="000000"/>
                <w:sz w:val="16"/>
                <w:szCs w:val="16"/>
              </w:rPr>
              <w:t> </w:t>
            </w:r>
            <w:r w:rsidRPr="00E106BD">
              <w:rPr>
                <w:bCs/>
                <w:color w:val="000000"/>
                <w:sz w:val="16"/>
                <w:szCs w:val="16"/>
              </w:rPr>
              <w:t>155</w:t>
            </w:r>
            <w:r w:rsidR="00E106BD">
              <w:rPr>
                <w:bCs/>
                <w:color w:val="000000"/>
                <w:sz w:val="16"/>
                <w:szCs w:val="16"/>
              </w:rPr>
              <w:t> </w:t>
            </w:r>
            <w:r w:rsidRPr="00E106BD">
              <w:rPr>
                <w:bCs/>
                <w:color w:val="000000"/>
                <w:sz w:val="16"/>
                <w:szCs w:val="16"/>
              </w:rPr>
              <w:t>063</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LY</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Eli Lilly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39</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233</w:t>
            </w:r>
            <w:r w:rsidR="00E106BD">
              <w:rPr>
                <w:bCs/>
                <w:color w:val="000000"/>
                <w:sz w:val="16"/>
                <w:szCs w:val="16"/>
              </w:rPr>
              <w:t> </w:t>
            </w:r>
            <w:r w:rsidRPr="00E106BD">
              <w:rPr>
                <w:bCs/>
                <w:color w:val="000000"/>
                <w:sz w:val="16"/>
                <w:szCs w:val="16"/>
              </w:rPr>
              <w:t>992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MK</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Merck Sharp &amp; Dohme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14</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173</w:t>
            </w:r>
            <w:r w:rsidR="00E106BD">
              <w:rPr>
                <w:bCs/>
                <w:color w:val="000000"/>
                <w:sz w:val="16"/>
                <w:szCs w:val="16"/>
              </w:rPr>
              <w:t> </w:t>
            </w:r>
            <w:r w:rsidRPr="00E106BD">
              <w:rPr>
                <w:bCs/>
                <w:color w:val="000000"/>
                <w:sz w:val="16"/>
                <w:szCs w:val="16"/>
              </w:rPr>
              <w:t>508</w:t>
            </w:r>
          </w:p>
        </w:tc>
      </w:tr>
      <w:tr w:rsidR="00D03CE3" w:rsidRPr="00E106BD" w:rsidTr="00CB758E">
        <w:trPr>
          <w:trHeight w:val="261"/>
        </w:trPr>
        <w:tc>
          <w:tcPr>
            <w:tcW w:w="821" w:type="pct"/>
            <w:vAlign w:val="bottom"/>
          </w:tcPr>
          <w:p w:rsidR="00D03CE3" w:rsidRPr="00E106BD" w:rsidRDefault="00D03CE3" w:rsidP="008454B6">
            <w:pPr>
              <w:rPr>
                <w:bCs/>
                <w:color w:val="000000"/>
                <w:sz w:val="16"/>
                <w:szCs w:val="16"/>
              </w:rPr>
            </w:pPr>
            <w:r w:rsidRPr="00E106BD">
              <w:rPr>
                <w:bCs/>
                <w:color w:val="000000"/>
                <w:sz w:val="16"/>
                <w:szCs w:val="16"/>
              </w:rPr>
              <w:t>NM</w:t>
            </w:r>
          </w:p>
        </w:tc>
        <w:tc>
          <w:tcPr>
            <w:tcW w:w="2417" w:type="pct"/>
            <w:vAlign w:val="bottom"/>
          </w:tcPr>
          <w:p w:rsidR="00D03CE3" w:rsidRPr="00E106BD" w:rsidRDefault="00D03CE3" w:rsidP="008454B6">
            <w:pPr>
              <w:rPr>
                <w:bCs/>
                <w:color w:val="000000"/>
                <w:sz w:val="16"/>
                <w:szCs w:val="16"/>
              </w:rPr>
            </w:pPr>
            <w:r w:rsidRPr="00E106BD">
              <w:rPr>
                <w:bCs/>
                <w:color w:val="000000"/>
                <w:sz w:val="16"/>
                <w:szCs w:val="16"/>
              </w:rPr>
              <w:t>Novartis Pharmaceuticals Australia Pty Limited</w:t>
            </w:r>
          </w:p>
        </w:tc>
        <w:tc>
          <w:tcPr>
            <w:tcW w:w="1762" w:type="pct"/>
            <w:vAlign w:val="bottom"/>
          </w:tcPr>
          <w:p w:rsidR="00D03CE3" w:rsidRPr="00E106BD" w:rsidRDefault="00D03CE3" w:rsidP="008454B6">
            <w:pPr>
              <w:rPr>
                <w:bCs/>
                <w:color w:val="000000"/>
                <w:sz w:val="16"/>
                <w:szCs w:val="16"/>
              </w:rPr>
            </w:pPr>
            <w:r w:rsidRPr="00E106BD">
              <w:rPr>
                <w:bCs/>
                <w:color w:val="000000"/>
                <w:sz w:val="16"/>
                <w:szCs w:val="16"/>
              </w:rPr>
              <w:t xml:space="preserve"> 18</w:t>
            </w:r>
            <w:r w:rsidR="00E106BD">
              <w:rPr>
                <w:bCs/>
                <w:color w:val="000000"/>
                <w:sz w:val="16"/>
                <w:szCs w:val="16"/>
              </w:rPr>
              <w:t> </w:t>
            </w:r>
            <w:r w:rsidRPr="00E106BD">
              <w:rPr>
                <w:bCs/>
                <w:color w:val="000000"/>
                <w:sz w:val="16"/>
                <w:szCs w:val="16"/>
              </w:rPr>
              <w:t>004</w:t>
            </w:r>
            <w:r w:rsidR="00C33CB5" w:rsidRPr="00E106BD">
              <w:rPr>
                <w:bCs/>
                <w:color w:val="000000"/>
                <w:sz w:val="16"/>
                <w:szCs w:val="16"/>
              </w:rPr>
              <w:t> </w:t>
            </w:r>
            <w:r w:rsidRPr="00E106BD">
              <w:rPr>
                <w:bCs/>
                <w:color w:val="000000"/>
                <w:sz w:val="16"/>
                <w:szCs w:val="16"/>
              </w:rPr>
              <w:t>244</w:t>
            </w:r>
            <w:r w:rsidR="00E106BD">
              <w:rPr>
                <w:bCs/>
                <w:color w:val="000000"/>
                <w:sz w:val="16"/>
                <w:szCs w:val="16"/>
              </w:rPr>
              <w:t> </w:t>
            </w:r>
            <w:r w:rsidRPr="00E106BD">
              <w:rPr>
                <w:bCs/>
                <w:color w:val="000000"/>
                <w:sz w:val="16"/>
                <w:szCs w:val="16"/>
              </w:rPr>
              <w:t>160</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NV</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Novartis Pharmaceuticals Australia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18</w:t>
            </w:r>
            <w:r w:rsidR="00E106BD">
              <w:rPr>
                <w:bCs/>
                <w:color w:val="000000"/>
                <w:sz w:val="16"/>
                <w:szCs w:val="16"/>
              </w:rPr>
              <w:t> </w:t>
            </w:r>
            <w:r w:rsidRPr="00E106BD">
              <w:rPr>
                <w:bCs/>
                <w:color w:val="000000"/>
                <w:sz w:val="16"/>
                <w:szCs w:val="16"/>
              </w:rPr>
              <w:t>004</w:t>
            </w:r>
            <w:r w:rsidR="00C33CB5" w:rsidRPr="00E106BD">
              <w:rPr>
                <w:bCs/>
                <w:color w:val="000000"/>
                <w:sz w:val="16"/>
                <w:szCs w:val="16"/>
              </w:rPr>
              <w:t> </w:t>
            </w:r>
            <w:r w:rsidRPr="00E106BD">
              <w:rPr>
                <w:bCs/>
                <w:color w:val="000000"/>
                <w:sz w:val="16"/>
                <w:szCs w:val="16"/>
              </w:rPr>
              <w:t>244</w:t>
            </w:r>
            <w:r w:rsidR="00E106BD">
              <w:rPr>
                <w:bCs/>
                <w:color w:val="000000"/>
                <w:sz w:val="16"/>
                <w:szCs w:val="16"/>
              </w:rPr>
              <w:t> </w:t>
            </w:r>
            <w:r w:rsidRPr="00E106BD">
              <w:rPr>
                <w:bCs/>
                <w:color w:val="000000"/>
                <w:sz w:val="16"/>
                <w:szCs w:val="16"/>
              </w:rPr>
              <w:t>160</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OC</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Accord Healthcare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49</w:t>
            </w:r>
            <w:r w:rsidR="00E106BD">
              <w:rPr>
                <w:bCs/>
                <w:color w:val="000000"/>
                <w:sz w:val="16"/>
                <w:szCs w:val="16"/>
              </w:rPr>
              <w:t> </w:t>
            </w:r>
            <w:r w:rsidRPr="00E106BD">
              <w:rPr>
                <w:bCs/>
                <w:color w:val="000000"/>
                <w:sz w:val="16"/>
                <w:szCs w:val="16"/>
              </w:rPr>
              <w:t>110</w:t>
            </w:r>
            <w:r w:rsidR="00C33CB5" w:rsidRPr="00E106BD">
              <w:rPr>
                <w:bCs/>
                <w:color w:val="000000"/>
                <w:sz w:val="16"/>
                <w:szCs w:val="16"/>
              </w:rPr>
              <w:t> </w:t>
            </w:r>
            <w:r w:rsidRPr="00E106BD">
              <w:rPr>
                <w:bCs/>
                <w:color w:val="000000"/>
                <w:sz w:val="16"/>
                <w:szCs w:val="16"/>
              </w:rPr>
              <w:t>502</w:t>
            </w:r>
            <w:r w:rsidR="00E106BD">
              <w:rPr>
                <w:bCs/>
                <w:color w:val="000000"/>
                <w:sz w:val="16"/>
                <w:szCs w:val="16"/>
              </w:rPr>
              <w:t> </w:t>
            </w:r>
            <w:r w:rsidRPr="00E106BD">
              <w:rPr>
                <w:bCs/>
                <w:color w:val="000000"/>
                <w:sz w:val="16"/>
                <w:szCs w:val="16"/>
              </w:rPr>
              <w:t>513</w:t>
            </w:r>
          </w:p>
        </w:tc>
      </w:tr>
      <w:tr w:rsidR="008B2DBC" w:rsidRPr="00E106BD" w:rsidTr="008620F5">
        <w:trPr>
          <w:trHeight w:val="261"/>
        </w:trPr>
        <w:tc>
          <w:tcPr>
            <w:tcW w:w="821" w:type="pct"/>
            <w:vAlign w:val="center"/>
          </w:tcPr>
          <w:p w:rsidR="008B2DBC" w:rsidRPr="00E106BD" w:rsidRDefault="008B2DBC" w:rsidP="008454B6">
            <w:pPr>
              <w:rPr>
                <w:bCs/>
                <w:color w:val="000000"/>
                <w:sz w:val="16"/>
                <w:szCs w:val="16"/>
              </w:rPr>
            </w:pPr>
            <w:r w:rsidRPr="00E106BD">
              <w:rPr>
                <w:bCs/>
                <w:color w:val="000000"/>
                <w:sz w:val="16"/>
                <w:szCs w:val="16"/>
              </w:rPr>
              <w:t>PB</w:t>
            </w:r>
          </w:p>
        </w:tc>
        <w:tc>
          <w:tcPr>
            <w:tcW w:w="2417" w:type="pct"/>
            <w:vAlign w:val="bottom"/>
          </w:tcPr>
          <w:p w:rsidR="008B2DBC" w:rsidRPr="00E106BD" w:rsidRDefault="008B2DBC" w:rsidP="008454B6">
            <w:pPr>
              <w:rPr>
                <w:bCs/>
                <w:color w:val="000000"/>
                <w:sz w:val="16"/>
                <w:szCs w:val="16"/>
              </w:rPr>
            </w:pPr>
            <w:r w:rsidRPr="00E106BD">
              <w:rPr>
                <w:bCs/>
                <w:color w:val="000000"/>
                <w:sz w:val="16"/>
                <w:szCs w:val="16"/>
              </w:rPr>
              <w:t>Pharmaco (Australia) Limited</w:t>
            </w:r>
          </w:p>
        </w:tc>
        <w:tc>
          <w:tcPr>
            <w:tcW w:w="1762" w:type="pct"/>
            <w:vAlign w:val="bottom"/>
          </w:tcPr>
          <w:p w:rsidR="008B2DBC" w:rsidRPr="00E106BD" w:rsidRDefault="008B2DBC" w:rsidP="008454B6">
            <w:pPr>
              <w:rPr>
                <w:bCs/>
                <w:color w:val="000000"/>
                <w:sz w:val="16"/>
                <w:szCs w:val="16"/>
              </w:rPr>
            </w:pPr>
            <w:r w:rsidRPr="00E106BD">
              <w:rPr>
                <w:bCs/>
                <w:color w:val="000000"/>
                <w:sz w:val="16"/>
                <w:szCs w:val="16"/>
              </w:rPr>
              <w:t xml:space="preserve"> 89</w:t>
            </w:r>
            <w:r w:rsidR="00E106BD">
              <w:rPr>
                <w:bCs/>
                <w:color w:val="000000"/>
                <w:sz w:val="16"/>
                <w:szCs w:val="16"/>
              </w:rPr>
              <w:t> </w:t>
            </w:r>
            <w:r w:rsidRPr="00E106BD">
              <w:rPr>
                <w:bCs/>
                <w:color w:val="000000"/>
                <w:sz w:val="16"/>
                <w:szCs w:val="16"/>
              </w:rPr>
              <w:t>113</w:t>
            </w:r>
            <w:r w:rsidR="00C33CB5" w:rsidRPr="00E106BD">
              <w:rPr>
                <w:bCs/>
                <w:color w:val="000000"/>
                <w:sz w:val="16"/>
                <w:szCs w:val="16"/>
              </w:rPr>
              <w:t> </w:t>
            </w:r>
            <w:r w:rsidRPr="00E106BD">
              <w:rPr>
                <w:bCs/>
                <w:color w:val="000000"/>
                <w:sz w:val="16"/>
                <w:szCs w:val="16"/>
              </w:rPr>
              <w:t>383</w:t>
            </w:r>
            <w:r w:rsidR="00E106BD">
              <w:rPr>
                <w:bCs/>
                <w:color w:val="000000"/>
                <w:sz w:val="16"/>
                <w:szCs w:val="16"/>
              </w:rPr>
              <w:t> </w:t>
            </w:r>
            <w:r w:rsidRPr="00E106BD">
              <w:rPr>
                <w:bCs/>
                <w:color w:val="000000"/>
                <w:sz w:val="16"/>
                <w:szCs w:val="16"/>
              </w:rPr>
              <w:t>501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PF</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Pfizer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50</w:t>
            </w:r>
            <w:r w:rsidR="00E106BD">
              <w:rPr>
                <w:bCs/>
                <w:color w:val="000000"/>
                <w:sz w:val="16"/>
                <w:szCs w:val="16"/>
              </w:rPr>
              <w:t> </w:t>
            </w:r>
            <w:r w:rsidRPr="00E106BD">
              <w:rPr>
                <w:bCs/>
                <w:color w:val="000000"/>
                <w:sz w:val="16"/>
                <w:szCs w:val="16"/>
              </w:rPr>
              <w:t>008</w:t>
            </w:r>
            <w:r w:rsidR="00C33CB5" w:rsidRPr="00E106BD">
              <w:rPr>
                <w:bCs/>
                <w:color w:val="000000"/>
                <w:sz w:val="16"/>
                <w:szCs w:val="16"/>
              </w:rPr>
              <w:t> </w:t>
            </w:r>
            <w:r w:rsidRPr="00E106BD">
              <w:rPr>
                <w:bCs/>
                <w:color w:val="000000"/>
                <w:sz w:val="16"/>
                <w:szCs w:val="16"/>
              </w:rPr>
              <w:t>422</w:t>
            </w:r>
            <w:r w:rsidR="00E106BD">
              <w:rPr>
                <w:bCs/>
                <w:color w:val="000000"/>
                <w:sz w:val="16"/>
                <w:szCs w:val="16"/>
              </w:rPr>
              <w:t> </w:t>
            </w:r>
            <w:r w:rsidRPr="00E106BD">
              <w:rPr>
                <w:bCs/>
                <w:color w:val="000000"/>
                <w:sz w:val="16"/>
                <w:szCs w:val="16"/>
              </w:rPr>
              <w:t>348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RA</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Sun Pharma ANZ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17</w:t>
            </w:r>
            <w:r w:rsidR="00E106BD">
              <w:rPr>
                <w:bCs/>
                <w:color w:val="000000"/>
                <w:sz w:val="16"/>
                <w:szCs w:val="16"/>
              </w:rPr>
              <w:t> </w:t>
            </w:r>
            <w:r w:rsidRPr="00E106BD">
              <w:rPr>
                <w:bCs/>
                <w:color w:val="000000"/>
                <w:sz w:val="16"/>
                <w:szCs w:val="16"/>
              </w:rPr>
              <w:t>110</w:t>
            </w:r>
            <w:r w:rsidR="00C33CB5" w:rsidRPr="00E106BD">
              <w:rPr>
                <w:bCs/>
                <w:color w:val="000000"/>
                <w:sz w:val="16"/>
                <w:szCs w:val="16"/>
              </w:rPr>
              <w:t> </w:t>
            </w:r>
            <w:r w:rsidRPr="00E106BD">
              <w:rPr>
                <w:bCs/>
                <w:color w:val="000000"/>
                <w:sz w:val="16"/>
                <w:szCs w:val="16"/>
              </w:rPr>
              <w:t>871</w:t>
            </w:r>
            <w:r w:rsidR="00E106BD">
              <w:rPr>
                <w:bCs/>
                <w:color w:val="000000"/>
                <w:sz w:val="16"/>
                <w:szCs w:val="16"/>
              </w:rPr>
              <w:t> </w:t>
            </w:r>
            <w:r w:rsidRPr="00E106BD">
              <w:rPr>
                <w:bCs/>
                <w:color w:val="000000"/>
                <w:sz w:val="16"/>
                <w:szCs w:val="16"/>
              </w:rPr>
              <w:t>826</w:t>
            </w:r>
          </w:p>
        </w:tc>
      </w:tr>
      <w:tr w:rsidR="000E36BF" w:rsidRPr="00E106BD" w:rsidTr="003A419F">
        <w:trPr>
          <w:trHeight w:val="261"/>
        </w:trPr>
        <w:tc>
          <w:tcPr>
            <w:tcW w:w="821" w:type="pct"/>
            <w:vAlign w:val="bottom"/>
          </w:tcPr>
          <w:p w:rsidR="000E36BF" w:rsidRPr="00E106BD" w:rsidRDefault="000E36BF" w:rsidP="008454B6">
            <w:pPr>
              <w:rPr>
                <w:bCs/>
                <w:color w:val="000000"/>
                <w:sz w:val="16"/>
                <w:szCs w:val="16"/>
              </w:rPr>
            </w:pPr>
            <w:r w:rsidRPr="00E106BD">
              <w:rPr>
                <w:bCs/>
                <w:color w:val="000000"/>
                <w:sz w:val="16"/>
                <w:szCs w:val="16"/>
              </w:rPr>
              <w:t>RF</w:t>
            </w:r>
          </w:p>
        </w:tc>
        <w:tc>
          <w:tcPr>
            <w:tcW w:w="2417" w:type="pct"/>
            <w:vAlign w:val="bottom"/>
          </w:tcPr>
          <w:p w:rsidR="000E36BF" w:rsidRPr="00E106BD" w:rsidRDefault="000E36BF" w:rsidP="008454B6">
            <w:pPr>
              <w:rPr>
                <w:bCs/>
                <w:color w:val="000000"/>
                <w:sz w:val="16"/>
                <w:szCs w:val="16"/>
              </w:rPr>
            </w:pPr>
            <w:r w:rsidRPr="00E106BD">
              <w:rPr>
                <w:bCs/>
                <w:color w:val="000000"/>
                <w:sz w:val="16"/>
                <w:szCs w:val="16"/>
              </w:rPr>
              <w:t>Arrow Pharma Pty Ltd</w:t>
            </w:r>
          </w:p>
        </w:tc>
        <w:tc>
          <w:tcPr>
            <w:tcW w:w="1762" w:type="pct"/>
            <w:vAlign w:val="bottom"/>
          </w:tcPr>
          <w:p w:rsidR="000E36BF" w:rsidRPr="00E106BD" w:rsidRDefault="000E36BF" w:rsidP="008454B6">
            <w:pPr>
              <w:rPr>
                <w:bCs/>
                <w:color w:val="000000"/>
                <w:sz w:val="16"/>
                <w:szCs w:val="16"/>
              </w:rPr>
            </w:pPr>
            <w:r w:rsidRPr="00E106BD">
              <w:rPr>
                <w:bCs/>
                <w:color w:val="000000"/>
                <w:sz w:val="16"/>
                <w:szCs w:val="16"/>
              </w:rPr>
              <w:t xml:space="preserve"> 35</w:t>
            </w:r>
            <w:r w:rsidR="00E106BD">
              <w:rPr>
                <w:bCs/>
                <w:color w:val="000000"/>
                <w:sz w:val="16"/>
                <w:szCs w:val="16"/>
              </w:rPr>
              <w:t> </w:t>
            </w:r>
            <w:r w:rsidRPr="00E106BD">
              <w:rPr>
                <w:bCs/>
                <w:color w:val="000000"/>
                <w:sz w:val="16"/>
                <w:szCs w:val="16"/>
              </w:rPr>
              <w:t>605</w:t>
            </w:r>
            <w:r w:rsidR="00C33CB5" w:rsidRPr="00E106BD">
              <w:rPr>
                <w:bCs/>
                <w:color w:val="000000"/>
                <w:sz w:val="16"/>
                <w:szCs w:val="16"/>
              </w:rPr>
              <w:t> </w:t>
            </w:r>
            <w:r w:rsidRPr="00E106BD">
              <w:rPr>
                <w:bCs/>
                <w:color w:val="000000"/>
                <w:sz w:val="16"/>
                <w:szCs w:val="16"/>
              </w:rPr>
              <w:t>909</w:t>
            </w:r>
            <w:r w:rsidR="00E106BD">
              <w:rPr>
                <w:bCs/>
                <w:color w:val="000000"/>
                <w:sz w:val="16"/>
                <w:szCs w:val="16"/>
              </w:rPr>
              <w:t> </w:t>
            </w:r>
            <w:r w:rsidRPr="00E106BD">
              <w:rPr>
                <w:bCs/>
                <w:color w:val="000000"/>
                <w:sz w:val="16"/>
                <w:szCs w:val="16"/>
              </w:rPr>
              <w:t>920</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RI</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Dr Reddy</w:t>
            </w:r>
            <w:r w:rsidR="00A653CA">
              <w:rPr>
                <w:bCs/>
                <w:color w:val="000000"/>
                <w:sz w:val="16"/>
                <w:szCs w:val="16"/>
              </w:rPr>
              <w:t>’</w:t>
            </w:r>
            <w:r w:rsidRPr="00E106BD">
              <w:rPr>
                <w:bCs/>
                <w:color w:val="000000"/>
                <w:sz w:val="16"/>
                <w:szCs w:val="16"/>
              </w:rPr>
              <w:t>s Laboratories (Australia)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16</w:t>
            </w:r>
            <w:r w:rsidR="00E106BD">
              <w:rPr>
                <w:bCs/>
                <w:color w:val="000000"/>
                <w:sz w:val="16"/>
                <w:szCs w:val="16"/>
              </w:rPr>
              <w:t> </w:t>
            </w:r>
            <w:r w:rsidRPr="00E106BD">
              <w:rPr>
                <w:bCs/>
                <w:color w:val="000000"/>
                <w:sz w:val="16"/>
                <w:szCs w:val="16"/>
              </w:rPr>
              <w:t>120</w:t>
            </w:r>
            <w:r w:rsidR="00C33CB5" w:rsidRPr="00E106BD">
              <w:rPr>
                <w:bCs/>
                <w:color w:val="000000"/>
                <w:sz w:val="16"/>
                <w:szCs w:val="16"/>
              </w:rPr>
              <w:t> </w:t>
            </w:r>
            <w:r w:rsidRPr="00E106BD">
              <w:rPr>
                <w:bCs/>
                <w:color w:val="000000"/>
                <w:sz w:val="16"/>
                <w:szCs w:val="16"/>
              </w:rPr>
              <w:t>092</w:t>
            </w:r>
            <w:r w:rsidR="00E106BD">
              <w:rPr>
                <w:bCs/>
                <w:color w:val="000000"/>
                <w:sz w:val="16"/>
                <w:szCs w:val="16"/>
              </w:rPr>
              <w:t> </w:t>
            </w:r>
            <w:r w:rsidRPr="00E106BD">
              <w:rPr>
                <w:bCs/>
                <w:color w:val="000000"/>
                <w:sz w:val="16"/>
                <w:szCs w:val="16"/>
              </w:rPr>
              <w:t>408</w:t>
            </w:r>
          </w:p>
        </w:tc>
      </w:tr>
      <w:tr w:rsidR="00646815" w:rsidRPr="00E106BD" w:rsidTr="002F1D98">
        <w:trPr>
          <w:trHeight w:val="261"/>
        </w:trPr>
        <w:tc>
          <w:tcPr>
            <w:tcW w:w="821" w:type="pct"/>
          </w:tcPr>
          <w:p w:rsidR="00646815" w:rsidRPr="00E43A5C" w:rsidRDefault="00646815" w:rsidP="008454B6">
            <w:pPr>
              <w:rPr>
                <w:rFonts w:cs="Times New Roman"/>
                <w:bCs/>
                <w:color w:val="000000"/>
                <w:sz w:val="16"/>
                <w:szCs w:val="16"/>
              </w:rPr>
            </w:pPr>
            <w:r w:rsidRPr="002F1D98">
              <w:rPr>
                <w:rFonts w:cs="Times New Roman"/>
                <w:sz w:val="16"/>
                <w:szCs w:val="16"/>
              </w:rPr>
              <w:t>RJ</w:t>
            </w:r>
          </w:p>
        </w:tc>
        <w:tc>
          <w:tcPr>
            <w:tcW w:w="2417" w:type="pct"/>
          </w:tcPr>
          <w:p w:rsidR="00646815" w:rsidRPr="00E43A5C" w:rsidRDefault="00646815" w:rsidP="008454B6">
            <w:pPr>
              <w:rPr>
                <w:rFonts w:cs="Times New Roman"/>
                <w:bCs/>
                <w:color w:val="000000"/>
                <w:sz w:val="16"/>
                <w:szCs w:val="16"/>
              </w:rPr>
            </w:pPr>
            <w:r w:rsidRPr="002F1D98">
              <w:rPr>
                <w:rFonts w:cs="Times New Roman"/>
                <w:sz w:val="16"/>
                <w:szCs w:val="16"/>
              </w:rPr>
              <w:t>Recordati Rare Diseases Australia Pty. Ltd</w:t>
            </w:r>
          </w:p>
        </w:tc>
        <w:tc>
          <w:tcPr>
            <w:tcW w:w="1762" w:type="pct"/>
          </w:tcPr>
          <w:p w:rsidR="00646815" w:rsidRPr="00E43A5C" w:rsidRDefault="00646815" w:rsidP="008454B6">
            <w:pPr>
              <w:rPr>
                <w:rFonts w:cs="Times New Roman"/>
                <w:bCs/>
                <w:color w:val="000000"/>
                <w:sz w:val="16"/>
                <w:szCs w:val="16"/>
              </w:rPr>
            </w:pPr>
            <w:r>
              <w:rPr>
                <w:rFonts w:cs="Times New Roman"/>
                <w:sz w:val="16"/>
                <w:szCs w:val="16"/>
              </w:rPr>
              <w:t xml:space="preserve"> </w:t>
            </w:r>
            <w:r w:rsidRPr="009F2CAE">
              <w:rPr>
                <w:rFonts w:cs="Times New Roman"/>
                <w:sz w:val="16"/>
                <w:szCs w:val="16"/>
              </w:rPr>
              <w:t>26 627 263 094</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RO</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Roche Products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70</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132</w:t>
            </w:r>
            <w:r w:rsidR="00E106BD">
              <w:rPr>
                <w:bCs/>
                <w:color w:val="000000"/>
                <w:sz w:val="16"/>
                <w:szCs w:val="16"/>
              </w:rPr>
              <w:t> </w:t>
            </w:r>
            <w:r w:rsidRPr="00E106BD">
              <w:rPr>
                <w:bCs/>
                <w:color w:val="000000"/>
                <w:sz w:val="16"/>
                <w:szCs w:val="16"/>
              </w:rPr>
              <w:t>865</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RW</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Arrow Pharma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35</w:t>
            </w:r>
            <w:r w:rsidR="00E106BD">
              <w:rPr>
                <w:bCs/>
                <w:color w:val="000000"/>
                <w:sz w:val="16"/>
                <w:szCs w:val="16"/>
              </w:rPr>
              <w:t> </w:t>
            </w:r>
            <w:r w:rsidRPr="00E106BD">
              <w:rPr>
                <w:bCs/>
                <w:color w:val="000000"/>
                <w:sz w:val="16"/>
                <w:szCs w:val="16"/>
              </w:rPr>
              <w:t>605</w:t>
            </w:r>
            <w:r w:rsidR="00C33CB5" w:rsidRPr="00E106BD">
              <w:rPr>
                <w:bCs/>
                <w:color w:val="000000"/>
                <w:sz w:val="16"/>
                <w:szCs w:val="16"/>
              </w:rPr>
              <w:t> </w:t>
            </w:r>
            <w:r w:rsidRPr="00E106BD">
              <w:rPr>
                <w:bCs/>
                <w:color w:val="000000"/>
                <w:sz w:val="16"/>
                <w:szCs w:val="16"/>
              </w:rPr>
              <w:t>909</w:t>
            </w:r>
            <w:r w:rsidR="00E106BD">
              <w:rPr>
                <w:bCs/>
                <w:color w:val="000000"/>
                <w:sz w:val="16"/>
                <w:szCs w:val="16"/>
              </w:rPr>
              <w:t> </w:t>
            </w:r>
            <w:r w:rsidRPr="00E106BD">
              <w:rPr>
                <w:bCs/>
                <w:color w:val="000000"/>
                <w:sz w:val="16"/>
                <w:szCs w:val="16"/>
              </w:rPr>
              <w:t>920</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RZ</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Dr Reddy’s Laboratories (Australia)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16</w:t>
            </w:r>
            <w:r w:rsidR="00E106BD">
              <w:rPr>
                <w:bCs/>
                <w:color w:val="000000"/>
                <w:sz w:val="16"/>
                <w:szCs w:val="16"/>
              </w:rPr>
              <w:t> </w:t>
            </w:r>
            <w:r w:rsidRPr="00E106BD">
              <w:rPr>
                <w:bCs/>
                <w:color w:val="000000"/>
                <w:sz w:val="16"/>
                <w:szCs w:val="16"/>
              </w:rPr>
              <w:t>120</w:t>
            </w:r>
            <w:r w:rsidR="00C33CB5" w:rsidRPr="00E106BD">
              <w:rPr>
                <w:bCs/>
                <w:color w:val="000000"/>
                <w:sz w:val="16"/>
                <w:szCs w:val="16"/>
              </w:rPr>
              <w:t> </w:t>
            </w:r>
            <w:r w:rsidRPr="00E106BD">
              <w:rPr>
                <w:bCs/>
                <w:color w:val="000000"/>
                <w:sz w:val="16"/>
                <w:szCs w:val="16"/>
              </w:rPr>
              <w:t>092</w:t>
            </w:r>
            <w:r w:rsidR="00E106BD">
              <w:rPr>
                <w:bCs/>
                <w:color w:val="000000"/>
                <w:sz w:val="16"/>
                <w:szCs w:val="16"/>
              </w:rPr>
              <w:t> </w:t>
            </w:r>
            <w:r w:rsidRPr="00E106BD">
              <w:rPr>
                <w:bCs/>
                <w:color w:val="000000"/>
                <w:sz w:val="16"/>
                <w:szCs w:val="16"/>
              </w:rPr>
              <w:t>408</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SZ</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Sandoz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60</w:t>
            </w:r>
            <w:r w:rsidR="00E106BD">
              <w:rPr>
                <w:bCs/>
                <w:color w:val="000000"/>
                <w:sz w:val="16"/>
                <w:szCs w:val="16"/>
              </w:rPr>
              <w:t> </w:t>
            </w:r>
            <w:r w:rsidRPr="00E106BD">
              <w:rPr>
                <w:bCs/>
                <w:color w:val="000000"/>
                <w:sz w:val="16"/>
                <w:szCs w:val="16"/>
              </w:rPr>
              <w:t>075</w:t>
            </w:r>
            <w:r w:rsidR="00C33CB5" w:rsidRPr="00E106BD">
              <w:rPr>
                <w:bCs/>
                <w:color w:val="000000"/>
                <w:sz w:val="16"/>
                <w:szCs w:val="16"/>
              </w:rPr>
              <w:t> </w:t>
            </w:r>
            <w:r w:rsidRPr="00E106BD">
              <w:rPr>
                <w:bCs/>
                <w:color w:val="000000"/>
                <w:sz w:val="16"/>
                <w:szCs w:val="16"/>
              </w:rPr>
              <w:t>449</w:t>
            </w:r>
            <w:r w:rsidR="00E106BD">
              <w:rPr>
                <w:bCs/>
                <w:color w:val="000000"/>
                <w:sz w:val="16"/>
                <w:szCs w:val="16"/>
              </w:rPr>
              <w:t> </w:t>
            </w:r>
            <w:r w:rsidRPr="00E106BD">
              <w:rPr>
                <w:bCs/>
                <w:color w:val="000000"/>
                <w:sz w:val="16"/>
                <w:szCs w:val="16"/>
              </w:rPr>
              <w:t>553</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TB</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Teva Pharma Australia Pty Limited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41</w:t>
            </w:r>
            <w:r w:rsidR="00E106BD">
              <w:rPr>
                <w:bCs/>
                <w:color w:val="000000"/>
                <w:sz w:val="16"/>
                <w:szCs w:val="16"/>
              </w:rPr>
              <w:t> </w:t>
            </w:r>
            <w:r w:rsidRPr="00E106BD">
              <w:rPr>
                <w:bCs/>
                <w:color w:val="000000"/>
                <w:sz w:val="16"/>
                <w:szCs w:val="16"/>
              </w:rPr>
              <w:t>169</w:t>
            </w:r>
            <w:r w:rsidR="00C33CB5" w:rsidRPr="00E106BD">
              <w:rPr>
                <w:bCs/>
                <w:color w:val="000000"/>
                <w:sz w:val="16"/>
                <w:szCs w:val="16"/>
              </w:rPr>
              <w:t> </w:t>
            </w:r>
            <w:r w:rsidRPr="00E106BD">
              <w:rPr>
                <w:bCs/>
                <w:color w:val="000000"/>
                <w:sz w:val="16"/>
                <w:szCs w:val="16"/>
              </w:rPr>
              <w:t>715</w:t>
            </w:r>
            <w:r w:rsidR="00E106BD">
              <w:rPr>
                <w:bCs/>
                <w:color w:val="000000"/>
                <w:sz w:val="16"/>
                <w:szCs w:val="16"/>
              </w:rPr>
              <w:t> </w:t>
            </w:r>
            <w:r w:rsidRPr="00E106BD">
              <w:rPr>
                <w:bCs/>
                <w:color w:val="000000"/>
                <w:sz w:val="16"/>
                <w:szCs w:val="16"/>
              </w:rPr>
              <w:t>664</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TD</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Stada Pharmaceuticals Australia Pty Limited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73</w:t>
            </w:r>
            <w:r w:rsidR="00E106BD">
              <w:rPr>
                <w:bCs/>
                <w:color w:val="000000"/>
                <w:sz w:val="16"/>
                <w:szCs w:val="16"/>
              </w:rPr>
              <w:t> </w:t>
            </w:r>
            <w:r w:rsidRPr="00E106BD">
              <w:rPr>
                <w:bCs/>
                <w:color w:val="000000"/>
                <w:sz w:val="16"/>
                <w:szCs w:val="16"/>
              </w:rPr>
              <w:t>154</w:t>
            </w:r>
            <w:r w:rsidR="00C33CB5" w:rsidRPr="00E106BD">
              <w:rPr>
                <w:bCs/>
                <w:color w:val="000000"/>
                <w:sz w:val="16"/>
                <w:szCs w:val="16"/>
              </w:rPr>
              <w:t> </w:t>
            </w:r>
            <w:r w:rsidRPr="00E106BD">
              <w:rPr>
                <w:bCs/>
                <w:color w:val="000000"/>
                <w:sz w:val="16"/>
                <w:szCs w:val="16"/>
              </w:rPr>
              <w:t>966</w:t>
            </w:r>
            <w:r w:rsidR="00E106BD">
              <w:rPr>
                <w:bCs/>
                <w:color w:val="000000"/>
                <w:sz w:val="16"/>
                <w:szCs w:val="16"/>
              </w:rPr>
              <w:t> </w:t>
            </w:r>
            <w:r w:rsidRPr="00E106BD">
              <w:rPr>
                <w:bCs/>
                <w:color w:val="000000"/>
                <w:sz w:val="16"/>
                <w:szCs w:val="16"/>
              </w:rPr>
              <w:t>944</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TK</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Takeda Pharmaceuticals Australia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71</w:t>
            </w:r>
            <w:r w:rsidR="00E106BD">
              <w:rPr>
                <w:bCs/>
                <w:color w:val="000000"/>
                <w:sz w:val="16"/>
                <w:szCs w:val="16"/>
              </w:rPr>
              <w:t> </w:t>
            </w:r>
            <w:r w:rsidRPr="00E106BD">
              <w:rPr>
                <w:bCs/>
                <w:color w:val="000000"/>
                <w:sz w:val="16"/>
                <w:szCs w:val="16"/>
              </w:rPr>
              <w:t>095</w:t>
            </w:r>
            <w:r w:rsidR="00C33CB5" w:rsidRPr="00E106BD">
              <w:rPr>
                <w:bCs/>
                <w:color w:val="000000"/>
                <w:sz w:val="16"/>
                <w:szCs w:val="16"/>
              </w:rPr>
              <w:t> </w:t>
            </w:r>
            <w:r w:rsidRPr="00E106BD">
              <w:rPr>
                <w:bCs/>
                <w:color w:val="000000"/>
                <w:sz w:val="16"/>
                <w:szCs w:val="16"/>
              </w:rPr>
              <w:t>610</w:t>
            </w:r>
            <w:r w:rsidR="00E106BD">
              <w:rPr>
                <w:bCs/>
                <w:color w:val="000000"/>
                <w:sz w:val="16"/>
                <w:szCs w:val="16"/>
              </w:rPr>
              <w:t> </w:t>
            </w:r>
            <w:r w:rsidRPr="00E106BD">
              <w:rPr>
                <w:bCs/>
                <w:color w:val="000000"/>
                <w:sz w:val="16"/>
                <w:szCs w:val="16"/>
              </w:rPr>
              <w:t>870</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TX</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Apotex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52</w:t>
            </w:r>
            <w:r w:rsidR="00E106BD">
              <w:rPr>
                <w:bCs/>
                <w:color w:val="000000"/>
                <w:sz w:val="16"/>
                <w:szCs w:val="16"/>
              </w:rPr>
              <w:t> </w:t>
            </w:r>
            <w:r w:rsidRPr="00E106BD">
              <w:rPr>
                <w:bCs/>
                <w:color w:val="000000"/>
                <w:sz w:val="16"/>
                <w:szCs w:val="16"/>
              </w:rPr>
              <w:t>096</w:t>
            </w:r>
            <w:r w:rsidR="00C33CB5" w:rsidRPr="00E106BD">
              <w:rPr>
                <w:bCs/>
                <w:color w:val="000000"/>
                <w:sz w:val="16"/>
                <w:szCs w:val="16"/>
              </w:rPr>
              <w:t> </w:t>
            </w:r>
            <w:r w:rsidRPr="00E106BD">
              <w:rPr>
                <w:bCs/>
                <w:color w:val="000000"/>
                <w:sz w:val="16"/>
                <w:szCs w:val="16"/>
              </w:rPr>
              <w:t>916</w:t>
            </w:r>
            <w:r w:rsidR="00E106BD">
              <w:rPr>
                <w:bCs/>
                <w:color w:val="000000"/>
                <w:sz w:val="16"/>
                <w:szCs w:val="16"/>
              </w:rPr>
              <w:t> </w:t>
            </w:r>
            <w:r w:rsidRPr="00E106BD">
              <w:rPr>
                <w:bCs/>
                <w:color w:val="000000"/>
                <w:sz w:val="16"/>
                <w:szCs w:val="16"/>
              </w:rPr>
              <w:t>148</w:t>
            </w:r>
          </w:p>
        </w:tc>
      </w:tr>
      <w:tr w:rsidR="00A31584" w:rsidRPr="00E106BD" w:rsidTr="00092452">
        <w:trPr>
          <w:trHeight w:val="261"/>
        </w:trPr>
        <w:tc>
          <w:tcPr>
            <w:tcW w:w="821" w:type="pct"/>
          </w:tcPr>
          <w:p w:rsidR="00A31584" w:rsidRPr="00E106BD" w:rsidRDefault="00A31584" w:rsidP="008454B6">
            <w:pPr>
              <w:rPr>
                <w:rFonts w:cs="Times New Roman"/>
                <w:bCs/>
                <w:color w:val="000000"/>
                <w:sz w:val="16"/>
                <w:szCs w:val="16"/>
              </w:rPr>
            </w:pPr>
            <w:r w:rsidRPr="00E106BD">
              <w:rPr>
                <w:rFonts w:cs="Times New Roman"/>
                <w:sz w:val="16"/>
                <w:szCs w:val="16"/>
              </w:rPr>
              <w:t>UJ</w:t>
            </w:r>
          </w:p>
        </w:tc>
        <w:tc>
          <w:tcPr>
            <w:tcW w:w="2417" w:type="pct"/>
          </w:tcPr>
          <w:p w:rsidR="00A31584" w:rsidRPr="00E106BD" w:rsidRDefault="00A31584" w:rsidP="008454B6">
            <w:pPr>
              <w:rPr>
                <w:rFonts w:cs="Times New Roman"/>
                <w:bCs/>
                <w:color w:val="000000"/>
                <w:sz w:val="16"/>
                <w:szCs w:val="16"/>
              </w:rPr>
            </w:pPr>
            <w:r w:rsidRPr="00E106BD">
              <w:rPr>
                <w:rFonts w:cs="Times New Roman"/>
                <w:sz w:val="16"/>
                <w:szCs w:val="16"/>
              </w:rPr>
              <w:t>Upjohn Australia Pty Ltd</w:t>
            </w:r>
          </w:p>
        </w:tc>
        <w:tc>
          <w:tcPr>
            <w:tcW w:w="1762" w:type="pct"/>
          </w:tcPr>
          <w:p w:rsidR="00A31584" w:rsidRPr="00E106BD" w:rsidRDefault="00A31584" w:rsidP="008454B6">
            <w:pPr>
              <w:rPr>
                <w:rFonts w:cs="Times New Roman"/>
                <w:bCs/>
                <w:color w:val="000000"/>
                <w:sz w:val="16"/>
                <w:szCs w:val="16"/>
              </w:rPr>
            </w:pPr>
            <w:r w:rsidRPr="00E106BD">
              <w:rPr>
                <w:rFonts w:cs="Times New Roman"/>
                <w:sz w:val="16"/>
                <w:szCs w:val="16"/>
              </w:rPr>
              <w:t xml:space="preserve"> 50</w:t>
            </w:r>
            <w:r w:rsidR="00E106BD">
              <w:rPr>
                <w:rFonts w:cs="Times New Roman"/>
                <w:sz w:val="16"/>
                <w:szCs w:val="16"/>
              </w:rPr>
              <w:t> </w:t>
            </w:r>
            <w:r w:rsidRPr="00E106BD">
              <w:rPr>
                <w:rFonts w:cs="Times New Roman"/>
                <w:sz w:val="16"/>
                <w:szCs w:val="16"/>
              </w:rPr>
              <w:t>629</w:t>
            </w:r>
            <w:r w:rsidR="00C33CB5" w:rsidRPr="00E106BD">
              <w:rPr>
                <w:rFonts w:cs="Times New Roman"/>
                <w:sz w:val="16"/>
                <w:szCs w:val="16"/>
              </w:rPr>
              <w:t> </w:t>
            </w:r>
            <w:r w:rsidRPr="00E106BD">
              <w:rPr>
                <w:rFonts w:cs="Times New Roman"/>
                <w:sz w:val="16"/>
                <w:szCs w:val="16"/>
              </w:rPr>
              <w:t>389</w:t>
            </w:r>
            <w:r w:rsidR="00E106BD">
              <w:rPr>
                <w:rFonts w:cs="Times New Roman"/>
                <w:sz w:val="16"/>
                <w:szCs w:val="16"/>
              </w:rPr>
              <w:t> </w:t>
            </w:r>
            <w:r w:rsidRPr="00E106BD">
              <w:rPr>
                <w:rFonts w:cs="Times New Roman"/>
                <w:sz w:val="16"/>
                <w:szCs w:val="16"/>
              </w:rPr>
              <w:t>911</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VE</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AbbVie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48</w:t>
            </w:r>
            <w:r w:rsidR="00E106BD">
              <w:rPr>
                <w:bCs/>
                <w:color w:val="000000"/>
                <w:sz w:val="16"/>
                <w:szCs w:val="16"/>
              </w:rPr>
              <w:t> </w:t>
            </w:r>
            <w:r w:rsidRPr="00E106BD">
              <w:rPr>
                <w:bCs/>
                <w:color w:val="000000"/>
                <w:sz w:val="16"/>
                <w:szCs w:val="16"/>
              </w:rPr>
              <w:t>156</w:t>
            </w:r>
            <w:r w:rsidR="00C33CB5" w:rsidRPr="00E106BD">
              <w:rPr>
                <w:bCs/>
                <w:color w:val="000000"/>
                <w:sz w:val="16"/>
                <w:szCs w:val="16"/>
              </w:rPr>
              <w:t> </w:t>
            </w:r>
            <w:r w:rsidRPr="00E106BD">
              <w:rPr>
                <w:bCs/>
                <w:color w:val="000000"/>
                <w:sz w:val="16"/>
                <w:szCs w:val="16"/>
              </w:rPr>
              <w:t>384</w:t>
            </w:r>
            <w:r w:rsidR="00E106BD">
              <w:rPr>
                <w:bCs/>
                <w:color w:val="000000"/>
                <w:sz w:val="16"/>
                <w:szCs w:val="16"/>
              </w:rPr>
              <w:t> </w:t>
            </w:r>
            <w:r w:rsidRPr="00E106BD">
              <w:rPr>
                <w:bCs/>
                <w:color w:val="000000"/>
                <w:sz w:val="16"/>
                <w:szCs w:val="16"/>
              </w:rPr>
              <w:t>262</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VI</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ViiV Healthcare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46</w:t>
            </w:r>
            <w:r w:rsidR="00E106BD">
              <w:rPr>
                <w:bCs/>
                <w:color w:val="000000"/>
                <w:sz w:val="16"/>
                <w:szCs w:val="16"/>
              </w:rPr>
              <w:t> </w:t>
            </w:r>
            <w:r w:rsidRPr="00E106BD">
              <w:rPr>
                <w:bCs/>
                <w:color w:val="000000"/>
                <w:sz w:val="16"/>
                <w:szCs w:val="16"/>
              </w:rPr>
              <w:t>138</w:t>
            </w:r>
            <w:r w:rsidR="00C33CB5" w:rsidRPr="00E106BD">
              <w:rPr>
                <w:bCs/>
                <w:color w:val="000000"/>
                <w:sz w:val="16"/>
                <w:szCs w:val="16"/>
              </w:rPr>
              <w:t> </w:t>
            </w:r>
            <w:r w:rsidRPr="00E106BD">
              <w:rPr>
                <w:bCs/>
                <w:color w:val="000000"/>
                <w:sz w:val="16"/>
                <w:szCs w:val="16"/>
              </w:rPr>
              <w:t>687</w:t>
            </w:r>
            <w:r w:rsidR="00E106BD">
              <w:rPr>
                <w:bCs/>
                <w:color w:val="000000"/>
                <w:sz w:val="16"/>
                <w:szCs w:val="16"/>
              </w:rPr>
              <w:t> </w:t>
            </w:r>
            <w:r w:rsidRPr="00E106BD">
              <w:rPr>
                <w:bCs/>
                <w:color w:val="000000"/>
                <w:sz w:val="16"/>
                <w:szCs w:val="16"/>
              </w:rPr>
              <w:t>448</w:t>
            </w:r>
          </w:p>
        </w:tc>
      </w:tr>
      <w:tr w:rsidR="000E36BF" w:rsidRPr="00E106BD" w:rsidTr="0063535E">
        <w:trPr>
          <w:trHeight w:val="261"/>
        </w:trPr>
        <w:tc>
          <w:tcPr>
            <w:tcW w:w="821" w:type="pct"/>
            <w:vAlign w:val="bottom"/>
          </w:tcPr>
          <w:p w:rsidR="000E36BF" w:rsidRPr="00E106BD" w:rsidRDefault="000E36BF" w:rsidP="008454B6">
            <w:pPr>
              <w:rPr>
                <w:bCs/>
                <w:color w:val="000000"/>
                <w:sz w:val="16"/>
                <w:szCs w:val="16"/>
              </w:rPr>
            </w:pPr>
            <w:r w:rsidRPr="00E106BD">
              <w:rPr>
                <w:bCs/>
                <w:color w:val="000000"/>
                <w:sz w:val="16"/>
                <w:szCs w:val="16"/>
              </w:rPr>
              <w:t>VL</w:t>
            </w:r>
          </w:p>
        </w:tc>
        <w:tc>
          <w:tcPr>
            <w:tcW w:w="2417" w:type="pct"/>
            <w:vAlign w:val="bottom"/>
          </w:tcPr>
          <w:p w:rsidR="000E36BF" w:rsidRPr="00E106BD" w:rsidRDefault="000E36BF" w:rsidP="008454B6">
            <w:pPr>
              <w:rPr>
                <w:bCs/>
                <w:color w:val="000000"/>
                <w:sz w:val="16"/>
                <w:szCs w:val="16"/>
              </w:rPr>
            </w:pPr>
            <w:r w:rsidRPr="00E106BD">
              <w:rPr>
                <w:bCs/>
                <w:color w:val="000000"/>
                <w:sz w:val="16"/>
                <w:szCs w:val="16"/>
              </w:rPr>
              <w:t>Vifor Pharma Pty Limited</w:t>
            </w:r>
          </w:p>
        </w:tc>
        <w:tc>
          <w:tcPr>
            <w:tcW w:w="1762" w:type="pct"/>
            <w:vAlign w:val="bottom"/>
          </w:tcPr>
          <w:p w:rsidR="000E36BF" w:rsidRPr="00E106BD" w:rsidRDefault="000E36BF" w:rsidP="008454B6">
            <w:pPr>
              <w:rPr>
                <w:bCs/>
                <w:color w:val="000000"/>
                <w:sz w:val="16"/>
                <w:szCs w:val="16"/>
              </w:rPr>
            </w:pPr>
            <w:r w:rsidRPr="00E106BD">
              <w:rPr>
                <w:bCs/>
                <w:color w:val="000000"/>
                <w:sz w:val="16"/>
                <w:szCs w:val="16"/>
              </w:rPr>
              <w:t xml:space="preserve"> 87</w:t>
            </w:r>
            <w:r w:rsidR="00E106BD">
              <w:rPr>
                <w:bCs/>
                <w:color w:val="000000"/>
                <w:sz w:val="16"/>
                <w:szCs w:val="16"/>
              </w:rPr>
              <w:t> </w:t>
            </w:r>
            <w:r w:rsidRPr="00E106BD">
              <w:rPr>
                <w:bCs/>
                <w:color w:val="000000"/>
                <w:sz w:val="16"/>
                <w:szCs w:val="16"/>
              </w:rPr>
              <w:t>086</w:t>
            </w:r>
            <w:r w:rsidR="00C33CB5" w:rsidRPr="00E106BD">
              <w:rPr>
                <w:bCs/>
                <w:color w:val="000000"/>
                <w:sz w:val="16"/>
                <w:szCs w:val="16"/>
              </w:rPr>
              <w:t> </w:t>
            </w:r>
            <w:r w:rsidRPr="00E106BD">
              <w:rPr>
                <w:bCs/>
                <w:color w:val="000000"/>
                <w:sz w:val="16"/>
                <w:szCs w:val="16"/>
              </w:rPr>
              <w:t>114</w:t>
            </w:r>
            <w:r w:rsidR="00E106BD">
              <w:rPr>
                <w:bCs/>
                <w:color w:val="000000"/>
                <w:sz w:val="16"/>
                <w:szCs w:val="16"/>
              </w:rPr>
              <w:t> </w:t>
            </w:r>
            <w:r w:rsidRPr="00E106BD">
              <w:rPr>
                <w:bCs/>
                <w:color w:val="000000"/>
                <w:sz w:val="16"/>
                <w:szCs w:val="16"/>
              </w:rPr>
              <w:t>043</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VR</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Vertex Pharmaceuticals (Australia)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34</w:t>
            </w:r>
            <w:r w:rsidR="00E106BD">
              <w:rPr>
                <w:bCs/>
                <w:color w:val="000000"/>
                <w:sz w:val="16"/>
                <w:szCs w:val="16"/>
              </w:rPr>
              <w:t> </w:t>
            </w:r>
            <w:r w:rsidRPr="00E106BD">
              <w:rPr>
                <w:bCs/>
                <w:color w:val="000000"/>
                <w:sz w:val="16"/>
                <w:szCs w:val="16"/>
              </w:rPr>
              <w:t>160</w:t>
            </w:r>
            <w:r w:rsidR="00C33CB5" w:rsidRPr="00E106BD">
              <w:rPr>
                <w:bCs/>
                <w:color w:val="000000"/>
                <w:sz w:val="16"/>
                <w:szCs w:val="16"/>
              </w:rPr>
              <w:t> </w:t>
            </w:r>
            <w:r w:rsidRPr="00E106BD">
              <w:rPr>
                <w:bCs/>
                <w:color w:val="000000"/>
                <w:sz w:val="16"/>
                <w:szCs w:val="16"/>
              </w:rPr>
              <w:t>157</w:t>
            </w:r>
            <w:r w:rsidR="00E106BD">
              <w:rPr>
                <w:bCs/>
                <w:color w:val="000000"/>
                <w:sz w:val="16"/>
                <w:szCs w:val="16"/>
              </w:rPr>
              <w:t> </w:t>
            </w:r>
            <w:r w:rsidRPr="00E106BD">
              <w:rPr>
                <w:bCs/>
                <w:color w:val="000000"/>
                <w:sz w:val="16"/>
                <w:szCs w:val="16"/>
              </w:rPr>
              <w:t>157</w:t>
            </w:r>
          </w:p>
        </w:tc>
      </w:tr>
      <w:tr w:rsidR="000E36BF" w:rsidRPr="00E106BD" w:rsidTr="00DA6B50">
        <w:trPr>
          <w:trHeight w:val="261"/>
        </w:trPr>
        <w:tc>
          <w:tcPr>
            <w:tcW w:w="821" w:type="pct"/>
            <w:tcBorders>
              <w:bottom w:val="single" w:sz="4" w:space="0" w:color="auto"/>
            </w:tcBorders>
            <w:vAlign w:val="center"/>
          </w:tcPr>
          <w:p w:rsidR="000E36BF" w:rsidRPr="00E106BD" w:rsidRDefault="000E36BF" w:rsidP="008454B6">
            <w:pPr>
              <w:rPr>
                <w:bCs/>
                <w:color w:val="000000"/>
                <w:sz w:val="16"/>
                <w:szCs w:val="16"/>
              </w:rPr>
            </w:pPr>
            <w:r w:rsidRPr="00E106BD">
              <w:rPr>
                <w:bCs/>
                <w:color w:val="000000"/>
                <w:sz w:val="16"/>
                <w:szCs w:val="16"/>
              </w:rPr>
              <w:t>XA</w:t>
            </w:r>
          </w:p>
        </w:tc>
        <w:tc>
          <w:tcPr>
            <w:tcW w:w="2417" w:type="pct"/>
            <w:tcBorders>
              <w:bottom w:val="single" w:sz="4" w:space="0" w:color="auto"/>
            </w:tcBorders>
            <w:vAlign w:val="center"/>
          </w:tcPr>
          <w:p w:rsidR="000E36BF" w:rsidRPr="00E106BD" w:rsidRDefault="000E36BF" w:rsidP="008454B6">
            <w:pPr>
              <w:rPr>
                <w:bCs/>
                <w:color w:val="000000"/>
                <w:sz w:val="16"/>
                <w:szCs w:val="16"/>
              </w:rPr>
            </w:pPr>
            <w:r w:rsidRPr="00E106BD">
              <w:rPr>
                <w:bCs/>
                <w:color w:val="000000"/>
                <w:sz w:val="16"/>
                <w:szCs w:val="16"/>
              </w:rPr>
              <w:t>Pharmaxis Ltd</w:t>
            </w:r>
          </w:p>
        </w:tc>
        <w:tc>
          <w:tcPr>
            <w:tcW w:w="1762" w:type="pct"/>
            <w:tcBorders>
              <w:bottom w:val="single" w:sz="4" w:space="0" w:color="auto"/>
            </w:tcBorders>
            <w:vAlign w:val="center"/>
          </w:tcPr>
          <w:p w:rsidR="000E36BF" w:rsidRPr="00E106BD" w:rsidRDefault="000E36BF" w:rsidP="008454B6">
            <w:pPr>
              <w:rPr>
                <w:bCs/>
                <w:color w:val="000000"/>
                <w:sz w:val="16"/>
                <w:szCs w:val="16"/>
              </w:rPr>
            </w:pPr>
            <w:r w:rsidRPr="00E106BD">
              <w:rPr>
                <w:bCs/>
                <w:color w:val="000000"/>
                <w:sz w:val="16"/>
                <w:szCs w:val="16"/>
              </w:rPr>
              <w:t xml:space="preserve"> 75</w:t>
            </w:r>
            <w:r w:rsidR="00E106BD">
              <w:rPr>
                <w:bCs/>
                <w:color w:val="000000"/>
                <w:sz w:val="16"/>
                <w:szCs w:val="16"/>
              </w:rPr>
              <w:t> </w:t>
            </w:r>
            <w:r w:rsidRPr="00E106BD">
              <w:rPr>
                <w:bCs/>
                <w:color w:val="000000"/>
                <w:sz w:val="16"/>
                <w:szCs w:val="16"/>
              </w:rPr>
              <w:t>082</w:t>
            </w:r>
            <w:r w:rsidR="00C33CB5" w:rsidRPr="00E106BD">
              <w:rPr>
                <w:bCs/>
                <w:color w:val="000000"/>
                <w:sz w:val="16"/>
                <w:szCs w:val="16"/>
              </w:rPr>
              <w:t> </w:t>
            </w:r>
            <w:r w:rsidRPr="00E106BD">
              <w:rPr>
                <w:bCs/>
                <w:color w:val="000000"/>
                <w:sz w:val="16"/>
                <w:szCs w:val="16"/>
              </w:rPr>
              <w:t>811</w:t>
            </w:r>
            <w:r w:rsidR="00E106BD">
              <w:rPr>
                <w:bCs/>
                <w:color w:val="000000"/>
                <w:sz w:val="16"/>
                <w:szCs w:val="16"/>
              </w:rPr>
              <w:t> </w:t>
            </w:r>
            <w:r w:rsidRPr="00E106BD">
              <w:rPr>
                <w:bCs/>
                <w:color w:val="000000"/>
                <w:sz w:val="16"/>
                <w:szCs w:val="16"/>
              </w:rPr>
              <w:t>630</w:t>
            </w:r>
          </w:p>
        </w:tc>
      </w:tr>
      <w:tr w:rsidR="000E36BF" w:rsidRPr="00E106BD" w:rsidTr="00DA6B50">
        <w:trPr>
          <w:trHeight w:val="261"/>
        </w:trPr>
        <w:tc>
          <w:tcPr>
            <w:tcW w:w="821" w:type="pct"/>
            <w:tcBorders>
              <w:bottom w:val="single" w:sz="12" w:space="0" w:color="auto"/>
            </w:tcBorders>
            <w:vAlign w:val="center"/>
          </w:tcPr>
          <w:p w:rsidR="000E36BF" w:rsidRPr="00E106BD" w:rsidRDefault="000E36BF" w:rsidP="008454B6">
            <w:pPr>
              <w:rPr>
                <w:bCs/>
                <w:color w:val="000000"/>
                <w:sz w:val="16"/>
                <w:szCs w:val="16"/>
              </w:rPr>
            </w:pPr>
            <w:r w:rsidRPr="00E106BD">
              <w:rPr>
                <w:bCs/>
                <w:color w:val="000000"/>
                <w:sz w:val="16"/>
                <w:szCs w:val="16"/>
              </w:rPr>
              <w:t>XI</w:t>
            </w:r>
          </w:p>
        </w:tc>
        <w:tc>
          <w:tcPr>
            <w:tcW w:w="2417" w:type="pct"/>
            <w:tcBorders>
              <w:bottom w:val="single" w:sz="12" w:space="0" w:color="auto"/>
            </w:tcBorders>
            <w:vAlign w:val="center"/>
          </w:tcPr>
          <w:p w:rsidR="000E36BF" w:rsidRPr="00E106BD" w:rsidRDefault="000E36BF" w:rsidP="008454B6">
            <w:pPr>
              <w:rPr>
                <w:bCs/>
                <w:color w:val="000000"/>
                <w:sz w:val="16"/>
                <w:szCs w:val="16"/>
              </w:rPr>
            </w:pPr>
            <w:r w:rsidRPr="00E106BD">
              <w:rPr>
                <w:bCs/>
                <w:color w:val="000000"/>
                <w:sz w:val="16"/>
                <w:szCs w:val="16"/>
              </w:rPr>
              <w:t>Alexion Pharmaceuticals Australasia Pty Ltd</w:t>
            </w:r>
          </w:p>
        </w:tc>
        <w:tc>
          <w:tcPr>
            <w:tcW w:w="1762" w:type="pct"/>
            <w:tcBorders>
              <w:bottom w:val="single" w:sz="12" w:space="0" w:color="auto"/>
            </w:tcBorders>
            <w:vAlign w:val="center"/>
          </w:tcPr>
          <w:p w:rsidR="000E36BF" w:rsidRPr="00E106BD" w:rsidRDefault="000E36BF" w:rsidP="008454B6">
            <w:pPr>
              <w:rPr>
                <w:bCs/>
                <w:color w:val="000000"/>
                <w:sz w:val="16"/>
                <w:szCs w:val="16"/>
              </w:rPr>
            </w:pPr>
            <w:r w:rsidRPr="00E106BD">
              <w:rPr>
                <w:bCs/>
                <w:color w:val="000000"/>
                <w:sz w:val="16"/>
                <w:szCs w:val="16"/>
              </w:rPr>
              <w:t xml:space="preserve"> 59</w:t>
            </w:r>
            <w:r w:rsidR="00E106BD">
              <w:rPr>
                <w:bCs/>
                <w:color w:val="000000"/>
                <w:sz w:val="16"/>
                <w:szCs w:val="16"/>
              </w:rPr>
              <w:t> </w:t>
            </w:r>
            <w:r w:rsidRPr="00E106BD">
              <w:rPr>
                <w:bCs/>
                <w:color w:val="000000"/>
                <w:sz w:val="16"/>
                <w:szCs w:val="16"/>
              </w:rPr>
              <w:t>132</w:t>
            </w:r>
            <w:r w:rsidR="00C33CB5" w:rsidRPr="00E106BD">
              <w:rPr>
                <w:bCs/>
                <w:color w:val="000000"/>
                <w:sz w:val="16"/>
                <w:szCs w:val="16"/>
              </w:rPr>
              <w:t> </w:t>
            </w:r>
            <w:r w:rsidRPr="00E106BD">
              <w:rPr>
                <w:bCs/>
                <w:color w:val="000000"/>
                <w:sz w:val="16"/>
                <w:szCs w:val="16"/>
              </w:rPr>
              <w:t>343</w:t>
            </w:r>
            <w:r w:rsidR="00E106BD">
              <w:rPr>
                <w:bCs/>
                <w:color w:val="000000"/>
                <w:sz w:val="16"/>
                <w:szCs w:val="16"/>
              </w:rPr>
              <w:t> </w:t>
            </w:r>
            <w:r w:rsidRPr="00E106BD">
              <w:rPr>
                <w:bCs/>
                <w:color w:val="000000"/>
                <w:sz w:val="16"/>
                <w:szCs w:val="16"/>
              </w:rPr>
              <w:t>036</w:t>
            </w:r>
          </w:p>
        </w:tc>
      </w:tr>
    </w:tbl>
    <w:p w:rsidR="009A3E1B" w:rsidRPr="00E106BD" w:rsidRDefault="009A3E1B" w:rsidP="004E4760"/>
    <w:p w:rsidR="001B53A5" w:rsidRPr="00E106BD" w:rsidRDefault="001B53A5" w:rsidP="004E4760">
      <w:pPr>
        <w:sectPr w:rsidR="001B53A5" w:rsidRPr="00E106BD" w:rsidSect="00AF69B5">
          <w:headerReference w:type="even" r:id="rId34"/>
          <w:headerReference w:type="default" r:id="rId35"/>
          <w:footerReference w:type="even" r:id="rId36"/>
          <w:footerReference w:type="default" r:id="rId37"/>
          <w:headerReference w:type="first" r:id="rId38"/>
          <w:footerReference w:type="first" r:id="rId39"/>
          <w:pgSz w:w="11907" w:h="16839" w:code="9"/>
          <w:pgMar w:top="1669" w:right="1797" w:bottom="1440" w:left="1797" w:header="720" w:footer="709" w:gutter="0"/>
          <w:cols w:space="720"/>
          <w:docGrid w:linePitch="299"/>
        </w:sectPr>
      </w:pPr>
    </w:p>
    <w:p w:rsidR="00ED2E1D" w:rsidRPr="00E106BD" w:rsidRDefault="00295F4A" w:rsidP="004E4760">
      <w:pPr>
        <w:pStyle w:val="ActHead1"/>
        <w:keepNext w:val="0"/>
        <w:keepLines w:val="0"/>
        <w:pageBreakBefore/>
        <w:spacing w:before="120"/>
      </w:pPr>
      <w:bookmarkStart w:id="78" w:name="_Toc53559005"/>
      <w:bookmarkEnd w:id="77"/>
      <w:r w:rsidRPr="00E106BD">
        <w:rPr>
          <w:rStyle w:val="CharChapNo"/>
        </w:rPr>
        <w:t>Schedule</w:t>
      </w:r>
      <w:r w:rsidR="00E106BD">
        <w:rPr>
          <w:rStyle w:val="CharChapNo"/>
        </w:rPr>
        <w:t> </w:t>
      </w:r>
      <w:r w:rsidR="00ED2E1D" w:rsidRPr="00E106BD">
        <w:rPr>
          <w:rStyle w:val="CharChapNo"/>
        </w:rPr>
        <w:t>3</w:t>
      </w:r>
      <w:r w:rsidRPr="00E106BD">
        <w:t>—</w:t>
      </w:r>
      <w:r w:rsidR="00ED2E1D" w:rsidRPr="00E106BD">
        <w:rPr>
          <w:rStyle w:val="CharChapText"/>
        </w:rPr>
        <w:t>Circumstances and Purposes Codes</w:t>
      </w:r>
      <w:bookmarkEnd w:id="78"/>
    </w:p>
    <w:p w:rsidR="00ED2E1D" w:rsidRPr="00E106BD" w:rsidRDefault="00ED2E1D" w:rsidP="004E4760">
      <w:pPr>
        <w:pStyle w:val="notemargin"/>
      </w:pPr>
      <w:r w:rsidRPr="00E106BD">
        <w:t>(sections</w:t>
      </w:r>
      <w:r w:rsidR="00E106BD">
        <w:t> </w:t>
      </w:r>
      <w:r w:rsidRPr="00E106BD">
        <w:t>9, 14, 15, 16 and 25)</w:t>
      </w:r>
    </w:p>
    <w:p w:rsidR="00B912C1" w:rsidRPr="00E106BD" w:rsidRDefault="00B912C1" w:rsidP="004E4760"/>
    <w:tbl>
      <w:tblPr>
        <w:tblW w:w="13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29"/>
        <w:gridCol w:w="709"/>
        <w:gridCol w:w="709"/>
        <w:gridCol w:w="7654"/>
        <w:gridCol w:w="2552"/>
      </w:tblGrid>
      <w:tr w:rsidR="008929EB" w:rsidRPr="00E106BD" w:rsidTr="008929EB">
        <w:trPr>
          <w:cantSplit/>
          <w:trHeight w:val="1385"/>
          <w:tblHeader/>
        </w:trPr>
        <w:tc>
          <w:tcPr>
            <w:tcW w:w="1729" w:type="dxa"/>
            <w:tcBorders>
              <w:top w:val="single" w:sz="12" w:space="0" w:color="auto"/>
              <w:bottom w:val="single" w:sz="12" w:space="0" w:color="auto"/>
            </w:tcBorders>
            <w:textDirection w:val="btLr"/>
          </w:tcPr>
          <w:p w:rsidR="008929EB" w:rsidRPr="00E106BD" w:rsidRDefault="008929EB" w:rsidP="00041198">
            <w:pPr>
              <w:ind w:left="113" w:right="113"/>
              <w:rPr>
                <w:rFonts w:ascii="Arial" w:hAnsi="Arial" w:cs="Arial"/>
                <w:b/>
                <w:sz w:val="16"/>
                <w:szCs w:val="16"/>
              </w:rPr>
            </w:pPr>
            <w:r w:rsidRPr="00E106BD">
              <w:rPr>
                <w:rFonts w:ascii="Arial" w:hAnsi="Arial" w:cs="Arial"/>
                <w:b/>
                <w:sz w:val="16"/>
                <w:szCs w:val="16"/>
              </w:rPr>
              <w:t>Listed Drug</w:t>
            </w:r>
          </w:p>
        </w:tc>
        <w:tc>
          <w:tcPr>
            <w:tcW w:w="709" w:type="dxa"/>
            <w:tcBorders>
              <w:top w:val="single" w:sz="12" w:space="0" w:color="auto"/>
              <w:bottom w:val="single" w:sz="12" w:space="0" w:color="auto"/>
            </w:tcBorders>
            <w:textDirection w:val="btLr"/>
          </w:tcPr>
          <w:p w:rsidR="008929EB" w:rsidRPr="00E106BD" w:rsidRDefault="008929EB" w:rsidP="00041198">
            <w:pPr>
              <w:ind w:left="113" w:right="113"/>
              <w:rPr>
                <w:rFonts w:ascii="Arial" w:hAnsi="Arial" w:cs="Arial"/>
                <w:b/>
                <w:sz w:val="16"/>
                <w:szCs w:val="16"/>
              </w:rPr>
            </w:pPr>
            <w:r w:rsidRPr="00E106BD">
              <w:rPr>
                <w:rFonts w:ascii="Arial" w:hAnsi="Arial" w:cs="Arial"/>
                <w:b/>
                <w:sz w:val="16"/>
                <w:szCs w:val="16"/>
              </w:rPr>
              <w:t>Circumstances Code</w:t>
            </w:r>
          </w:p>
        </w:tc>
        <w:tc>
          <w:tcPr>
            <w:tcW w:w="709" w:type="dxa"/>
            <w:tcBorders>
              <w:top w:val="single" w:sz="12" w:space="0" w:color="auto"/>
              <w:bottom w:val="single" w:sz="12" w:space="0" w:color="auto"/>
            </w:tcBorders>
            <w:textDirection w:val="btLr"/>
          </w:tcPr>
          <w:p w:rsidR="008929EB" w:rsidRPr="00E106BD" w:rsidRDefault="008929EB" w:rsidP="00041198">
            <w:pPr>
              <w:ind w:left="113" w:right="113"/>
              <w:rPr>
                <w:rFonts w:ascii="Arial" w:hAnsi="Arial" w:cs="Arial"/>
                <w:b/>
                <w:sz w:val="16"/>
                <w:szCs w:val="16"/>
              </w:rPr>
            </w:pPr>
            <w:r w:rsidRPr="00E106BD">
              <w:rPr>
                <w:rFonts w:ascii="Arial" w:hAnsi="Arial" w:cs="Arial"/>
                <w:b/>
                <w:sz w:val="16"/>
                <w:szCs w:val="16"/>
              </w:rPr>
              <w:t>Purposes Code</w:t>
            </w:r>
          </w:p>
        </w:tc>
        <w:tc>
          <w:tcPr>
            <w:tcW w:w="7654" w:type="dxa"/>
            <w:tcBorders>
              <w:top w:val="single" w:sz="12" w:space="0" w:color="auto"/>
              <w:bottom w:val="single" w:sz="12" w:space="0" w:color="auto"/>
            </w:tcBorders>
          </w:tcPr>
          <w:p w:rsidR="008929EB" w:rsidRPr="00E106BD" w:rsidRDefault="008929EB" w:rsidP="00041198">
            <w:pPr>
              <w:rPr>
                <w:rFonts w:ascii="Arial" w:hAnsi="Arial" w:cs="Arial"/>
                <w:b/>
                <w:sz w:val="16"/>
                <w:szCs w:val="16"/>
              </w:rPr>
            </w:pPr>
            <w:r w:rsidRPr="00E106BD">
              <w:rPr>
                <w:rFonts w:ascii="Arial" w:hAnsi="Arial" w:cs="Arial"/>
                <w:b/>
                <w:sz w:val="16"/>
                <w:szCs w:val="16"/>
              </w:rPr>
              <w:br/>
            </w:r>
            <w:r w:rsidRPr="00E106BD">
              <w:rPr>
                <w:rFonts w:ascii="Arial" w:hAnsi="Arial" w:cs="Arial"/>
                <w:b/>
                <w:sz w:val="16"/>
                <w:szCs w:val="16"/>
              </w:rPr>
              <w:br/>
            </w:r>
            <w:r w:rsidRPr="00E106BD">
              <w:rPr>
                <w:rFonts w:ascii="Arial" w:hAnsi="Arial" w:cs="Arial"/>
                <w:b/>
                <w:sz w:val="16"/>
                <w:szCs w:val="16"/>
              </w:rPr>
              <w:br/>
            </w:r>
            <w:r w:rsidRPr="00E106BD">
              <w:rPr>
                <w:rFonts w:ascii="Arial" w:hAnsi="Arial" w:cs="Arial"/>
                <w:b/>
                <w:sz w:val="16"/>
                <w:szCs w:val="16"/>
              </w:rPr>
              <w:br/>
              <w:t>Circumstances and Purposes</w:t>
            </w:r>
          </w:p>
        </w:tc>
        <w:tc>
          <w:tcPr>
            <w:tcW w:w="2552" w:type="dxa"/>
            <w:tcBorders>
              <w:top w:val="single" w:sz="12" w:space="0" w:color="auto"/>
              <w:bottom w:val="single" w:sz="12" w:space="0" w:color="auto"/>
            </w:tcBorders>
          </w:tcPr>
          <w:p w:rsidR="008929EB" w:rsidRPr="00E106BD" w:rsidRDefault="008929EB" w:rsidP="00041198">
            <w:pPr>
              <w:rPr>
                <w:rFonts w:ascii="Arial" w:hAnsi="Arial" w:cs="Arial"/>
                <w:b/>
                <w:sz w:val="16"/>
                <w:szCs w:val="16"/>
              </w:rPr>
            </w:pPr>
            <w:r w:rsidRPr="00E106BD">
              <w:rPr>
                <w:rFonts w:ascii="Arial" w:hAnsi="Arial" w:cs="Arial"/>
                <w:b/>
                <w:sz w:val="16"/>
                <w:szCs w:val="16"/>
              </w:rPr>
              <w:br/>
            </w:r>
            <w:r w:rsidRPr="00E106BD">
              <w:rPr>
                <w:rFonts w:ascii="Arial" w:hAnsi="Arial" w:cs="Arial"/>
                <w:b/>
                <w:sz w:val="16"/>
                <w:szCs w:val="16"/>
              </w:rPr>
              <w:br/>
            </w:r>
            <w:r w:rsidRPr="00E106BD">
              <w:rPr>
                <w:rFonts w:ascii="Arial" w:hAnsi="Arial" w:cs="Arial"/>
                <w:b/>
                <w:sz w:val="16"/>
                <w:szCs w:val="16"/>
              </w:rPr>
              <w:br/>
              <w:t>Authority Requirements</w:t>
            </w:r>
            <w:r w:rsidRPr="00E106BD">
              <w:rPr>
                <w:rFonts w:ascii="Arial" w:hAnsi="Arial" w:cs="Arial"/>
                <w:b/>
                <w:sz w:val="16"/>
                <w:szCs w:val="16"/>
              </w:rPr>
              <w:br/>
            </w:r>
            <w:r>
              <w:rPr>
                <w:rFonts w:ascii="Arial" w:hAnsi="Arial" w:cs="Arial"/>
                <w:b/>
                <w:sz w:val="16"/>
                <w:szCs w:val="16"/>
              </w:rPr>
              <w:noBreakHyphen/>
            </w:r>
            <w:r w:rsidRPr="00E106BD">
              <w:rPr>
                <w:rFonts w:ascii="Arial" w:hAnsi="Arial" w:cs="Arial"/>
                <w:b/>
                <w:sz w:val="16"/>
                <w:szCs w:val="16"/>
              </w:rPr>
              <w:t xml:space="preserve"> Part of Circumstances </w:t>
            </w:r>
          </w:p>
        </w:tc>
      </w:tr>
      <w:tr w:rsidR="008D548F" w:rsidRPr="00E106BD" w:rsidDel="00447DAD" w:rsidTr="008929EB">
        <w:tblPrEx>
          <w:tblLook w:val="01E0" w:firstRow="1" w:lastRow="1" w:firstColumn="1" w:lastColumn="1" w:noHBand="0" w:noVBand="0"/>
        </w:tblPrEx>
        <w:tc>
          <w:tcPr>
            <w:tcW w:w="1729"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Abacavir</w:t>
            </w:r>
          </w:p>
        </w:tc>
        <w:tc>
          <w:tcPr>
            <w:tcW w:w="709"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C4454</w:t>
            </w:r>
          </w:p>
        </w:tc>
        <w:tc>
          <w:tcPr>
            <w:tcW w:w="709" w:type="dxa"/>
            <w:tcMar>
              <w:top w:w="28" w:type="dxa"/>
              <w:left w:w="28" w:type="dxa"/>
            </w:tcMar>
          </w:tcPr>
          <w:p w:rsidR="008D548F" w:rsidRPr="00E106BD" w:rsidDel="00447DAD" w:rsidRDefault="008D548F" w:rsidP="00881477">
            <w:pPr>
              <w:spacing w:line="240" w:lineRule="auto"/>
              <w:rPr>
                <w:rFonts w:ascii="Arial" w:hAnsi="Arial" w:cs="Arial"/>
                <w:sz w:val="16"/>
                <w:szCs w:val="16"/>
              </w:rPr>
            </w:pPr>
          </w:p>
        </w:tc>
        <w:tc>
          <w:tcPr>
            <w:tcW w:w="7654"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p>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tcMar>
              <w:top w:w="28" w:type="dxa"/>
              <w:left w:w="28" w:type="dxa"/>
              <w:right w:w="57" w:type="dxa"/>
            </w:tcMar>
          </w:tcPr>
          <w:p w:rsidR="008D548F" w:rsidRPr="00E106BD" w:rsidRDefault="008D548F"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4454</w:t>
            </w:r>
          </w:p>
        </w:tc>
      </w:tr>
      <w:tr w:rsidR="008D548F" w:rsidRPr="00E106BD" w:rsidDel="00447DAD" w:rsidTr="008929EB">
        <w:tblPrEx>
          <w:tblLook w:val="01E0" w:firstRow="1" w:lastRow="1" w:firstColumn="1" w:lastColumn="1" w:noHBand="0" w:noVBand="0"/>
        </w:tblPrEx>
        <w:tc>
          <w:tcPr>
            <w:tcW w:w="1729" w:type="dxa"/>
            <w:tcMar>
              <w:top w:w="28" w:type="dxa"/>
              <w:left w:w="28" w:type="dxa"/>
            </w:tcMar>
          </w:tcPr>
          <w:p w:rsidR="008D548F" w:rsidRPr="00E106BD" w:rsidRDefault="008D548F" w:rsidP="00881477">
            <w:pPr>
              <w:spacing w:line="240" w:lineRule="auto"/>
              <w:rPr>
                <w:rFonts w:ascii="Arial" w:hAnsi="Arial" w:cs="Arial"/>
                <w:sz w:val="16"/>
                <w:szCs w:val="16"/>
              </w:rPr>
            </w:pPr>
          </w:p>
        </w:tc>
        <w:tc>
          <w:tcPr>
            <w:tcW w:w="709"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C4512</w:t>
            </w:r>
          </w:p>
        </w:tc>
        <w:tc>
          <w:tcPr>
            <w:tcW w:w="709" w:type="dxa"/>
            <w:tcMar>
              <w:top w:w="28" w:type="dxa"/>
              <w:left w:w="28" w:type="dxa"/>
            </w:tcMar>
          </w:tcPr>
          <w:p w:rsidR="008D548F" w:rsidRPr="00E106BD" w:rsidDel="00447DAD" w:rsidRDefault="008D548F" w:rsidP="00881477">
            <w:pPr>
              <w:spacing w:line="240" w:lineRule="auto"/>
              <w:rPr>
                <w:rFonts w:ascii="Arial" w:hAnsi="Arial" w:cs="Arial"/>
                <w:sz w:val="16"/>
                <w:szCs w:val="16"/>
              </w:rPr>
            </w:pPr>
          </w:p>
        </w:tc>
        <w:tc>
          <w:tcPr>
            <w:tcW w:w="7654"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tcMar>
              <w:top w:w="28" w:type="dxa"/>
              <w:left w:w="28" w:type="dxa"/>
              <w:right w:w="57" w:type="dxa"/>
            </w:tcMar>
          </w:tcPr>
          <w:p w:rsidR="008D548F" w:rsidRPr="00E106BD" w:rsidRDefault="008D548F"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4512</w:t>
            </w:r>
          </w:p>
        </w:tc>
      </w:tr>
      <w:tr w:rsidR="00BC1805" w:rsidRPr="00E106BD" w:rsidDel="008D548F" w:rsidTr="008929EB">
        <w:tblPrEx>
          <w:tblLook w:val="01E0" w:firstRow="1" w:lastRow="1" w:firstColumn="1" w:lastColumn="1" w:noHBand="0" w:noVBand="0"/>
        </w:tblPrEx>
        <w:tc>
          <w:tcPr>
            <w:tcW w:w="172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bookmarkStart w:id="79" w:name="CU_5135775"/>
            <w:bookmarkEnd w:id="79"/>
            <w:r w:rsidRPr="00E106BD">
              <w:rPr>
                <w:rFonts w:ascii="Arial" w:hAnsi="Arial" w:cs="Arial"/>
                <w:sz w:val="16"/>
                <w:szCs w:val="16"/>
              </w:rPr>
              <w:t>Abacavir with Lamivudine</w:t>
            </w:r>
          </w:p>
        </w:tc>
        <w:tc>
          <w:tcPr>
            <w:tcW w:w="70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r w:rsidRPr="00E106BD">
              <w:rPr>
                <w:rFonts w:ascii="Arial" w:hAnsi="Arial" w:cs="Arial"/>
                <w:sz w:val="16"/>
                <w:szCs w:val="16"/>
              </w:rPr>
              <w:t>C4527</w:t>
            </w:r>
          </w:p>
        </w:tc>
        <w:tc>
          <w:tcPr>
            <w:tcW w:w="70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p>
        </w:tc>
        <w:tc>
          <w:tcPr>
            <w:tcW w:w="7654" w:type="dxa"/>
            <w:shd w:val="clear" w:color="auto" w:fill="auto"/>
            <w:tcMar>
              <w:top w:w="28" w:type="dxa"/>
              <w:left w:w="28" w:type="dxa"/>
            </w:tcMar>
          </w:tcPr>
          <w:p w:rsidR="00724F7A" w:rsidRPr="00E106BD" w:rsidRDefault="00724F7A"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w:t>
            </w:r>
            <w:r w:rsidR="007A1479">
              <w:rPr>
                <w:rFonts w:ascii="Arial" w:hAnsi="Arial" w:cs="Arial"/>
                <w:sz w:val="16"/>
                <w:szCs w:val="16"/>
              </w:rPr>
              <w:t>l</w:t>
            </w:r>
          </w:p>
          <w:p w:rsidR="00724F7A" w:rsidRPr="00E106BD" w:rsidDel="008D548F" w:rsidRDefault="00724F7A"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r w:rsidRPr="00E106BD">
              <w:rPr>
                <w:rFonts w:ascii="Arial" w:hAnsi="Arial" w:cs="Arial"/>
                <w:sz w:val="16"/>
                <w:szCs w:val="16"/>
              </w:rPr>
              <w:br/>
              <w:t>Patient must be aged 12 years or older; AND</w:t>
            </w:r>
            <w:r w:rsidRPr="00E106BD">
              <w:rPr>
                <w:rFonts w:ascii="Arial" w:hAnsi="Arial" w:cs="Arial"/>
                <w:sz w:val="16"/>
                <w:szCs w:val="16"/>
              </w:rPr>
              <w:br/>
              <w:t>Patient must weigh 40 kg or more</w:t>
            </w:r>
          </w:p>
        </w:tc>
        <w:tc>
          <w:tcPr>
            <w:tcW w:w="2552" w:type="dxa"/>
            <w:shd w:val="clear" w:color="auto" w:fill="auto"/>
            <w:tcMar>
              <w:top w:w="28" w:type="dxa"/>
              <w:left w:w="28" w:type="dxa"/>
              <w:right w:w="57" w:type="dxa"/>
            </w:tcMar>
          </w:tcPr>
          <w:p w:rsidR="00724F7A" w:rsidRPr="00E106BD" w:rsidDel="008D548F" w:rsidRDefault="00724F7A"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4527</w:t>
            </w:r>
          </w:p>
        </w:tc>
      </w:tr>
      <w:tr w:rsidR="00BC1805" w:rsidRPr="00E106BD" w:rsidDel="008D548F" w:rsidTr="008929EB">
        <w:tblPrEx>
          <w:tblLook w:val="01E0" w:firstRow="1" w:lastRow="1" w:firstColumn="1" w:lastColumn="1" w:noHBand="0" w:noVBand="0"/>
        </w:tblPrEx>
        <w:tc>
          <w:tcPr>
            <w:tcW w:w="172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p>
        </w:tc>
        <w:tc>
          <w:tcPr>
            <w:tcW w:w="70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r w:rsidRPr="00E106BD">
              <w:rPr>
                <w:rFonts w:ascii="Arial" w:hAnsi="Arial" w:cs="Arial"/>
                <w:sz w:val="16"/>
                <w:szCs w:val="16"/>
              </w:rPr>
              <w:t>C4528</w:t>
            </w:r>
          </w:p>
        </w:tc>
        <w:tc>
          <w:tcPr>
            <w:tcW w:w="70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p>
        </w:tc>
        <w:tc>
          <w:tcPr>
            <w:tcW w:w="7654" w:type="dxa"/>
            <w:shd w:val="clear" w:color="auto" w:fill="auto"/>
            <w:tcMar>
              <w:top w:w="28" w:type="dxa"/>
              <w:left w:w="28" w:type="dxa"/>
            </w:tcMar>
          </w:tcPr>
          <w:p w:rsidR="00724F7A" w:rsidRPr="00E106BD" w:rsidRDefault="00724F7A"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p>
          <w:p w:rsidR="00724F7A" w:rsidRPr="00E106BD" w:rsidDel="008D548F" w:rsidRDefault="00724F7A"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r w:rsidRPr="00E106BD">
              <w:rPr>
                <w:rFonts w:ascii="Arial" w:hAnsi="Arial" w:cs="Arial"/>
                <w:sz w:val="16"/>
                <w:szCs w:val="16"/>
              </w:rPr>
              <w:br/>
              <w:t>Patient must be aged 12 years or older; AND</w:t>
            </w:r>
            <w:r w:rsidRPr="00E106BD">
              <w:rPr>
                <w:rFonts w:ascii="Arial" w:hAnsi="Arial" w:cs="Arial"/>
                <w:sz w:val="16"/>
                <w:szCs w:val="16"/>
              </w:rPr>
              <w:br/>
              <w:t>Patient must weigh 40 kg or more</w:t>
            </w:r>
          </w:p>
        </w:tc>
        <w:tc>
          <w:tcPr>
            <w:tcW w:w="2552" w:type="dxa"/>
            <w:shd w:val="clear" w:color="auto" w:fill="auto"/>
            <w:tcMar>
              <w:top w:w="28" w:type="dxa"/>
              <w:left w:w="28" w:type="dxa"/>
              <w:right w:w="57" w:type="dxa"/>
            </w:tcMar>
          </w:tcPr>
          <w:p w:rsidR="00724F7A" w:rsidRPr="00E106BD" w:rsidDel="008D548F" w:rsidRDefault="00724F7A"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4528</w:t>
            </w:r>
          </w:p>
        </w:tc>
      </w:tr>
      <w:tr w:rsidR="00BC1805" w:rsidRPr="00E106BD" w:rsidDel="00A723BC" w:rsidTr="008929EB">
        <w:tblPrEx>
          <w:tblLook w:val="01E0" w:firstRow="1" w:lastRow="1" w:firstColumn="1" w:lastColumn="1" w:noHBand="0" w:noVBand="0"/>
        </w:tblPrEx>
        <w:tc>
          <w:tcPr>
            <w:tcW w:w="172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bookmarkStart w:id="80" w:name="CU_9137400"/>
            <w:bookmarkStart w:id="81" w:name="CU_13138830"/>
            <w:bookmarkEnd w:id="80"/>
            <w:bookmarkEnd w:id="81"/>
            <w:r w:rsidRPr="00E106BD">
              <w:rPr>
                <w:rFonts w:ascii="Arial" w:hAnsi="Arial" w:cs="Arial"/>
                <w:sz w:val="16"/>
                <w:szCs w:val="16"/>
              </w:rPr>
              <w:t>Abacavir with Lamivudine and Zidovudine</w:t>
            </w:r>
          </w:p>
        </w:tc>
        <w:tc>
          <w:tcPr>
            <w:tcW w:w="70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r w:rsidRPr="00E106BD">
              <w:rPr>
                <w:rFonts w:ascii="Arial" w:hAnsi="Arial" w:cs="Arial"/>
                <w:sz w:val="16"/>
                <w:szCs w:val="16"/>
              </w:rPr>
              <w:t xml:space="preserve">C4480 </w:t>
            </w:r>
          </w:p>
        </w:tc>
        <w:tc>
          <w:tcPr>
            <w:tcW w:w="70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p>
        </w:tc>
        <w:tc>
          <w:tcPr>
            <w:tcW w:w="7654" w:type="dxa"/>
            <w:shd w:val="clear" w:color="auto" w:fill="auto"/>
            <w:tcMar>
              <w:top w:w="28" w:type="dxa"/>
              <w:left w:w="28" w:type="dxa"/>
            </w:tcMar>
          </w:tcPr>
          <w:p w:rsidR="00A723BC" w:rsidRPr="00E106BD" w:rsidRDefault="00A723B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p>
          <w:p w:rsidR="00A723BC" w:rsidRPr="00E106BD" w:rsidDel="00A723BC" w:rsidRDefault="00A723BC"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w:t>
            </w:r>
            <w:r w:rsidRPr="00E106BD">
              <w:rPr>
                <w:rFonts w:ascii="Arial" w:hAnsi="Arial" w:cs="Arial"/>
                <w:sz w:val="16"/>
                <w:szCs w:val="16"/>
              </w:rPr>
              <w:br/>
              <w:t>Patient must be aged 12 years or older; AND</w:t>
            </w:r>
            <w:r w:rsidRPr="00E106BD">
              <w:rPr>
                <w:rFonts w:ascii="Arial" w:hAnsi="Arial" w:cs="Arial"/>
                <w:sz w:val="16"/>
                <w:szCs w:val="16"/>
              </w:rPr>
              <w:br/>
              <w:t>Patient must weigh 40 kg or more</w:t>
            </w:r>
          </w:p>
        </w:tc>
        <w:tc>
          <w:tcPr>
            <w:tcW w:w="2552" w:type="dxa"/>
            <w:shd w:val="clear" w:color="auto" w:fill="auto"/>
            <w:tcMar>
              <w:top w:w="28" w:type="dxa"/>
              <w:left w:w="28" w:type="dxa"/>
              <w:right w:w="57" w:type="dxa"/>
            </w:tcMar>
          </w:tcPr>
          <w:p w:rsidR="00A723BC" w:rsidRPr="00E106BD" w:rsidDel="00A723BC" w:rsidRDefault="00A723BC" w:rsidP="0035540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4480</w:t>
            </w:r>
          </w:p>
        </w:tc>
      </w:tr>
      <w:tr w:rsidR="00BC1805" w:rsidRPr="00E106BD" w:rsidDel="00A723BC" w:rsidTr="008929EB">
        <w:tblPrEx>
          <w:tblLook w:val="01E0" w:firstRow="1" w:lastRow="1" w:firstColumn="1" w:lastColumn="1" w:noHBand="0" w:noVBand="0"/>
        </w:tblPrEx>
        <w:trPr>
          <w:cantSplit/>
        </w:trPr>
        <w:tc>
          <w:tcPr>
            <w:tcW w:w="172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p>
        </w:tc>
        <w:tc>
          <w:tcPr>
            <w:tcW w:w="70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r w:rsidRPr="00E106BD">
              <w:rPr>
                <w:rFonts w:ascii="Arial" w:hAnsi="Arial" w:cs="Arial"/>
                <w:sz w:val="16"/>
                <w:szCs w:val="16"/>
              </w:rPr>
              <w:t xml:space="preserve">C4495 </w:t>
            </w:r>
          </w:p>
        </w:tc>
        <w:tc>
          <w:tcPr>
            <w:tcW w:w="70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p>
        </w:tc>
        <w:tc>
          <w:tcPr>
            <w:tcW w:w="7654" w:type="dxa"/>
            <w:shd w:val="clear" w:color="auto" w:fill="auto"/>
            <w:tcMar>
              <w:top w:w="28" w:type="dxa"/>
              <w:left w:w="28" w:type="dxa"/>
            </w:tcMar>
          </w:tcPr>
          <w:p w:rsidR="00A723BC" w:rsidRPr="00E106BD" w:rsidRDefault="00A723B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A723BC" w:rsidRPr="00E106BD" w:rsidDel="00A723BC" w:rsidRDefault="00A723BC" w:rsidP="00881477">
            <w:pPr>
              <w:spacing w:line="240" w:lineRule="auto"/>
              <w:rPr>
                <w:rFonts w:ascii="Arial" w:hAnsi="Arial" w:cs="Arial"/>
                <w:sz w:val="16"/>
                <w:szCs w:val="16"/>
              </w:rPr>
            </w:pPr>
            <w:r w:rsidRPr="00E106BD">
              <w:rPr>
                <w:rFonts w:ascii="Arial" w:hAnsi="Arial" w:cs="Arial"/>
                <w:sz w:val="16"/>
                <w:szCs w:val="16"/>
              </w:rPr>
              <w:t>Patient must be antiretroviral treatment naïve;</w:t>
            </w:r>
            <w:r w:rsidRPr="00E106BD">
              <w:rPr>
                <w:rFonts w:ascii="Arial" w:hAnsi="Arial" w:cs="Arial"/>
                <w:sz w:val="16"/>
                <w:szCs w:val="16"/>
              </w:rPr>
              <w:br/>
              <w:t>Patient must be aged 12 years or older; AND</w:t>
            </w:r>
            <w:r w:rsidRPr="00E106BD">
              <w:rPr>
                <w:rFonts w:ascii="Arial" w:hAnsi="Arial" w:cs="Arial"/>
                <w:sz w:val="16"/>
                <w:szCs w:val="16"/>
              </w:rPr>
              <w:br/>
              <w:t>Patient must weigh 40 kg or more</w:t>
            </w:r>
          </w:p>
        </w:tc>
        <w:tc>
          <w:tcPr>
            <w:tcW w:w="2552" w:type="dxa"/>
            <w:shd w:val="clear" w:color="auto" w:fill="auto"/>
            <w:tcMar>
              <w:top w:w="28" w:type="dxa"/>
              <w:left w:w="28" w:type="dxa"/>
              <w:right w:w="57" w:type="dxa"/>
            </w:tcMar>
          </w:tcPr>
          <w:p w:rsidR="00A723BC" w:rsidRPr="00E106BD" w:rsidDel="00A723BC" w:rsidRDefault="00A723B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4495</w:t>
            </w:r>
          </w:p>
        </w:tc>
      </w:tr>
      <w:tr w:rsidR="00A676F3" w:rsidRPr="00E106BD" w:rsidDel="00A723BC" w:rsidTr="008929EB">
        <w:tblPrEx>
          <w:tblLook w:val="01E0" w:firstRow="1" w:lastRow="1" w:firstColumn="1" w:lastColumn="1" w:noHBand="0" w:noVBand="0"/>
        </w:tblPrEx>
        <w:trPr>
          <w:cantSplit/>
        </w:trPr>
        <w:tc>
          <w:tcPr>
            <w:tcW w:w="1729" w:type="dxa"/>
            <w:shd w:val="clear" w:color="auto" w:fill="auto"/>
            <w:tcMar>
              <w:top w:w="28" w:type="dxa"/>
              <w:left w:w="28" w:type="dxa"/>
            </w:tcMar>
          </w:tcPr>
          <w:p w:rsidR="00A676F3" w:rsidRPr="00E106BD" w:rsidDel="00A723BC" w:rsidRDefault="00A676F3" w:rsidP="00881477">
            <w:pPr>
              <w:spacing w:line="240" w:lineRule="auto"/>
              <w:rPr>
                <w:rFonts w:ascii="Arial" w:hAnsi="Arial" w:cs="Arial"/>
                <w:sz w:val="16"/>
                <w:szCs w:val="16"/>
              </w:rPr>
            </w:pPr>
            <w:r w:rsidRPr="00E106BD">
              <w:rPr>
                <w:rFonts w:ascii="Arial" w:hAnsi="Arial" w:cs="Arial"/>
                <w:sz w:val="16"/>
                <w:szCs w:val="16"/>
              </w:rPr>
              <w:t>Abatacept</w:t>
            </w:r>
          </w:p>
        </w:tc>
        <w:tc>
          <w:tcPr>
            <w:tcW w:w="709" w:type="dxa"/>
            <w:shd w:val="clear" w:color="auto" w:fill="auto"/>
            <w:tcMar>
              <w:top w:w="28" w:type="dxa"/>
              <w:left w:w="28" w:type="dxa"/>
            </w:tcMar>
          </w:tcPr>
          <w:p w:rsidR="00A676F3" w:rsidRPr="00E106BD" w:rsidRDefault="00A676F3" w:rsidP="00881477">
            <w:pPr>
              <w:spacing w:line="240" w:lineRule="auto"/>
              <w:rPr>
                <w:rFonts w:ascii="Arial" w:hAnsi="Arial" w:cs="Arial"/>
                <w:sz w:val="16"/>
                <w:szCs w:val="16"/>
              </w:rPr>
            </w:pPr>
            <w:r w:rsidRPr="00E106BD">
              <w:rPr>
                <w:rFonts w:ascii="Arial" w:hAnsi="Arial" w:cs="Arial"/>
                <w:sz w:val="16"/>
                <w:szCs w:val="16"/>
              </w:rPr>
              <w:t>C8627</w:t>
            </w:r>
          </w:p>
        </w:tc>
        <w:tc>
          <w:tcPr>
            <w:tcW w:w="709" w:type="dxa"/>
            <w:shd w:val="clear" w:color="auto" w:fill="auto"/>
            <w:tcMar>
              <w:top w:w="28" w:type="dxa"/>
              <w:left w:w="28" w:type="dxa"/>
            </w:tcMar>
          </w:tcPr>
          <w:p w:rsidR="00A676F3" w:rsidRPr="00E106BD" w:rsidDel="00A723BC" w:rsidRDefault="00A676F3" w:rsidP="00881477">
            <w:pPr>
              <w:spacing w:line="240" w:lineRule="auto"/>
              <w:rPr>
                <w:rFonts w:ascii="Arial" w:hAnsi="Arial" w:cs="Arial"/>
                <w:sz w:val="16"/>
                <w:szCs w:val="16"/>
              </w:rPr>
            </w:pPr>
          </w:p>
        </w:tc>
        <w:tc>
          <w:tcPr>
            <w:tcW w:w="7654" w:type="dxa"/>
            <w:shd w:val="clear" w:color="auto" w:fill="auto"/>
            <w:tcMar>
              <w:top w:w="28" w:type="dxa"/>
              <w:left w:w="28" w:type="dxa"/>
            </w:tcMar>
          </w:tcPr>
          <w:p w:rsidR="00A676F3" w:rsidRPr="00E106BD" w:rsidRDefault="00A676F3" w:rsidP="00881477">
            <w:pPr>
              <w:spacing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Continuing Treatment </w:t>
            </w:r>
            <w:r w:rsidR="00E106BD">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continuing treatment restriction to complete 24 weeks treatment; AND</w:t>
            </w:r>
            <w:r w:rsidRPr="00E106BD">
              <w:rPr>
                <w:rFonts w:ascii="Arial" w:hAnsi="Arial" w:cs="Arial"/>
                <w:sz w:val="16"/>
                <w:szCs w:val="16"/>
              </w:rPr>
              <w:br/>
              <w:t>The treatment must provide no more than the balance of up to 24 weeks treatment available under the above restriction.</w:t>
            </w:r>
          </w:p>
        </w:tc>
        <w:tc>
          <w:tcPr>
            <w:tcW w:w="2552" w:type="dxa"/>
            <w:shd w:val="clear" w:color="auto" w:fill="auto"/>
            <w:tcMar>
              <w:top w:w="28" w:type="dxa"/>
              <w:left w:w="28" w:type="dxa"/>
              <w:right w:w="57" w:type="dxa"/>
            </w:tcMar>
          </w:tcPr>
          <w:p w:rsidR="00A676F3" w:rsidRPr="00E106BD" w:rsidRDefault="00A676F3"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A676F3" w:rsidRPr="00E106BD" w:rsidDel="00A723BC" w:rsidTr="008929EB">
        <w:tblPrEx>
          <w:tblLook w:val="01E0" w:firstRow="1" w:lastRow="1" w:firstColumn="1" w:lastColumn="1" w:noHBand="0" w:noVBand="0"/>
        </w:tblPrEx>
        <w:tc>
          <w:tcPr>
            <w:tcW w:w="1729" w:type="dxa"/>
            <w:shd w:val="clear" w:color="auto" w:fill="auto"/>
            <w:tcMar>
              <w:top w:w="28" w:type="dxa"/>
              <w:left w:w="28" w:type="dxa"/>
            </w:tcMar>
          </w:tcPr>
          <w:p w:rsidR="00A676F3" w:rsidRPr="00E106BD" w:rsidDel="00A723BC" w:rsidRDefault="00A676F3" w:rsidP="00881477">
            <w:pPr>
              <w:spacing w:line="240" w:lineRule="auto"/>
              <w:rPr>
                <w:rFonts w:ascii="Arial" w:hAnsi="Arial" w:cs="Arial"/>
                <w:sz w:val="16"/>
                <w:szCs w:val="16"/>
              </w:rPr>
            </w:pPr>
          </w:p>
        </w:tc>
        <w:tc>
          <w:tcPr>
            <w:tcW w:w="709" w:type="dxa"/>
            <w:shd w:val="clear" w:color="auto" w:fill="auto"/>
            <w:tcMar>
              <w:top w:w="28" w:type="dxa"/>
              <w:left w:w="28" w:type="dxa"/>
            </w:tcMar>
          </w:tcPr>
          <w:p w:rsidR="00A676F3" w:rsidRPr="00E106BD" w:rsidRDefault="00A676F3" w:rsidP="00881477">
            <w:pPr>
              <w:spacing w:line="240" w:lineRule="auto"/>
              <w:rPr>
                <w:rFonts w:ascii="Arial" w:hAnsi="Arial" w:cs="Arial"/>
                <w:sz w:val="16"/>
                <w:szCs w:val="16"/>
              </w:rPr>
            </w:pPr>
            <w:r w:rsidRPr="00E106BD">
              <w:rPr>
                <w:rFonts w:ascii="Arial" w:hAnsi="Arial" w:cs="Arial"/>
                <w:sz w:val="16"/>
                <w:szCs w:val="16"/>
              </w:rPr>
              <w:t>C8638</w:t>
            </w:r>
          </w:p>
        </w:tc>
        <w:tc>
          <w:tcPr>
            <w:tcW w:w="709" w:type="dxa"/>
            <w:shd w:val="clear" w:color="auto" w:fill="auto"/>
            <w:tcMar>
              <w:top w:w="28" w:type="dxa"/>
              <w:left w:w="28" w:type="dxa"/>
            </w:tcMar>
          </w:tcPr>
          <w:p w:rsidR="00A676F3" w:rsidRPr="00E106BD" w:rsidDel="00A723BC" w:rsidRDefault="00A676F3" w:rsidP="00881477">
            <w:pPr>
              <w:spacing w:line="240" w:lineRule="auto"/>
              <w:rPr>
                <w:rFonts w:ascii="Arial" w:hAnsi="Arial" w:cs="Arial"/>
                <w:sz w:val="16"/>
                <w:szCs w:val="16"/>
              </w:rPr>
            </w:pPr>
          </w:p>
        </w:tc>
        <w:tc>
          <w:tcPr>
            <w:tcW w:w="7654" w:type="dxa"/>
            <w:shd w:val="clear" w:color="auto" w:fill="auto"/>
            <w:tcMar>
              <w:top w:w="28" w:type="dxa"/>
              <w:left w:w="28" w:type="dxa"/>
            </w:tcMar>
          </w:tcPr>
          <w:p w:rsidR="00A676F3" w:rsidRPr="00E106BD" w:rsidRDefault="00A676F3" w:rsidP="00881477">
            <w:pPr>
              <w:spacing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Initial 1 (new patient) or Initial 2 (change or recommencement of treatment after a break in biological medicine of less than 24 months) or Initial 3 (recommencement of treatment after a break in biological medicine of more than 24 months) </w:t>
            </w:r>
            <w:r w:rsidR="00E106BD">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Initial 1 (new patient) restriction to complete 16 weeks treatment;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24 months) restriction to complete 16 weeks treatment;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24 months) to complete 16 weeks of treatment; AND</w:t>
            </w:r>
            <w:r w:rsidRPr="00E106BD">
              <w:rPr>
                <w:rFonts w:ascii="Arial" w:hAnsi="Arial" w:cs="Arial"/>
                <w:sz w:val="16"/>
                <w:szCs w:val="16"/>
              </w:rPr>
              <w:br/>
              <w:t>The treatment must provide no more than the balance of up to 16 weeks treatment available under the above restrictions.</w:t>
            </w:r>
          </w:p>
        </w:tc>
        <w:tc>
          <w:tcPr>
            <w:tcW w:w="2552" w:type="dxa"/>
            <w:shd w:val="clear" w:color="auto" w:fill="auto"/>
            <w:tcMar>
              <w:top w:w="28" w:type="dxa"/>
              <w:left w:w="28" w:type="dxa"/>
              <w:right w:w="57" w:type="dxa"/>
            </w:tcMar>
          </w:tcPr>
          <w:p w:rsidR="00A676F3" w:rsidRPr="00E106BD" w:rsidRDefault="00A676F3"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60566A" w:rsidRPr="00E106BD" w:rsidDel="0060566A" w:rsidTr="008929EB">
        <w:tblPrEx>
          <w:tblLook w:val="01E0" w:firstRow="1" w:lastRow="1" w:firstColumn="1" w:lastColumn="1" w:noHBand="0" w:noVBand="0"/>
        </w:tblPrEx>
        <w:tc>
          <w:tcPr>
            <w:tcW w:w="172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C8655</w:t>
            </w: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654"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Severe active rheumatoid arthritis</w:t>
            </w:r>
            <w:r w:rsidRPr="00E106BD">
              <w:rPr>
                <w:rFonts w:ascii="Arial" w:hAnsi="Arial" w:cs="Arial"/>
                <w:sz w:val="16"/>
                <w:szCs w:val="16"/>
                <w:lang w:eastAsia="en-AU"/>
              </w:rPr>
              <w:br/>
              <w:t>Continuing treatment</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Must be treated by a clinical immunologist with expertise in the management of rheumatoid arthritis.</w:t>
            </w:r>
            <w:r w:rsidRPr="00E106BD">
              <w:rPr>
                <w:rFonts w:ascii="Arial" w:hAnsi="Arial" w:cs="Arial"/>
                <w:sz w:val="16"/>
                <w:szCs w:val="16"/>
                <w:lang w:eastAsia="en-AU"/>
              </w:rPr>
              <w:br/>
              <w:t>Patient must have received this drug as their most recent course of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for this condition; AND</w:t>
            </w:r>
            <w:r w:rsidRPr="00E106BD">
              <w:rPr>
                <w:rFonts w:ascii="Arial" w:hAnsi="Arial" w:cs="Arial"/>
                <w:sz w:val="16"/>
                <w:szCs w:val="16"/>
                <w:lang w:eastAsia="en-AU"/>
              </w:rPr>
              <w:br/>
              <w:t>Patient must have demonstrated an adequate response to treatment with this drug; AND</w:t>
            </w:r>
            <w:r w:rsidRPr="00E106BD">
              <w:rPr>
                <w:rFonts w:ascii="Arial" w:hAnsi="Arial" w:cs="Arial"/>
                <w:sz w:val="16"/>
                <w:szCs w:val="16"/>
                <w:lang w:eastAsia="en-AU"/>
              </w:rPr>
              <w:br/>
              <w:t>Patient must not receive more than 24 weeks of treatment under this restriction; AND</w:t>
            </w:r>
            <w:r w:rsidRPr="00E106BD">
              <w:rPr>
                <w:rFonts w:ascii="Arial" w:hAnsi="Arial" w:cs="Arial"/>
                <w:sz w:val="16"/>
                <w:szCs w:val="16"/>
                <w:lang w:eastAsia="en-AU"/>
              </w:rPr>
              <w:br/>
              <w:t>The treatment must be given concomitantly with methotrexate at a dose of at least 7.5 mg weekly.</w:t>
            </w:r>
            <w:r w:rsidRPr="00E106BD">
              <w:rPr>
                <w:rFonts w:ascii="Arial" w:hAnsi="Arial" w:cs="Arial"/>
                <w:sz w:val="16"/>
                <w:szCs w:val="16"/>
                <w:lang w:eastAsia="en-AU"/>
              </w:rPr>
              <w:br/>
              <w:t>Patient must be aged 18 years or older.</w:t>
            </w:r>
            <w:r w:rsidRPr="00E106BD">
              <w:rPr>
                <w:rFonts w:ascii="Arial" w:hAnsi="Arial" w:cs="Arial"/>
                <w:sz w:val="16"/>
                <w:szCs w:val="16"/>
                <w:lang w:eastAsia="en-AU"/>
              </w:rPr>
              <w:br/>
              <w:t>An adequate response to treatment is defined as:</w:t>
            </w:r>
            <w:r w:rsidRPr="00E106BD">
              <w:rPr>
                <w:rFonts w:ascii="Arial" w:hAnsi="Arial" w:cs="Arial"/>
                <w:sz w:val="16"/>
                <w:szCs w:val="16"/>
                <w:lang w:eastAsia="en-AU"/>
              </w:rPr>
              <w:br/>
              <w:t>an ESR no greater than 25 mm per hour or a CRP level no greater than 15 mg per L or either marker reduced by at least 20% from baseline;</w:t>
            </w:r>
            <w:r w:rsidRPr="00E106BD">
              <w:rPr>
                <w:rFonts w:ascii="Arial" w:hAnsi="Arial" w:cs="Arial"/>
                <w:sz w:val="16"/>
                <w:szCs w:val="16"/>
                <w:lang w:eastAsia="en-AU"/>
              </w:rPr>
              <w:br/>
              <w:t>AND either of the following:</w:t>
            </w:r>
            <w:r w:rsidRPr="00E106BD">
              <w:rPr>
                <w:rFonts w:ascii="Arial" w:hAnsi="Arial" w:cs="Arial"/>
                <w:sz w:val="16"/>
                <w:szCs w:val="16"/>
                <w:lang w:eastAsia="en-AU"/>
              </w:rPr>
              <w:br/>
              <w:t>(a) a reduction in the total active (swollen and tender) joint count by at least 50% from baseline, where baseline is at least 20 active joints; or</w:t>
            </w:r>
            <w:r w:rsidRPr="00E106BD">
              <w:rPr>
                <w:rFonts w:ascii="Arial" w:hAnsi="Arial" w:cs="Arial"/>
                <w:sz w:val="16"/>
                <w:szCs w:val="16"/>
                <w:lang w:eastAsia="en-AU"/>
              </w:rPr>
              <w:br/>
              <w:t>(b) a reduction in the number of the following active joints, from at least 4, by at least 50%:</w:t>
            </w:r>
            <w:r w:rsidRPr="00E106BD">
              <w:rPr>
                <w:rFonts w:ascii="Arial" w:hAnsi="Arial" w:cs="Arial"/>
                <w:sz w:val="16"/>
                <w:szCs w:val="16"/>
                <w:lang w:eastAsia="en-AU"/>
              </w:rPr>
              <w:br/>
              <w:t>(i) elbow, wrist, knee and/or ankle (assessed as swollen and tender); and/or</w:t>
            </w:r>
            <w:r w:rsidRPr="00E106BD">
              <w:rPr>
                <w:rFonts w:ascii="Arial" w:hAnsi="Arial" w:cs="Arial"/>
                <w:sz w:val="16"/>
                <w:szCs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a completed authority prescription form(s); and</w:t>
            </w:r>
            <w:r w:rsidRPr="00E106BD">
              <w:rPr>
                <w:rFonts w:ascii="Arial" w:hAnsi="Arial" w:cs="Arial"/>
                <w:sz w:val="16"/>
                <w:szCs w:val="16"/>
                <w:lang w:eastAsia="en-AU"/>
              </w:rPr>
              <w:br/>
              <w:t xml:space="preserve">(2) a completed Rheumatoid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ascii="Arial" w:hAnsi="Arial" w:cs="Arial"/>
                <w:sz w:val="16"/>
                <w:szCs w:val="16"/>
                <w:lang w:eastAsia="en-AU"/>
              </w:rPr>
              <w:br/>
              <w:t>If a patient has either failed or ceased to respond to a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for this condition 5 times,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w:t>
            </w:r>
            <w:r w:rsidRPr="00E106BD">
              <w:rPr>
                <w:rFonts w:ascii="Arial" w:hAnsi="Arial" w:cs="Arial"/>
                <w:sz w:val="16"/>
                <w:szCs w:val="16"/>
                <w:lang w:eastAsia="en-AU"/>
              </w:rPr>
              <w:br/>
              <w:t>If a patient fails to demonstrate a response to treatment with this drug under this restriction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p>
        </w:tc>
        <w:tc>
          <w:tcPr>
            <w:tcW w:w="2552" w:type="dxa"/>
            <w:shd w:val="clear" w:color="auto" w:fill="auto"/>
            <w:tcMar>
              <w:top w:w="28" w:type="dxa"/>
              <w:left w:w="28" w:type="dxa"/>
              <w:right w:w="57" w:type="dxa"/>
            </w:tcMar>
          </w:tcPr>
          <w:p w:rsidR="0060566A" w:rsidRPr="00E106BD" w:rsidDel="0060566A" w:rsidRDefault="0060566A" w:rsidP="00DC20A5">
            <w:pPr>
              <w:spacing w:line="240" w:lineRule="auto"/>
              <w:rPr>
                <w:rFonts w:ascii="Arial" w:hAnsi="Arial" w:cs="Arial"/>
                <w:sz w:val="16"/>
                <w:szCs w:val="16"/>
              </w:rPr>
            </w:pPr>
            <w:r w:rsidRPr="00E106BD">
              <w:rPr>
                <w:rFonts w:ascii="Arial" w:hAnsi="Arial" w:cs="Arial"/>
                <w:sz w:val="16"/>
                <w:szCs w:val="16"/>
                <w:lang w:eastAsia="en-AU"/>
              </w:rPr>
              <w:t>Compliance with Written Authority Required procedures</w:t>
            </w:r>
          </w:p>
        </w:tc>
      </w:tr>
      <w:tr w:rsidR="0060566A" w:rsidRPr="00E106BD" w:rsidDel="0060566A" w:rsidTr="008929EB">
        <w:tblPrEx>
          <w:tblLook w:val="01E0" w:firstRow="1" w:lastRow="1" w:firstColumn="1" w:lastColumn="1" w:noHBand="0" w:noVBand="0"/>
        </w:tblPrEx>
        <w:tc>
          <w:tcPr>
            <w:tcW w:w="172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C8688</w:t>
            </w: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654"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Severe active rheumatoid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3 (re</w:t>
            </w:r>
            <w:r w:rsidR="00E106BD">
              <w:rPr>
                <w:rFonts w:ascii="Arial" w:hAnsi="Arial" w:cs="Arial"/>
                <w:sz w:val="16"/>
                <w:szCs w:val="16"/>
                <w:lang w:eastAsia="en-AU"/>
              </w:rPr>
              <w:noBreakHyphen/>
            </w:r>
            <w:r w:rsidRPr="00E106BD">
              <w:rPr>
                <w:rFonts w:ascii="Arial" w:hAnsi="Arial" w:cs="Arial"/>
                <w:sz w:val="16"/>
                <w:szCs w:val="16"/>
                <w:lang w:eastAsia="en-AU"/>
              </w:rPr>
              <w:t>commencement of treatment after a break in biological medicine of more than 24 months)</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Must be treated by a clinical immunologist with expertise in the management of rheumatoid arthritis.</w:t>
            </w:r>
            <w:r w:rsidRPr="00E106BD">
              <w:rPr>
                <w:rFonts w:ascii="Arial" w:hAnsi="Arial" w:cs="Arial"/>
                <w:sz w:val="16"/>
                <w:szCs w:val="16"/>
                <w:lang w:eastAsia="en-AU"/>
              </w:rPr>
              <w:br/>
              <w:t>Patient must have previously received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 AND</w:t>
            </w:r>
            <w:r w:rsidRPr="00E106BD">
              <w:rPr>
                <w:rFonts w:ascii="Arial" w:hAnsi="Arial" w:cs="Arial"/>
                <w:sz w:val="16"/>
                <w:szCs w:val="16"/>
                <w:lang w:eastAsia="en-AU"/>
              </w:rPr>
              <w:br/>
              <w:t>Patient must have a break in treatment of 24 months or more from the most recent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for this condition; AND</w:t>
            </w:r>
            <w:r w:rsidRPr="00E106BD">
              <w:rPr>
                <w:rFonts w:ascii="Arial" w:hAnsi="Arial" w:cs="Arial"/>
                <w:sz w:val="16"/>
                <w:szCs w:val="16"/>
                <w:lang w:eastAsia="en-AU"/>
              </w:rPr>
              <w:br/>
              <w:t>Patient must not have failed to respond to previous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 AND</w:t>
            </w:r>
            <w:r w:rsidRPr="00E106BD">
              <w:rPr>
                <w:rFonts w:ascii="Arial" w:hAnsi="Arial" w:cs="Arial"/>
                <w:sz w:val="16"/>
                <w:szCs w:val="16"/>
                <w:lang w:eastAsia="en-AU"/>
              </w:rPr>
              <w:br/>
              <w:t>Patient must not have already failed , or ceased to respond to,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for this condition 5 times; AND</w:t>
            </w:r>
            <w:r w:rsidRPr="00E106BD">
              <w:rPr>
                <w:rFonts w:ascii="Arial" w:hAnsi="Arial" w:cs="Arial"/>
                <w:sz w:val="16"/>
                <w:szCs w:val="16"/>
                <w:lang w:eastAsia="en-AU"/>
              </w:rPr>
              <w:br/>
              <w:t>The condition must have an elevated erythrocyte sedimentation rate (ESR) greater than 25 mm per hour; OR</w:t>
            </w:r>
            <w:r w:rsidRPr="00E106BD">
              <w:rPr>
                <w:rFonts w:ascii="Arial" w:hAnsi="Arial" w:cs="Arial"/>
                <w:sz w:val="16"/>
                <w:szCs w:val="16"/>
                <w:lang w:eastAsia="en-AU"/>
              </w:rPr>
              <w:br/>
              <w:t>The condition must have a C</w:t>
            </w:r>
            <w:r w:rsidR="00E106BD">
              <w:rPr>
                <w:rFonts w:ascii="Arial" w:hAnsi="Arial" w:cs="Arial"/>
                <w:sz w:val="16"/>
                <w:szCs w:val="16"/>
                <w:lang w:eastAsia="en-AU"/>
              </w:rPr>
              <w:noBreakHyphen/>
            </w:r>
            <w:r w:rsidRPr="00E106BD">
              <w:rPr>
                <w:rFonts w:ascii="Arial" w:hAnsi="Arial" w:cs="Arial"/>
                <w:sz w:val="16"/>
                <w:szCs w:val="16"/>
                <w:lang w:eastAsia="en-AU"/>
              </w:rPr>
              <w:t>reactive protein (CRP) level greater than 15 mg per L; AND</w:t>
            </w:r>
            <w:r w:rsidRPr="00E106BD">
              <w:rPr>
                <w:rFonts w:ascii="Arial" w:hAnsi="Arial" w:cs="Arial"/>
                <w:sz w:val="16"/>
                <w:szCs w:val="16"/>
                <w:lang w:eastAsia="en-AU"/>
              </w:rPr>
              <w:br/>
              <w:t>The condition must have either (a) a total active joint count of at least 20 active (swollen and tender) joints; or (b) at least 4 active major joints; AND</w:t>
            </w:r>
            <w:r w:rsidRPr="00E106BD">
              <w:rPr>
                <w:rFonts w:ascii="Arial" w:hAnsi="Arial" w:cs="Arial"/>
                <w:sz w:val="16"/>
                <w:szCs w:val="16"/>
                <w:lang w:eastAsia="en-AU"/>
              </w:rPr>
              <w:br/>
              <w:t>Patient must not receive more than 16 weeks of treatment under this restriction; AND</w:t>
            </w:r>
            <w:r w:rsidRPr="00E106BD">
              <w:rPr>
                <w:rFonts w:ascii="Arial" w:hAnsi="Arial" w:cs="Arial"/>
                <w:sz w:val="16"/>
                <w:szCs w:val="16"/>
                <w:lang w:eastAsia="en-AU"/>
              </w:rPr>
              <w:br/>
              <w:t>The treatment must be given concomitantly with methotrexate at a dose of at least 7.5 mg weekly.</w:t>
            </w:r>
            <w:r w:rsidRPr="00E106BD">
              <w:rPr>
                <w:rFonts w:ascii="Arial" w:hAnsi="Arial" w:cs="Arial"/>
                <w:sz w:val="16"/>
                <w:szCs w:val="16"/>
                <w:lang w:eastAsia="en-AU"/>
              </w:rPr>
              <w:br/>
              <w:t>Patient must be aged 18 years or older.</w:t>
            </w:r>
            <w:r w:rsidRPr="00E106BD">
              <w:rPr>
                <w:rFonts w:ascii="Arial" w:hAnsi="Arial" w:cs="Arial"/>
                <w:sz w:val="16"/>
                <w:szCs w:val="16"/>
                <w:lang w:eastAsia="en-AU"/>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All measures of joint count and ESR and/or CRP must be no more than one month old at the time of initial application.</w:t>
            </w:r>
            <w:r w:rsidRPr="00E106BD">
              <w:rPr>
                <w:rFonts w:ascii="Arial" w:hAnsi="Arial" w:cs="Arial"/>
                <w:sz w:val="16"/>
                <w:szCs w:val="16"/>
                <w:lang w:eastAsia="en-AU"/>
              </w:rPr>
              <w:br/>
              <w:t>If the above requirement to demonstrate an elevated ESR or CRP cannot be met, the application must state the reasons why this criterion cannot be satisfied.</w:t>
            </w:r>
            <w:r w:rsidRPr="00E106BD">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a completed authority prescription form(s); and</w:t>
            </w:r>
            <w:r w:rsidRPr="00E106BD">
              <w:rPr>
                <w:rFonts w:ascii="Arial" w:hAnsi="Arial" w:cs="Arial"/>
                <w:sz w:val="16"/>
                <w:szCs w:val="16"/>
                <w:lang w:eastAsia="en-AU"/>
              </w:rPr>
              <w:br/>
              <w:t xml:space="preserve">(2) a completed Rheumatoid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It is recommended that an assessment of a patient</w:t>
            </w:r>
            <w:r w:rsidR="00A653CA">
              <w:rPr>
                <w:rFonts w:ascii="Arial" w:hAnsi="Arial" w:cs="Arial"/>
                <w:sz w:val="16"/>
                <w:szCs w:val="16"/>
                <w:lang w:eastAsia="en-AU"/>
              </w:rPr>
              <w:t>’</w:t>
            </w:r>
            <w:r w:rsidRPr="00E106BD">
              <w:rPr>
                <w:rFonts w:ascii="Arial" w:hAnsi="Arial" w:cs="Arial"/>
                <w:sz w:val="16"/>
                <w:szCs w:val="16"/>
                <w:lang w:eastAsia="en-AU"/>
              </w:rPr>
              <w:t>s response is conducted following a minimum of 12 weeks of therapy and no later than 4 weeks from the completion of the most recent course of treatment.</w:t>
            </w:r>
            <w:r w:rsidRPr="00E106BD">
              <w:rPr>
                <w:rFonts w:ascii="Arial" w:hAnsi="Arial" w:cs="Arial"/>
                <w:sz w:val="16"/>
                <w:szCs w:val="16"/>
                <w:lang w:eastAsia="en-AU"/>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lang w:eastAsia="en-AU"/>
              </w:rPr>
              <w:br/>
              <w:t>If a patient fails to demonstrate a response to treatment with this drug under this restriction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p>
        </w:tc>
        <w:tc>
          <w:tcPr>
            <w:tcW w:w="2552" w:type="dxa"/>
            <w:shd w:val="clear" w:color="auto" w:fill="auto"/>
            <w:tcMar>
              <w:top w:w="28" w:type="dxa"/>
              <w:left w:w="28" w:type="dxa"/>
              <w:right w:w="57" w:type="dxa"/>
            </w:tcMar>
          </w:tcPr>
          <w:p w:rsidR="0060566A" w:rsidRPr="00E106BD" w:rsidDel="0060566A" w:rsidRDefault="0060566A" w:rsidP="00DC20A5">
            <w:pPr>
              <w:spacing w:line="240" w:lineRule="auto"/>
              <w:rPr>
                <w:rFonts w:ascii="Arial" w:hAnsi="Arial" w:cs="Arial"/>
                <w:sz w:val="16"/>
                <w:szCs w:val="16"/>
              </w:rPr>
            </w:pPr>
            <w:r w:rsidRPr="00E106BD">
              <w:rPr>
                <w:rFonts w:ascii="Arial" w:hAnsi="Arial" w:cs="Arial"/>
                <w:sz w:val="16"/>
                <w:szCs w:val="16"/>
                <w:lang w:eastAsia="en-AU"/>
              </w:rPr>
              <w:t>Compliance with Written Authority Required procedures</w:t>
            </w:r>
          </w:p>
        </w:tc>
      </w:tr>
      <w:tr w:rsidR="0060566A" w:rsidRPr="00E106BD" w:rsidDel="0060566A" w:rsidTr="008929EB">
        <w:tblPrEx>
          <w:tblLook w:val="01E0" w:firstRow="1" w:lastRow="1" w:firstColumn="1" w:lastColumn="1" w:noHBand="0" w:noVBand="0"/>
        </w:tblPrEx>
        <w:tc>
          <w:tcPr>
            <w:tcW w:w="172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C8748</w:t>
            </w: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654"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Severe active rheumatoid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2 (change or re</w:t>
            </w:r>
            <w:r w:rsidR="00E106BD">
              <w:rPr>
                <w:rFonts w:ascii="Arial" w:hAnsi="Arial" w:cs="Arial"/>
                <w:sz w:val="16"/>
                <w:szCs w:val="16"/>
                <w:lang w:eastAsia="en-AU"/>
              </w:rPr>
              <w:noBreakHyphen/>
            </w:r>
            <w:r w:rsidRPr="00E106BD">
              <w:rPr>
                <w:rFonts w:ascii="Arial" w:hAnsi="Arial" w:cs="Arial"/>
                <w:sz w:val="16"/>
                <w:szCs w:val="16"/>
                <w:lang w:eastAsia="en-AU"/>
              </w:rPr>
              <w:t>commencement of treatment after a break in biological medicine of less than 24 months).</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Must be treated by a clinical immunologist with expertise in the management of rheumatoid arthritis.</w:t>
            </w:r>
            <w:r w:rsidRPr="00E106BD">
              <w:rPr>
                <w:rFonts w:ascii="Arial" w:hAnsi="Arial" w:cs="Arial"/>
                <w:sz w:val="16"/>
                <w:szCs w:val="16"/>
                <w:lang w:eastAsia="en-AU"/>
              </w:rPr>
              <w:br/>
              <w:t>Patient must have received prior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 AND</w:t>
            </w:r>
            <w:r w:rsidRPr="00E106BD">
              <w:rPr>
                <w:rFonts w:ascii="Arial" w:hAnsi="Arial" w:cs="Arial"/>
                <w:sz w:val="16"/>
                <w:szCs w:val="16"/>
                <w:lang w:eastAsia="en-AU"/>
              </w:rPr>
              <w:br/>
              <w:t>Patient must not have failed to respond to previous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 AND</w:t>
            </w:r>
            <w:r w:rsidRPr="00E106BD">
              <w:rPr>
                <w:rFonts w:ascii="Arial" w:hAnsi="Arial" w:cs="Arial"/>
                <w:sz w:val="16"/>
                <w:szCs w:val="16"/>
                <w:lang w:eastAsia="en-AU"/>
              </w:rPr>
              <w:br/>
              <w:t>Patient must not have already failed , or ceased to respond to,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for this condition 5 times; AND</w:t>
            </w:r>
            <w:r w:rsidRPr="00E106BD">
              <w:rPr>
                <w:rFonts w:ascii="Arial" w:hAnsi="Arial" w:cs="Arial"/>
                <w:sz w:val="16"/>
                <w:szCs w:val="16"/>
                <w:lang w:eastAsia="en-AU"/>
              </w:rPr>
              <w:br/>
              <w:t>Patient must not receive more than 16 weeks of treatment under this restriction; AND</w:t>
            </w:r>
            <w:r w:rsidRPr="00E106BD">
              <w:rPr>
                <w:rFonts w:ascii="Arial" w:hAnsi="Arial" w:cs="Arial"/>
                <w:sz w:val="16"/>
                <w:szCs w:val="16"/>
                <w:lang w:eastAsia="en-AU"/>
              </w:rPr>
              <w:br/>
              <w:t>The treatment must be given concomitantly with methotrexate at a dose of at least 7.5 mg weekly.</w:t>
            </w:r>
            <w:r w:rsidRPr="00E106BD">
              <w:rPr>
                <w:rFonts w:ascii="Arial" w:hAnsi="Arial" w:cs="Arial"/>
                <w:sz w:val="16"/>
                <w:szCs w:val="16"/>
                <w:lang w:eastAsia="en-AU"/>
              </w:rPr>
              <w:br/>
              <w:t>Patient must be aged 18 years or older.</w:t>
            </w:r>
            <w:r w:rsidRPr="00E106BD">
              <w:rPr>
                <w:rFonts w:ascii="Arial" w:hAnsi="Arial" w:cs="Arial"/>
                <w:sz w:val="16"/>
                <w:szCs w:val="16"/>
                <w:lang w:eastAsia="en-AU"/>
              </w:rPr>
              <w:br/>
              <w:t>An adequate response to treatment is defined as:</w:t>
            </w:r>
            <w:r w:rsidRPr="00E106BD">
              <w:rPr>
                <w:rFonts w:ascii="Arial" w:hAnsi="Arial" w:cs="Arial"/>
                <w:sz w:val="16"/>
                <w:szCs w:val="16"/>
                <w:lang w:eastAsia="en-AU"/>
              </w:rPr>
              <w:br/>
              <w:t>an ESR no greater than 25 mm per hour or a CRP level no greater than 15 mg per L or either marker reduced by at least 20% from baseline;</w:t>
            </w:r>
            <w:r w:rsidRPr="00E106BD">
              <w:rPr>
                <w:rFonts w:ascii="Arial" w:hAnsi="Arial" w:cs="Arial"/>
                <w:sz w:val="16"/>
                <w:szCs w:val="16"/>
                <w:lang w:eastAsia="en-AU"/>
              </w:rPr>
              <w:br/>
              <w:t>AND either of the following:</w:t>
            </w:r>
            <w:r w:rsidRPr="00E106BD">
              <w:rPr>
                <w:rFonts w:ascii="Arial" w:hAnsi="Arial" w:cs="Arial"/>
                <w:sz w:val="16"/>
                <w:szCs w:val="16"/>
                <w:lang w:eastAsia="en-AU"/>
              </w:rPr>
              <w:br/>
              <w:t>(a) a reduction in the total active (swollen and tender) joint count by at least 50% from baseline, where baseline is at least 20 active joints; or</w:t>
            </w:r>
            <w:r w:rsidRPr="00E106BD">
              <w:rPr>
                <w:rFonts w:ascii="Arial" w:hAnsi="Arial" w:cs="Arial"/>
                <w:sz w:val="16"/>
                <w:szCs w:val="16"/>
                <w:lang w:eastAsia="en-AU"/>
              </w:rPr>
              <w:br/>
              <w:t>(b) a reduction in the number of the following active joints, from at least 4, by at least 50%:</w:t>
            </w:r>
            <w:r w:rsidRPr="00E106BD">
              <w:rPr>
                <w:rFonts w:ascii="Arial" w:hAnsi="Arial" w:cs="Arial"/>
                <w:sz w:val="16"/>
                <w:szCs w:val="16"/>
                <w:lang w:eastAsia="en-AU"/>
              </w:rPr>
              <w:br/>
              <w:t>(i) elbow, wrist, knee and/or ankle (assessed as swollen and tender); and/or</w:t>
            </w:r>
            <w:r w:rsidRPr="00E106BD">
              <w:rPr>
                <w:rFonts w:ascii="Arial" w:hAnsi="Arial" w:cs="Arial"/>
                <w:sz w:val="16"/>
                <w:szCs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An application for a patient who has received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and who wishes to re</w:t>
            </w:r>
            <w:r w:rsidR="00E106BD">
              <w:rPr>
                <w:rFonts w:ascii="Arial" w:hAnsi="Arial" w:cs="Arial"/>
                <w:sz w:val="16"/>
                <w:szCs w:val="16"/>
                <w:lang w:eastAsia="en-AU"/>
              </w:rPr>
              <w:noBreakHyphen/>
            </w:r>
            <w:r w:rsidRPr="00E106BD">
              <w:rPr>
                <w:rFonts w:ascii="Arial" w:hAnsi="Arial" w:cs="Arial"/>
                <w:sz w:val="16"/>
                <w:szCs w:val="16"/>
                <w:lang w:eastAsia="en-AU"/>
              </w:rPr>
              <w:t>commence therapy with this drug, must be accompanied by evidence of a response to the patient</w:t>
            </w:r>
            <w:r w:rsidR="00A653CA">
              <w:rPr>
                <w:rFonts w:ascii="Arial" w:hAnsi="Arial" w:cs="Arial"/>
                <w:sz w:val="16"/>
                <w:szCs w:val="16"/>
                <w:lang w:eastAsia="en-AU"/>
              </w:rPr>
              <w:t>’</w:t>
            </w:r>
            <w:r w:rsidRPr="00E106BD">
              <w:rPr>
                <w:rFonts w:ascii="Arial" w:hAnsi="Arial" w:cs="Arial"/>
                <w:sz w:val="16"/>
                <w:szCs w:val="16"/>
                <w:lang w:eastAsia="en-AU"/>
              </w:rPr>
              <w:t>s most recent course of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within the timeframes specified below.</w:t>
            </w:r>
            <w:r w:rsidRPr="00E106BD">
              <w:rPr>
                <w:rFonts w:ascii="Arial" w:hAnsi="Arial" w:cs="Arial"/>
                <w:sz w:val="16"/>
                <w:szCs w:val="16"/>
                <w:lang w:eastAsia="en-AU"/>
              </w:rPr>
              <w:br/>
              <w:t>Where the most recent course of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was approved under either of the Initial 1, Initial 2, Initial 3, or continuing treatment restrictions, it is recommended that an assessment of a patient</w:t>
            </w:r>
            <w:r w:rsidR="00A653CA">
              <w:rPr>
                <w:rFonts w:ascii="Arial" w:hAnsi="Arial" w:cs="Arial"/>
                <w:sz w:val="16"/>
                <w:szCs w:val="16"/>
                <w:lang w:eastAsia="en-AU"/>
              </w:rPr>
              <w:t>’</w:t>
            </w:r>
            <w:r w:rsidRPr="00E106BD">
              <w:rPr>
                <w:rFonts w:ascii="Arial" w:hAnsi="Arial" w:cs="Arial"/>
                <w:sz w:val="16"/>
                <w:szCs w:val="16"/>
                <w:lang w:eastAsia="en-AU"/>
              </w:rPr>
              <w:t>s response is conducted following a minimum of 12 weeks of therapy and no later than 4 weeks from the completion of the most recent course of treatment.</w:t>
            </w:r>
            <w:r w:rsidRPr="00E106BD">
              <w:rPr>
                <w:rFonts w:ascii="Arial" w:hAnsi="Arial" w:cs="Arial"/>
                <w:sz w:val="16"/>
                <w:szCs w:val="16"/>
                <w:lang w:eastAsia="en-AU"/>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lang w:eastAsia="en-AU"/>
              </w:rPr>
              <w:br/>
              <w:t>At the time of authority application, medical practitioners should request the appropriate number of vials to provide sufficient drug, based on the weight of the patient, for a single infusion.</w:t>
            </w:r>
            <w:r w:rsidRPr="00E106BD">
              <w:rPr>
                <w:rFonts w:ascii="Arial" w:hAnsi="Arial" w:cs="Arial"/>
                <w:sz w:val="16"/>
                <w:szCs w:val="16"/>
                <w:lang w:eastAsia="en-AU"/>
              </w:rPr>
              <w:br/>
              <w:t>Up to a maximum of 4 repeats will be authorised.</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a completed authority prescription form(s); and</w:t>
            </w:r>
            <w:r w:rsidRPr="00E106BD">
              <w:rPr>
                <w:rFonts w:ascii="Arial" w:hAnsi="Arial" w:cs="Arial"/>
                <w:sz w:val="16"/>
                <w:szCs w:val="16"/>
                <w:lang w:eastAsia="en-AU"/>
              </w:rPr>
              <w:br/>
              <w:t xml:space="preserve">(2) a completed Rheumatoid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If a patient fails to demonstrate a response to treatment with this drug under this restriction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A patient who has demonstrated a response to a course of rituximab must have a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therapy treatment</w:t>
            </w:r>
            <w:r w:rsidR="00E106BD">
              <w:rPr>
                <w:rFonts w:ascii="Arial" w:hAnsi="Arial" w:cs="Arial"/>
                <w:sz w:val="16"/>
                <w:szCs w:val="16"/>
                <w:lang w:eastAsia="en-AU"/>
              </w:rPr>
              <w:noBreakHyphen/>
            </w:r>
            <w:r w:rsidRPr="00E106BD">
              <w:rPr>
                <w:rFonts w:ascii="Arial" w:hAnsi="Arial" w:cs="Arial"/>
                <w:sz w:val="16"/>
                <w:szCs w:val="16"/>
                <w:lang w:eastAsia="en-AU"/>
              </w:rPr>
              <w:t>free period of at least 22 weeks, immediately following the second infusion, before swapping to an alternate biological medicine.</w:t>
            </w:r>
          </w:p>
        </w:tc>
        <w:tc>
          <w:tcPr>
            <w:tcW w:w="2552" w:type="dxa"/>
            <w:shd w:val="clear" w:color="auto" w:fill="auto"/>
            <w:tcMar>
              <w:top w:w="28" w:type="dxa"/>
              <w:left w:w="28" w:type="dxa"/>
              <w:right w:w="57" w:type="dxa"/>
            </w:tcMar>
          </w:tcPr>
          <w:p w:rsidR="0060566A" w:rsidRPr="00E106BD" w:rsidDel="0060566A" w:rsidRDefault="0060566A" w:rsidP="00DC20A5">
            <w:pPr>
              <w:spacing w:line="240" w:lineRule="auto"/>
              <w:rPr>
                <w:rFonts w:ascii="Arial" w:hAnsi="Arial" w:cs="Arial"/>
                <w:sz w:val="16"/>
                <w:szCs w:val="16"/>
              </w:rPr>
            </w:pPr>
            <w:r w:rsidRPr="00E106BD">
              <w:rPr>
                <w:rFonts w:ascii="Arial" w:hAnsi="Arial" w:cs="Arial"/>
                <w:sz w:val="16"/>
                <w:szCs w:val="16"/>
                <w:lang w:eastAsia="en-AU"/>
              </w:rPr>
              <w:t>Compliance with Written Authority Required procedures</w:t>
            </w:r>
          </w:p>
        </w:tc>
      </w:tr>
      <w:tr w:rsidR="003142D3" w:rsidRPr="00E106BD" w:rsidDel="003142D3" w:rsidTr="008929EB">
        <w:tblPrEx>
          <w:tblLook w:val="01E0" w:firstRow="1" w:lastRow="1" w:firstColumn="1" w:lastColumn="1" w:noHBand="0" w:noVBand="0"/>
        </w:tblPrEx>
        <w:tc>
          <w:tcPr>
            <w:tcW w:w="1729" w:type="dxa"/>
            <w:shd w:val="clear" w:color="auto" w:fill="auto"/>
            <w:tcMar>
              <w:top w:w="28" w:type="dxa"/>
              <w:left w:w="28" w:type="dxa"/>
            </w:tcMar>
          </w:tcPr>
          <w:p w:rsidR="003142D3" w:rsidRPr="00E106BD" w:rsidDel="003142D3" w:rsidRDefault="003142D3" w:rsidP="00881477">
            <w:pPr>
              <w:spacing w:line="240" w:lineRule="auto"/>
              <w:rPr>
                <w:rFonts w:ascii="Arial" w:hAnsi="Arial" w:cs="Arial"/>
                <w:sz w:val="16"/>
                <w:szCs w:val="16"/>
              </w:rPr>
            </w:pPr>
          </w:p>
        </w:tc>
        <w:tc>
          <w:tcPr>
            <w:tcW w:w="709" w:type="dxa"/>
            <w:shd w:val="clear" w:color="auto" w:fill="auto"/>
            <w:tcMar>
              <w:top w:w="28" w:type="dxa"/>
              <w:left w:w="28" w:type="dxa"/>
            </w:tcMar>
          </w:tcPr>
          <w:p w:rsidR="003142D3" w:rsidRPr="00E106BD" w:rsidDel="003142D3" w:rsidRDefault="003142D3" w:rsidP="00881477">
            <w:pPr>
              <w:spacing w:line="240" w:lineRule="auto"/>
              <w:rPr>
                <w:rFonts w:ascii="Arial" w:hAnsi="Arial" w:cs="Arial"/>
                <w:sz w:val="16"/>
                <w:szCs w:val="16"/>
              </w:rPr>
            </w:pPr>
            <w:r w:rsidRPr="00E106BD">
              <w:rPr>
                <w:rFonts w:ascii="Arial" w:hAnsi="Arial" w:cs="Arial"/>
                <w:sz w:val="16"/>
                <w:szCs w:val="16"/>
                <w:lang w:eastAsia="en-AU"/>
              </w:rPr>
              <w:t>C8759</w:t>
            </w:r>
          </w:p>
        </w:tc>
        <w:tc>
          <w:tcPr>
            <w:tcW w:w="709" w:type="dxa"/>
            <w:shd w:val="clear" w:color="auto" w:fill="auto"/>
            <w:tcMar>
              <w:top w:w="28" w:type="dxa"/>
              <w:left w:w="28" w:type="dxa"/>
            </w:tcMar>
          </w:tcPr>
          <w:p w:rsidR="003142D3" w:rsidRPr="00E106BD" w:rsidDel="003142D3" w:rsidRDefault="003142D3" w:rsidP="00881477">
            <w:pPr>
              <w:spacing w:line="240" w:lineRule="auto"/>
              <w:rPr>
                <w:rFonts w:ascii="Arial" w:hAnsi="Arial" w:cs="Arial"/>
                <w:sz w:val="16"/>
                <w:szCs w:val="16"/>
              </w:rPr>
            </w:pPr>
          </w:p>
        </w:tc>
        <w:tc>
          <w:tcPr>
            <w:tcW w:w="7654" w:type="dxa"/>
            <w:shd w:val="clear" w:color="auto" w:fill="auto"/>
            <w:tcMar>
              <w:top w:w="28" w:type="dxa"/>
              <w:left w:w="28" w:type="dxa"/>
            </w:tcMar>
          </w:tcPr>
          <w:p w:rsidR="003142D3" w:rsidRPr="00E106BD" w:rsidDel="003142D3" w:rsidRDefault="003142D3" w:rsidP="00881477">
            <w:pPr>
              <w:spacing w:line="240" w:lineRule="auto"/>
              <w:rPr>
                <w:rFonts w:ascii="Arial" w:hAnsi="Arial" w:cs="Arial"/>
                <w:sz w:val="16"/>
                <w:szCs w:val="16"/>
              </w:rPr>
            </w:pPr>
            <w:r w:rsidRPr="00E106BD">
              <w:rPr>
                <w:rFonts w:ascii="Arial" w:hAnsi="Arial" w:cs="Arial"/>
                <w:sz w:val="16"/>
                <w:szCs w:val="16"/>
                <w:lang w:eastAsia="en-AU"/>
              </w:rPr>
              <w:t>Severe active rheumatoid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1 (new patient)</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Must be treated by a clinical immunologist with expertise in the management of rheumatoid arthritis.</w:t>
            </w:r>
            <w:r w:rsidRPr="00E106BD">
              <w:rPr>
                <w:rFonts w:ascii="Arial" w:hAnsi="Arial" w:cs="Arial"/>
                <w:sz w:val="16"/>
                <w:szCs w:val="16"/>
                <w:lang w:eastAsia="en-AU"/>
              </w:rPr>
              <w:br/>
              <w:t>Patient must not have received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 AND</w:t>
            </w:r>
            <w:r w:rsidRPr="00E106BD">
              <w:rPr>
                <w:rFonts w:ascii="Arial" w:hAnsi="Arial" w:cs="Arial"/>
                <w:sz w:val="16"/>
                <w:szCs w:val="16"/>
                <w:lang w:eastAsia="en-AU"/>
              </w:rPr>
              <w:br/>
              <w:t>Patient must have failed, in the 24 months immediately prior to the date of the application, to achieve an adequate response to a trial of at least 6 months of intensive treatment with disease modifying anti</w:t>
            </w:r>
            <w:r w:rsidR="00E106BD">
              <w:rPr>
                <w:rFonts w:ascii="Arial" w:hAnsi="Arial" w:cs="Arial"/>
                <w:sz w:val="16"/>
                <w:szCs w:val="16"/>
                <w:lang w:eastAsia="en-AU"/>
              </w:rPr>
              <w:noBreakHyphen/>
            </w:r>
            <w:r w:rsidRPr="00E106BD">
              <w:rPr>
                <w:rFonts w:ascii="Arial" w:hAnsi="Arial" w:cs="Arial"/>
                <w:sz w:val="16"/>
                <w:szCs w:val="16"/>
                <w:lang w:eastAsia="en-AU"/>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ascii="Arial" w:hAnsi="Arial" w:cs="Arial"/>
                <w:sz w:val="16"/>
                <w:szCs w:val="16"/>
                <w:lang w:eastAsia="en-AU"/>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sidR="00E106BD">
              <w:rPr>
                <w:rFonts w:ascii="Arial" w:hAnsi="Arial" w:cs="Arial"/>
                <w:sz w:val="16"/>
                <w:szCs w:val="16"/>
                <w:lang w:eastAsia="en-AU"/>
              </w:rPr>
              <w:noBreakHyphen/>
            </w:r>
            <w:r w:rsidRPr="00E106BD">
              <w:rPr>
                <w:rFonts w:ascii="Arial" w:hAnsi="Arial" w:cs="Arial"/>
                <w:sz w:val="16"/>
                <w:szCs w:val="16"/>
                <w:lang w:eastAsia="en-AU"/>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ascii="Arial" w:hAnsi="Arial" w:cs="Arial"/>
                <w:sz w:val="16"/>
                <w:szCs w:val="16"/>
                <w:lang w:eastAsia="en-AU"/>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sidR="00E106BD">
              <w:rPr>
                <w:rFonts w:ascii="Arial" w:hAnsi="Arial" w:cs="Arial"/>
                <w:sz w:val="16"/>
                <w:szCs w:val="16"/>
                <w:lang w:eastAsia="en-AU"/>
              </w:rPr>
              <w:noBreakHyphen/>
            </w:r>
            <w:r w:rsidRPr="00E106BD">
              <w:rPr>
                <w:rFonts w:ascii="Arial" w:hAnsi="Arial" w:cs="Arial"/>
                <w:sz w:val="16"/>
                <w:szCs w:val="16"/>
                <w:lang w:eastAsia="en-AU"/>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ascii="Arial" w:hAnsi="Arial" w:cs="Arial"/>
                <w:sz w:val="16"/>
                <w:szCs w:val="16"/>
                <w:lang w:eastAsia="en-AU"/>
              </w:rPr>
              <w:br/>
              <w:t>Patient must not receive more than 16 weeks of treatment under this restriction; AND</w:t>
            </w:r>
            <w:r w:rsidRPr="00E106BD">
              <w:rPr>
                <w:rFonts w:ascii="Arial" w:hAnsi="Arial" w:cs="Arial"/>
                <w:sz w:val="16"/>
                <w:szCs w:val="16"/>
                <w:lang w:eastAsia="en-AU"/>
              </w:rPr>
              <w:br/>
              <w:t>The treatment must be given concomitantly with methotrexate at a dose of at least 7.5 mg weekly.</w:t>
            </w:r>
            <w:r w:rsidRPr="00E106BD">
              <w:rPr>
                <w:rFonts w:ascii="Arial" w:hAnsi="Arial" w:cs="Arial"/>
                <w:sz w:val="16"/>
                <w:szCs w:val="16"/>
                <w:lang w:eastAsia="en-AU"/>
              </w:rPr>
              <w:br/>
              <w:t>Patient must be aged 18 years or older.</w:t>
            </w:r>
            <w:r w:rsidRPr="00E106BD">
              <w:rPr>
                <w:rFonts w:ascii="Arial" w:hAnsi="Arial" w:cs="Arial"/>
                <w:sz w:val="16"/>
                <w:szCs w:val="16"/>
                <w:lang w:eastAsia="en-AU"/>
              </w:rPr>
              <w:br/>
              <w:t>If methotrexate is contraindicated according to the TGA</w:t>
            </w:r>
            <w:r w:rsidR="00E106BD">
              <w:rPr>
                <w:rFonts w:ascii="Arial" w:hAnsi="Arial" w:cs="Arial"/>
                <w:sz w:val="16"/>
                <w:szCs w:val="16"/>
                <w:lang w:eastAsia="en-AU"/>
              </w:rPr>
              <w:noBreakHyphen/>
            </w:r>
            <w:r w:rsidRPr="00E106BD">
              <w:rPr>
                <w:rFonts w:ascii="Arial" w:hAnsi="Arial" w:cs="Arial"/>
                <w:sz w:val="16"/>
                <w:szCs w:val="16"/>
                <w:lang w:eastAsia="en-AU"/>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E106BD">
              <w:rPr>
                <w:rFonts w:ascii="Arial" w:hAnsi="Arial" w:cs="Arial"/>
                <w:sz w:val="16"/>
                <w:szCs w:val="16"/>
                <w:lang w:eastAsia="en-AU"/>
              </w:rPr>
              <w:br/>
              <w:t>The application must include details of the DMARDs trialled, their doses and duration of treatment, and all relevant contraindications and/or intolerances including severity.</w:t>
            </w:r>
            <w:r w:rsidRPr="00E106BD">
              <w:rPr>
                <w:rFonts w:ascii="Arial" w:hAnsi="Arial" w:cs="Arial"/>
                <w:sz w:val="16"/>
                <w:szCs w:val="16"/>
                <w:lang w:eastAsia="en-AU"/>
              </w:rPr>
              <w:br/>
              <w:t>The requirement to trial at least 2 DMARDs for periods of at least 3 months each can be met using single agents sequentially or by using one or more combinations of DMARDs.</w:t>
            </w:r>
            <w:r w:rsidRPr="00E106BD">
              <w:rPr>
                <w:rFonts w:ascii="Arial" w:hAnsi="Arial" w:cs="Arial"/>
                <w:sz w:val="16"/>
                <w:szCs w:val="16"/>
                <w:lang w:eastAsia="en-AU"/>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E106BD">
              <w:rPr>
                <w:rFonts w:ascii="Arial" w:hAnsi="Arial" w:cs="Arial"/>
                <w:sz w:val="16"/>
                <w:szCs w:val="16"/>
                <w:lang w:eastAsia="en-AU"/>
              </w:rPr>
              <w:br/>
              <w:t>The following criteria indicate failure to achieve an adequate response and must be demonstrated in all patients at the time of the initial application:</w:t>
            </w:r>
            <w:r w:rsidRPr="00E106BD">
              <w:rPr>
                <w:rFonts w:ascii="Arial" w:hAnsi="Arial" w:cs="Arial"/>
                <w:sz w:val="16"/>
                <w:szCs w:val="16"/>
                <w:lang w:eastAsia="en-AU"/>
              </w:rPr>
              <w:br/>
              <w:t>an elevated erythrocyte sedimentation rate (ESR) greater than 25 mm per hour or a C</w:t>
            </w:r>
            <w:r w:rsidR="00E106BD">
              <w:rPr>
                <w:rFonts w:ascii="Arial" w:hAnsi="Arial" w:cs="Arial"/>
                <w:sz w:val="16"/>
                <w:szCs w:val="16"/>
                <w:lang w:eastAsia="en-AU"/>
              </w:rPr>
              <w:noBreakHyphen/>
            </w:r>
            <w:r w:rsidRPr="00E106BD">
              <w:rPr>
                <w:rFonts w:ascii="Arial" w:hAnsi="Arial" w:cs="Arial"/>
                <w:sz w:val="16"/>
                <w:szCs w:val="16"/>
                <w:lang w:eastAsia="en-AU"/>
              </w:rPr>
              <w:t>reactive protein (CRP) level greater than 15 mg per L; AND either</w:t>
            </w:r>
            <w:r w:rsidRPr="00E106BD">
              <w:rPr>
                <w:rFonts w:ascii="Arial" w:hAnsi="Arial" w:cs="Arial"/>
                <w:sz w:val="16"/>
                <w:szCs w:val="16"/>
                <w:lang w:eastAsia="en-AU"/>
              </w:rPr>
              <w:br/>
              <w:t>(a) a total active joint count of at least 20 active (swollen and tender) joints; or</w:t>
            </w:r>
            <w:r w:rsidRPr="00E106BD">
              <w:rPr>
                <w:rFonts w:ascii="Arial" w:hAnsi="Arial" w:cs="Arial"/>
                <w:sz w:val="16"/>
                <w:szCs w:val="16"/>
                <w:lang w:eastAsia="en-AU"/>
              </w:rPr>
              <w:br/>
              <w:t>(b) at least 4 active joints from the following list of major joints:</w:t>
            </w:r>
            <w:r w:rsidRPr="00E106BD">
              <w:rPr>
                <w:rFonts w:ascii="Arial" w:hAnsi="Arial" w:cs="Arial"/>
                <w:sz w:val="16"/>
                <w:szCs w:val="16"/>
                <w:lang w:eastAsia="en-AU"/>
              </w:rPr>
              <w:br/>
              <w:t>(i) elbow, wrist, knee and/or ankle (assessed as swollen and tender); and/or</w:t>
            </w:r>
            <w:r w:rsidRPr="00E106BD">
              <w:rPr>
                <w:rFonts w:ascii="Arial" w:hAnsi="Arial" w:cs="Arial"/>
                <w:sz w:val="16"/>
                <w:szCs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The joint count and ESR and/or CRP must be determined at the completion of the 6 month intensive DMARD trial, but prior to ceasing DMARD therapy. All measures must be no more than one month old at the time of initial application.</w:t>
            </w:r>
            <w:r w:rsidRPr="00E106BD">
              <w:rPr>
                <w:rFonts w:ascii="Arial" w:hAnsi="Arial" w:cs="Arial"/>
                <w:sz w:val="16"/>
                <w:szCs w:val="16"/>
                <w:lang w:eastAsia="en-AU"/>
              </w:rPr>
              <w:br/>
              <w:t>If the above requirement to demonstrate an elevated ESR or CRP cannot be met, the application must state the reasons why this criterion cannot be satisfied.</w:t>
            </w:r>
            <w:r w:rsidRPr="00E106BD">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lang w:eastAsia="en-AU"/>
              </w:rPr>
              <w:br/>
              <w:t>At the time of authority application, medical practitioners should request the appropriate number of vials to provide sufficient drug, based on the weight of the patient, for a single infusion.</w:t>
            </w:r>
            <w:r w:rsidRPr="00E106BD">
              <w:rPr>
                <w:rFonts w:ascii="Arial" w:hAnsi="Arial" w:cs="Arial"/>
                <w:sz w:val="16"/>
                <w:szCs w:val="16"/>
                <w:lang w:eastAsia="en-AU"/>
              </w:rPr>
              <w:br/>
              <w:t>Up to a maximum of 4 repeats will be authorised.</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a completed authority prescription form(s); and</w:t>
            </w:r>
            <w:r w:rsidRPr="00E106BD">
              <w:rPr>
                <w:rFonts w:ascii="Arial" w:hAnsi="Arial" w:cs="Arial"/>
                <w:sz w:val="16"/>
                <w:szCs w:val="16"/>
                <w:lang w:eastAsia="en-AU"/>
              </w:rPr>
              <w:br/>
              <w:t xml:space="preserve">(2) a completed Rheumatoid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It is recommended that an assessment of a patient</w:t>
            </w:r>
            <w:r w:rsidR="00A653CA">
              <w:rPr>
                <w:rFonts w:ascii="Arial" w:hAnsi="Arial" w:cs="Arial"/>
                <w:sz w:val="16"/>
                <w:szCs w:val="16"/>
                <w:lang w:eastAsia="en-AU"/>
              </w:rPr>
              <w:t>’</w:t>
            </w:r>
            <w:r w:rsidRPr="00E106BD">
              <w:rPr>
                <w:rFonts w:ascii="Arial" w:hAnsi="Arial" w:cs="Arial"/>
                <w:sz w:val="16"/>
                <w:szCs w:val="16"/>
                <w:lang w:eastAsia="en-AU"/>
              </w:rPr>
              <w:t>s response is conducted following a minimum of 12 weeks of therapy and no later than 4 weeks from the completion of the most recent course of treatment.</w:t>
            </w:r>
            <w:r w:rsidRPr="00E106BD">
              <w:rPr>
                <w:rFonts w:ascii="Arial" w:hAnsi="Arial" w:cs="Arial"/>
                <w:sz w:val="16"/>
                <w:szCs w:val="16"/>
                <w:lang w:eastAsia="en-AU"/>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lang w:eastAsia="en-AU"/>
              </w:rPr>
              <w:br/>
              <w:t>If a patient fails to demonstrate a response to treatment with this drug under this restriction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p>
        </w:tc>
        <w:tc>
          <w:tcPr>
            <w:tcW w:w="2552" w:type="dxa"/>
            <w:shd w:val="clear" w:color="auto" w:fill="auto"/>
            <w:tcMar>
              <w:top w:w="28" w:type="dxa"/>
              <w:left w:w="28" w:type="dxa"/>
              <w:right w:w="57" w:type="dxa"/>
            </w:tcMar>
          </w:tcPr>
          <w:p w:rsidR="003142D3" w:rsidRPr="00E106BD" w:rsidDel="003142D3" w:rsidRDefault="003142D3" w:rsidP="00DC20A5">
            <w:pPr>
              <w:spacing w:line="240" w:lineRule="auto"/>
              <w:rPr>
                <w:rFonts w:ascii="Arial" w:hAnsi="Arial" w:cs="Arial"/>
                <w:sz w:val="16"/>
                <w:szCs w:val="16"/>
              </w:rPr>
            </w:pPr>
            <w:r w:rsidRPr="00E106BD">
              <w:rPr>
                <w:rFonts w:ascii="Arial" w:hAnsi="Arial" w:cs="Arial"/>
                <w:sz w:val="16"/>
                <w:szCs w:val="16"/>
                <w:lang w:eastAsia="en-AU"/>
              </w:rPr>
              <w:t>Compliance with Written Authority Required procedures</w:t>
            </w:r>
          </w:p>
        </w:tc>
      </w:tr>
      <w:tr w:rsidR="00FD2A11" w:rsidRPr="00E106BD" w:rsidDel="00447DAD" w:rsidTr="008929EB">
        <w:tc>
          <w:tcPr>
            <w:tcW w:w="1729"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bookmarkStart w:id="82" w:name="CU_19156343"/>
            <w:bookmarkStart w:id="83" w:name="CU_22165068"/>
            <w:bookmarkStart w:id="84" w:name="CU_23165700"/>
            <w:bookmarkEnd w:id="82"/>
            <w:bookmarkEnd w:id="83"/>
            <w:bookmarkEnd w:id="84"/>
            <w:r w:rsidRPr="00E106BD">
              <w:rPr>
                <w:rFonts w:ascii="Arial" w:hAnsi="Arial" w:cs="Arial"/>
                <w:sz w:val="16"/>
                <w:szCs w:val="16"/>
              </w:rPr>
              <w:t>Adalimumab</w:t>
            </w:r>
          </w:p>
        </w:tc>
        <w:tc>
          <w:tcPr>
            <w:tcW w:w="709"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C9384</w:t>
            </w:r>
          </w:p>
        </w:tc>
        <w:tc>
          <w:tcPr>
            <w:tcW w:w="709"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Severe active juvenile idiopathic arthritis</w:t>
            </w:r>
            <w:r w:rsidRPr="00E106BD">
              <w:rPr>
                <w:rFonts w:ascii="Arial" w:hAnsi="Arial" w:cs="Arial"/>
                <w:sz w:val="16"/>
                <w:szCs w:val="16"/>
                <w:lang w:eastAsia="en-AU"/>
              </w:rPr>
              <w:br/>
              <w:t xml:space="preserve">Continuing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balance of supply</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Patient must be undergoing treatment under the supervision of a paediatric rheumatology treatment centre.</w:t>
            </w:r>
            <w:r w:rsidRPr="00E106BD">
              <w:rPr>
                <w:rFonts w:ascii="Arial" w:hAnsi="Arial" w:cs="Arial"/>
                <w:sz w:val="16"/>
                <w:szCs w:val="16"/>
                <w:lang w:eastAsia="en-AU"/>
              </w:rPr>
              <w:br/>
              <w:t>Patient must have received insufficient therapy with this drug for this condition under the continuing treatment restriction to complete 24 weeks treatment; AND</w:t>
            </w:r>
            <w:r w:rsidRPr="00E106BD">
              <w:rPr>
                <w:rFonts w:ascii="Arial" w:hAnsi="Arial" w:cs="Arial"/>
                <w:sz w:val="16"/>
                <w:szCs w:val="16"/>
                <w:lang w:eastAsia="en-AU"/>
              </w:rPr>
              <w:br/>
              <w:t>The treatment must provide no more than the balance of up to 24 weeks treatment available under the above restriction.</w:t>
            </w:r>
          </w:p>
        </w:tc>
        <w:tc>
          <w:tcPr>
            <w:tcW w:w="2552" w:type="dxa"/>
            <w:tcBorders>
              <w:bottom w:val="single" w:sz="4" w:space="0" w:color="auto"/>
            </w:tcBorders>
            <w:shd w:val="clear" w:color="auto" w:fill="auto"/>
            <w:tcMar>
              <w:top w:w="28" w:type="dxa"/>
              <w:left w:w="28" w:type="dxa"/>
              <w:right w:w="57" w:type="dxa"/>
            </w:tcMar>
          </w:tcPr>
          <w:p w:rsidR="00FD2A11" w:rsidRPr="00E106BD" w:rsidRDefault="00FD2A11" w:rsidP="00103591">
            <w:pPr>
              <w:spacing w:line="240" w:lineRule="auto"/>
              <w:rPr>
                <w:rFonts w:ascii="Arial" w:hAnsi="Arial" w:cs="Arial"/>
                <w:sz w:val="16"/>
                <w:szCs w:val="16"/>
              </w:rPr>
            </w:pPr>
            <w:r w:rsidRPr="00E106BD">
              <w:rPr>
                <w:rFonts w:ascii="Arial" w:hAnsi="Arial" w:cs="Arial"/>
                <w:sz w:val="16"/>
                <w:szCs w:val="16"/>
                <w:lang w:eastAsia="en-AU"/>
              </w:rPr>
              <w:t>Compliance with Authority Required procedures</w:t>
            </w:r>
          </w:p>
        </w:tc>
      </w:tr>
      <w:tr w:rsidR="00FD2A11" w:rsidRPr="00E106BD" w:rsidDel="00447DAD" w:rsidTr="008929EB">
        <w:tc>
          <w:tcPr>
            <w:tcW w:w="1729"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C9417</w:t>
            </w:r>
          </w:p>
        </w:tc>
        <w:tc>
          <w:tcPr>
            <w:tcW w:w="709"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Severe active juvenile idiopathic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1 (new patient) or Initial 2 (change or recommencement of treatment after a break in biological medicine of less than 12 months) or Initial 3 (recommencement of treatment after a break in biological medicine of more than 12 months) </w:t>
            </w:r>
            <w:r w:rsidR="00E106BD">
              <w:rPr>
                <w:rFonts w:ascii="Arial" w:hAnsi="Arial" w:cs="Arial"/>
                <w:sz w:val="16"/>
                <w:szCs w:val="16"/>
                <w:lang w:eastAsia="en-AU"/>
              </w:rPr>
              <w:noBreakHyphen/>
            </w:r>
            <w:r w:rsidRPr="00E106BD">
              <w:rPr>
                <w:rFonts w:ascii="Arial" w:hAnsi="Arial" w:cs="Arial"/>
                <w:sz w:val="16"/>
                <w:szCs w:val="16"/>
                <w:lang w:eastAsia="en-AU"/>
              </w:rPr>
              <w:t xml:space="preserve"> balance of supply</w:t>
            </w:r>
            <w:r w:rsidRPr="00E106BD">
              <w:rPr>
                <w:rFonts w:ascii="Arial" w:hAnsi="Arial" w:cs="Arial"/>
                <w:sz w:val="16"/>
                <w:szCs w:val="16"/>
                <w:lang w:eastAsia="en-AU"/>
              </w:rPr>
              <w:br/>
              <w:t>Must be treated by a paediatric rheumatologist; OR</w:t>
            </w:r>
            <w:r w:rsidRPr="00E106BD">
              <w:rPr>
                <w:rFonts w:ascii="Arial" w:hAnsi="Arial" w:cs="Arial"/>
                <w:sz w:val="16"/>
                <w:szCs w:val="16"/>
                <w:lang w:eastAsia="en-AU"/>
              </w:rPr>
              <w:br/>
              <w:t>Patient must be undergoing treatment under the supervision of a paediatric rheumatology treatment centre.</w:t>
            </w:r>
            <w:r w:rsidRPr="00E106BD">
              <w:rPr>
                <w:rFonts w:ascii="Arial" w:hAnsi="Arial" w:cs="Arial"/>
                <w:sz w:val="16"/>
                <w:szCs w:val="16"/>
                <w:lang w:eastAsia="en-AU"/>
              </w:rPr>
              <w:br/>
              <w:t>Patient must have received insufficient therapy with this drug for this condition under the Initial 1 (new patient) restriction to complete 16 weeks treatment; OR</w:t>
            </w:r>
            <w:r w:rsidRPr="00E106BD">
              <w:rPr>
                <w:rFonts w:ascii="Arial" w:hAnsi="Arial" w:cs="Arial"/>
                <w:sz w:val="16"/>
                <w:szCs w:val="16"/>
                <w:lang w:eastAsia="en-AU"/>
              </w:rPr>
              <w:br/>
              <w:t>Patient must have received insufficient therapy with this drug for this condition under the Initial 2 (change or recommencement of treatment after a break in biological medicine of less than 12 months) restriction to complete 16 weeks treatment; OR</w:t>
            </w:r>
            <w:r w:rsidRPr="00E106BD">
              <w:rPr>
                <w:rFonts w:ascii="Arial" w:hAnsi="Arial" w:cs="Arial"/>
                <w:sz w:val="16"/>
                <w:szCs w:val="16"/>
                <w:lang w:eastAsia="en-AU"/>
              </w:rPr>
              <w:br/>
              <w:t>Patient must have received insufficient therapy with this drug for this condition under the Initial 3 (recommencement of treatment after a break in biological medicine of more than 12 months) restriction to complete 16 weeks treatment; AND</w:t>
            </w:r>
            <w:r w:rsidRPr="00E106BD">
              <w:rPr>
                <w:rFonts w:ascii="Arial" w:hAnsi="Arial" w:cs="Arial"/>
                <w:sz w:val="16"/>
                <w:szCs w:val="16"/>
                <w:lang w:eastAsia="en-AU"/>
              </w:rPr>
              <w:br/>
              <w:t>The treatment must provide no more than the balance of up to 16 weeks treatment available under the above restrictions.</w:t>
            </w:r>
          </w:p>
        </w:tc>
        <w:tc>
          <w:tcPr>
            <w:tcW w:w="2552" w:type="dxa"/>
            <w:tcBorders>
              <w:bottom w:val="single" w:sz="4" w:space="0" w:color="auto"/>
            </w:tcBorders>
            <w:shd w:val="clear" w:color="auto" w:fill="auto"/>
            <w:tcMar>
              <w:top w:w="28" w:type="dxa"/>
              <w:left w:w="28" w:type="dxa"/>
              <w:right w:w="57" w:type="dxa"/>
            </w:tcMar>
          </w:tcPr>
          <w:p w:rsidR="00FD2A11" w:rsidRPr="00E106BD" w:rsidRDefault="00FD2A11" w:rsidP="00103591">
            <w:pPr>
              <w:spacing w:line="240" w:lineRule="auto"/>
              <w:rPr>
                <w:rFonts w:ascii="Arial" w:hAnsi="Arial" w:cs="Arial"/>
                <w:sz w:val="16"/>
                <w:szCs w:val="16"/>
              </w:rPr>
            </w:pPr>
            <w:r w:rsidRPr="00E106BD">
              <w:rPr>
                <w:rFonts w:ascii="Arial" w:hAnsi="Arial" w:cs="Arial"/>
                <w:sz w:val="16"/>
                <w:szCs w:val="16"/>
                <w:lang w:eastAsia="en-AU"/>
              </w:rPr>
              <w:t>Compliance with Authority Required procedures</w:t>
            </w:r>
          </w:p>
        </w:tc>
      </w:tr>
      <w:tr w:rsidR="00F05C1E" w:rsidRPr="00E106BD" w:rsidDel="00447DAD" w:rsidTr="008929EB">
        <w:tc>
          <w:tcPr>
            <w:tcW w:w="1729" w:type="dxa"/>
            <w:tcBorders>
              <w:bottom w:val="single" w:sz="4" w:space="0" w:color="auto"/>
            </w:tcBorders>
            <w:shd w:val="clear" w:color="auto" w:fill="auto"/>
            <w:tcMar>
              <w:top w:w="28" w:type="dxa"/>
              <w:left w:w="28" w:type="dxa"/>
            </w:tcMar>
          </w:tcPr>
          <w:p w:rsidR="00F05C1E" w:rsidRPr="00E106BD" w:rsidDel="00447DAD" w:rsidRDefault="00F05C1E" w:rsidP="00F05C1E">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C10582</w:t>
            </w:r>
          </w:p>
        </w:tc>
        <w:tc>
          <w:tcPr>
            <w:tcW w:w="70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Severe active juvenile idiopathic arthritis</w:t>
            </w:r>
            <w:r w:rsidRPr="00F05C1E">
              <w:rPr>
                <w:rFonts w:ascii="Arial" w:hAnsi="Arial" w:cs="Arial"/>
                <w:sz w:val="16"/>
                <w:szCs w:val="16"/>
                <w:lang w:eastAsia="en-AU"/>
              </w:rPr>
              <w:br/>
              <w:t>Initial treatment - Initial 2 (change or recommencement of treatment after a break in biological medicine of less than 12 months)</w:t>
            </w:r>
            <w:r w:rsidRPr="00F05C1E">
              <w:rPr>
                <w:rFonts w:ascii="Arial" w:hAnsi="Arial" w:cs="Arial"/>
                <w:sz w:val="16"/>
                <w:szCs w:val="16"/>
                <w:lang w:eastAsia="en-AU"/>
              </w:rPr>
              <w:br/>
              <w:t>Must be treated by a paediatric rheumatologist; OR</w:t>
            </w:r>
            <w:r w:rsidRPr="00F05C1E">
              <w:rPr>
                <w:rFonts w:ascii="Arial" w:hAnsi="Arial" w:cs="Arial"/>
                <w:sz w:val="16"/>
                <w:szCs w:val="16"/>
                <w:lang w:eastAsia="en-AU"/>
              </w:rPr>
              <w:br/>
              <w:t>Patient must be undergoing treatment under the supervision of a paediatric rheumatology treatment centre.</w:t>
            </w:r>
            <w:r w:rsidRPr="00F05C1E">
              <w:rPr>
                <w:rFonts w:ascii="Arial" w:hAnsi="Arial" w:cs="Arial"/>
                <w:sz w:val="16"/>
                <w:szCs w:val="16"/>
                <w:lang w:eastAsia="en-AU"/>
              </w:rPr>
              <w:br/>
              <w:t>Patient must have received prior PBS-subsidised treatment with a biological medicine for this condition in this treatment cycle; AND</w:t>
            </w:r>
            <w:r w:rsidRPr="00F05C1E">
              <w:rPr>
                <w:rFonts w:ascii="Arial" w:hAnsi="Arial" w:cs="Arial"/>
                <w:sz w:val="16"/>
                <w:szCs w:val="16"/>
                <w:lang w:eastAsia="en-AU"/>
              </w:rPr>
              <w:br/>
              <w:t>Patient must not have already failed, or ceased to respond to, PBS-subsidised treatment with this drug for this condition during the current treatment cycle; AND</w:t>
            </w:r>
            <w:r w:rsidRPr="00F05C1E">
              <w:rPr>
                <w:rFonts w:ascii="Arial" w:hAnsi="Arial" w:cs="Arial"/>
                <w:sz w:val="16"/>
                <w:szCs w:val="16"/>
                <w:lang w:eastAsia="en-AU"/>
              </w:rPr>
              <w:br/>
              <w:t>Patient must not receive more than 16 weeks of treatment under this restriction.</w:t>
            </w:r>
            <w:r w:rsidRPr="00F05C1E">
              <w:rPr>
                <w:rFonts w:ascii="Arial" w:hAnsi="Arial" w:cs="Arial"/>
                <w:sz w:val="16"/>
                <w:szCs w:val="16"/>
                <w:lang w:eastAsia="en-AU"/>
              </w:rPr>
              <w:br/>
              <w:t>An adequate response to treatment is defined as:</w:t>
            </w:r>
            <w:r w:rsidRPr="00F05C1E">
              <w:rPr>
                <w:rFonts w:ascii="Arial" w:hAnsi="Arial" w:cs="Arial"/>
                <w:sz w:val="16"/>
                <w:szCs w:val="16"/>
                <w:lang w:eastAsia="en-AU"/>
              </w:rPr>
              <w:br/>
              <w:t>(a) a reduction in the total active (swollen and tender) joint count by at least 50% from baseline, where baseline is at least 20 active joints; or</w:t>
            </w:r>
            <w:r w:rsidRPr="00F05C1E">
              <w:rPr>
                <w:rFonts w:ascii="Arial" w:hAnsi="Arial" w:cs="Arial"/>
                <w:sz w:val="16"/>
                <w:szCs w:val="16"/>
                <w:lang w:eastAsia="en-AU"/>
              </w:rPr>
              <w:br/>
              <w:t>(b) a reduction in the number of the following active joints, from at least 4, by at least 50%:</w:t>
            </w:r>
            <w:r w:rsidRPr="00F05C1E">
              <w:rPr>
                <w:rFonts w:ascii="Arial" w:hAnsi="Arial" w:cs="Arial"/>
                <w:sz w:val="16"/>
                <w:szCs w:val="16"/>
                <w:lang w:eastAsia="en-AU"/>
              </w:rPr>
              <w:br/>
              <w:t>(i) elbow, wrist, knee and/or ankle (assessed as swollen and tender); and/or</w:t>
            </w:r>
            <w:r w:rsidRPr="00F05C1E">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F05C1E">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3 repeats will be authorised.</w:t>
            </w:r>
            <w:r w:rsidRPr="00F05C1E">
              <w:rPr>
                <w:rFonts w:ascii="Arial" w:hAnsi="Arial" w:cs="Arial"/>
                <w:sz w:val="16"/>
                <w:szCs w:val="16"/>
                <w:lang w:eastAsia="en-AU"/>
              </w:rPr>
              <w:br/>
              <w:t>The authority application must be made in writing and must include:</w:t>
            </w:r>
            <w:r w:rsidRPr="00F05C1E">
              <w:rPr>
                <w:rFonts w:ascii="Arial" w:hAnsi="Arial" w:cs="Arial"/>
                <w:sz w:val="16"/>
                <w:szCs w:val="16"/>
                <w:lang w:eastAsia="en-AU"/>
              </w:rPr>
              <w:br/>
              <w:t>(1) completed authority prescription form(s); and</w:t>
            </w:r>
            <w:r w:rsidRPr="00F05C1E">
              <w:rPr>
                <w:rFonts w:ascii="Arial" w:hAnsi="Arial" w:cs="Arial"/>
                <w:sz w:val="16"/>
                <w:szCs w:val="16"/>
                <w:lang w:eastAsia="en-AU"/>
              </w:rPr>
              <w:br/>
              <w:t>(2) a completed Juvenile Idiopathic Arthritis PBS Authority Application - Supporting Information Form.</w:t>
            </w:r>
            <w:r w:rsidRPr="00F05C1E">
              <w:rPr>
                <w:rFonts w:ascii="Arial" w:hAnsi="Arial" w:cs="Arial"/>
                <w:sz w:val="16"/>
                <w:szCs w:val="16"/>
                <w:lang w:eastAsia="en-AU"/>
              </w:rPr>
              <w:br/>
              <w:t>An application for a patient who has received PBS-subsidised biological medicine treatment for this condition who wishes to change or recommence therapy with this drug, must be accompanied by evidence of a response to the patient</w:t>
            </w:r>
            <w:r w:rsidR="00A653CA">
              <w:rPr>
                <w:rFonts w:ascii="Arial" w:hAnsi="Arial" w:cs="Arial"/>
                <w:sz w:val="16"/>
                <w:szCs w:val="16"/>
                <w:lang w:eastAsia="en-AU"/>
              </w:rPr>
              <w:t>’</w:t>
            </w:r>
            <w:r w:rsidRPr="00F05C1E">
              <w:rPr>
                <w:rFonts w:ascii="Arial" w:hAnsi="Arial" w:cs="Arial"/>
                <w:sz w:val="16"/>
                <w:szCs w:val="16"/>
                <w:lang w:eastAsia="en-AU"/>
              </w:rPr>
              <w:t>s most recent course of PBS-subsidised biological medicine treatment, within the timeframes specified below.</w:t>
            </w:r>
            <w:r w:rsidRPr="00F05C1E">
              <w:rPr>
                <w:rFonts w:ascii="Arial" w:hAnsi="Arial" w:cs="Arial"/>
                <w:sz w:val="16"/>
                <w:szCs w:val="16"/>
                <w:lang w:eastAsia="en-AU"/>
              </w:rPr>
              <w:br/>
              <w:t>Where the most recent course of PBS-subsidised biological medicine treatment was approved under either Initial 1, Initial 2, Initial 3 or continuing treatment restrictions, an assessment of a patient</w:t>
            </w:r>
            <w:r w:rsidR="00A653CA">
              <w:rPr>
                <w:rFonts w:ascii="Arial" w:hAnsi="Arial" w:cs="Arial"/>
                <w:sz w:val="16"/>
                <w:szCs w:val="16"/>
                <w:lang w:eastAsia="en-AU"/>
              </w:rPr>
              <w:t>’</w:t>
            </w:r>
            <w:r w:rsidRPr="00F05C1E">
              <w:rPr>
                <w:rFonts w:ascii="Arial" w:hAnsi="Arial" w:cs="Arial"/>
                <w:sz w:val="16"/>
                <w:szCs w:val="16"/>
                <w:lang w:eastAsia="en-AU"/>
              </w:rPr>
              <w:t>s response must have been conducted following a minimum of 12 weeks of therapy and submitted no later than 4 weeks from the date of completion of treatment.</w:t>
            </w:r>
            <w:r w:rsidRPr="00F05C1E">
              <w:rPr>
                <w:rFonts w:ascii="Arial" w:hAnsi="Arial" w:cs="Arial"/>
                <w:sz w:val="16"/>
                <w:szCs w:val="16"/>
                <w:lang w:eastAsia="en-AU"/>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F05C1E">
              <w:rPr>
                <w:rFonts w:ascii="Arial" w:hAnsi="Arial" w:cs="Arial"/>
                <w:sz w:val="16"/>
                <w:szCs w:val="16"/>
                <w:lang w:eastAsia="en-AU"/>
              </w:rPr>
              <w:br/>
              <w:t>Where the response assessment is not submitted within this timeframe, the patient will be deemed to have failed to respond to treatment with this drug.</w:t>
            </w:r>
            <w:r w:rsidRPr="00F05C1E">
              <w:rPr>
                <w:rFonts w:ascii="Arial" w:hAnsi="Arial" w:cs="Arial"/>
                <w:sz w:val="16"/>
                <w:szCs w:val="16"/>
                <w:lang w:eastAsia="en-AU"/>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F05C1E">
              <w:rPr>
                <w:rFonts w:ascii="Arial" w:hAnsi="Arial" w:cs="Arial"/>
                <w:sz w:val="16"/>
                <w:szCs w:val="16"/>
                <w:lang w:eastAsia="en-AU"/>
              </w:rPr>
              <w:br/>
              <w:t>A patient who fails to demonstrate a response to treatment with this drug under this restriction will not be eligible to receive further PBS-subsidised treatment with this drug in this treatment cycle. 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F05C1E">
              <w:rPr>
                <w:rFonts w:ascii="Arial" w:hAnsi="Arial" w:cs="Arial"/>
                <w:sz w:val="16"/>
                <w:szCs w:val="16"/>
                <w:lang w:eastAsia="en-AU"/>
              </w:rPr>
              <w:br/>
              <w:t>If a patient fails to respond to PBS-subsidised biological medicine treatment 3 times (once with each agent) they will not be eligible to receive further PBS-subsidised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05C1E">
            <w:pPr>
              <w:spacing w:line="240" w:lineRule="auto"/>
              <w:rPr>
                <w:rFonts w:ascii="Arial" w:hAnsi="Arial" w:cs="Arial"/>
                <w:sz w:val="16"/>
                <w:szCs w:val="16"/>
                <w:lang w:eastAsia="en-AU"/>
              </w:rPr>
            </w:pPr>
            <w:r w:rsidRPr="00F05C1E">
              <w:rPr>
                <w:rFonts w:ascii="Arial" w:hAnsi="Arial" w:cs="Arial"/>
                <w:sz w:val="16"/>
                <w:szCs w:val="16"/>
                <w:lang w:eastAsia="en-AU"/>
              </w:rPr>
              <w:t>Compliance with Written Authority Required procedures</w:t>
            </w:r>
          </w:p>
        </w:tc>
      </w:tr>
      <w:tr w:rsidR="00F05C1E" w:rsidRPr="00E106BD" w:rsidDel="00447DAD" w:rsidTr="008929EB">
        <w:tc>
          <w:tcPr>
            <w:tcW w:w="172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C10583</w:t>
            </w:r>
          </w:p>
        </w:tc>
        <w:tc>
          <w:tcPr>
            <w:tcW w:w="70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Severe active juvenile idiopathic arthritis</w:t>
            </w:r>
            <w:r w:rsidRPr="00F05C1E">
              <w:rPr>
                <w:rFonts w:ascii="Arial" w:hAnsi="Arial" w:cs="Arial"/>
                <w:sz w:val="16"/>
                <w:szCs w:val="16"/>
                <w:lang w:eastAsia="en-AU"/>
              </w:rPr>
              <w:br/>
              <w:t>Initial treatment - Initial 1 (new patient)</w:t>
            </w:r>
            <w:r w:rsidRPr="00F05C1E">
              <w:rPr>
                <w:rFonts w:ascii="Arial" w:hAnsi="Arial" w:cs="Arial"/>
                <w:sz w:val="16"/>
                <w:szCs w:val="16"/>
                <w:lang w:eastAsia="en-AU"/>
              </w:rPr>
              <w:br/>
              <w:t>Must be treated by a paediatric rheumatologist; OR</w:t>
            </w:r>
            <w:r w:rsidRPr="00F05C1E">
              <w:rPr>
                <w:rFonts w:ascii="Arial" w:hAnsi="Arial" w:cs="Arial"/>
                <w:sz w:val="16"/>
                <w:szCs w:val="16"/>
                <w:lang w:eastAsia="en-AU"/>
              </w:rPr>
              <w:br/>
              <w:t>Patient must be undergoing treatment under the supervision of a paediatric rheumatology treatment centre.</w:t>
            </w:r>
            <w:r w:rsidRPr="00F05C1E">
              <w:rPr>
                <w:rFonts w:ascii="Arial" w:hAnsi="Arial" w:cs="Arial"/>
                <w:sz w:val="16"/>
                <w:szCs w:val="16"/>
                <w:lang w:eastAsia="en-AU"/>
              </w:rPr>
              <w:br/>
              <w:t>Patient must not have received PBS-subsidised treatment with a biological medicine for this condition; AND</w:t>
            </w:r>
            <w:r w:rsidRPr="00F05C1E">
              <w:rPr>
                <w:rFonts w:ascii="Arial" w:hAnsi="Arial" w:cs="Arial"/>
                <w:sz w:val="16"/>
                <w:szCs w:val="16"/>
                <w:lang w:eastAsia="en-AU"/>
              </w:rPr>
              <w:br/>
              <w:t>Patient must have demonstrated severe intolerance of, or toxicity due to, methotrexate; OR</w:t>
            </w:r>
            <w:r w:rsidRPr="00F05C1E">
              <w:rPr>
                <w:rFonts w:ascii="Arial" w:hAnsi="Arial" w:cs="Arial"/>
                <w:sz w:val="16"/>
                <w:szCs w:val="16"/>
                <w:lang w:eastAsia="en-AU"/>
              </w:rPr>
              <w:br/>
              <w:t>Patient must have demonstrated failure to achieve an adequate response to 1 or more of the following treatment regimens: (i) oral or parenteral methotrexate at a dose of at least 20 mg per square metre weekly, alone or in combination with oral or intra-articular corticosteroids, for a minimum of 3 months; or (ii) oral methotrexate at a dose of at least 10 mg per square metre weekly together with at least 1 other disease modifying anti-rheumatic drug (DMARD), alone or in combination with corticosteroids, for a minimum of 3 months; AND</w:t>
            </w:r>
            <w:r w:rsidRPr="00F05C1E">
              <w:rPr>
                <w:rFonts w:ascii="Arial" w:hAnsi="Arial" w:cs="Arial"/>
                <w:sz w:val="16"/>
                <w:szCs w:val="16"/>
                <w:lang w:eastAsia="en-AU"/>
              </w:rPr>
              <w:br/>
              <w:t>Patient must not receive more than 16 weeks of treatment under this restriction.</w:t>
            </w:r>
            <w:r w:rsidRPr="00F05C1E">
              <w:rPr>
                <w:rFonts w:ascii="Arial" w:hAnsi="Arial" w:cs="Arial"/>
                <w:sz w:val="16"/>
                <w:szCs w:val="16"/>
                <w:lang w:eastAsia="en-AU"/>
              </w:rPr>
              <w:br/>
              <w:t>Patient must be under 18 years of age.</w:t>
            </w:r>
            <w:r w:rsidRPr="00F05C1E">
              <w:rPr>
                <w:rFonts w:ascii="Arial" w:hAnsi="Arial" w:cs="Arial"/>
                <w:sz w:val="16"/>
                <w:szCs w:val="16"/>
                <w:lang w:eastAsia="en-AU"/>
              </w:rPr>
              <w:br/>
              <w:t>Severe intolerance to methotrexate is defined as intractable nausea and vomiting and general malaise unresponsive to manoeuvres, including reducing or omitting concomitant non-steroidal anti-inflammatory drugs (NSAIDs) on the day of methotrexate administration, use of folic acid supplementation, or administering the dose of methotrexate in 2 divided doses over 24 hours.</w:t>
            </w:r>
            <w:r w:rsidRPr="00F05C1E">
              <w:rPr>
                <w:rFonts w:ascii="Arial" w:hAnsi="Arial" w:cs="Arial"/>
                <w:sz w:val="16"/>
                <w:szCs w:val="16"/>
                <w:lang w:eastAsia="en-AU"/>
              </w:rPr>
              <w:br/>
              <w:t>Toxicity due to methotrexate is defined as evidence of hepatotoxicity with repeated elevations of transaminases, bone marrow suppression temporally related to methotrexate use, pneumonitis, or serious sepsis.</w:t>
            </w:r>
            <w:r w:rsidRPr="00F05C1E">
              <w:rPr>
                <w:rFonts w:ascii="Arial" w:hAnsi="Arial" w:cs="Arial"/>
                <w:sz w:val="16"/>
                <w:szCs w:val="16"/>
                <w:lang w:eastAsia="en-AU"/>
              </w:rPr>
              <w:br/>
              <w:t>If treatment with methotrexate alone or in combination with another DMARD is contraindicated according to the relevant TGA-approved Product Information, details must be provided at the time of application.</w:t>
            </w:r>
            <w:r w:rsidRPr="00F05C1E">
              <w:rPr>
                <w:rFonts w:ascii="Arial" w:hAnsi="Arial" w:cs="Arial"/>
                <w:sz w:val="16"/>
                <w:szCs w:val="16"/>
                <w:lang w:eastAsia="en-AU"/>
              </w:rPr>
              <w:br/>
              <w:t>If intolerance to treatment develops during the relevant period of use, which is of a severity necessitating permanent treatment withdrawal, details of this toxicity must be provided at the time of application.</w:t>
            </w:r>
            <w:r w:rsidRPr="00F05C1E">
              <w:rPr>
                <w:rFonts w:ascii="Arial" w:hAnsi="Arial" w:cs="Arial"/>
                <w:sz w:val="16"/>
                <w:szCs w:val="16"/>
                <w:lang w:eastAsia="en-AU"/>
              </w:rPr>
              <w:br/>
              <w:t>The following criteria indicate failure to achieve an adequate response and must be demonstrated in all patients at the time of the initial application:</w:t>
            </w:r>
            <w:r w:rsidRPr="00F05C1E">
              <w:rPr>
                <w:rFonts w:ascii="Arial" w:hAnsi="Arial" w:cs="Arial"/>
                <w:sz w:val="16"/>
                <w:szCs w:val="16"/>
                <w:lang w:eastAsia="en-AU"/>
              </w:rPr>
              <w:br/>
              <w:t>(a) an active joint count of at least 20 active (swollen and tender) joints; OR</w:t>
            </w:r>
            <w:r w:rsidRPr="00F05C1E">
              <w:rPr>
                <w:rFonts w:ascii="Arial" w:hAnsi="Arial" w:cs="Arial"/>
                <w:sz w:val="16"/>
                <w:szCs w:val="16"/>
                <w:lang w:eastAsia="en-AU"/>
              </w:rPr>
              <w:br/>
              <w:t>(b) at least 4 active joints from the following list:</w:t>
            </w:r>
            <w:r w:rsidRPr="00F05C1E">
              <w:rPr>
                <w:rFonts w:ascii="Arial" w:hAnsi="Arial" w:cs="Arial"/>
                <w:sz w:val="16"/>
                <w:szCs w:val="16"/>
                <w:lang w:eastAsia="en-AU"/>
              </w:rPr>
              <w:br/>
              <w:t>(i) elbow, wrist, knee and/or ankle (assessed as swollen and tender); and/or</w:t>
            </w:r>
            <w:r w:rsidRPr="00F05C1E">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F05C1E">
              <w:rPr>
                <w:rFonts w:ascii="Arial" w:hAnsi="Arial" w:cs="Arial"/>
                <w:sz w:val="16"/>
                <w:szCs w:val="16"/>
                <w:lang w:eastAsia="en-AU"/>
              </w:rPr>
              <w:br/>
              <w:t>The joint count assessment must be performed preferably whilst still on DMARD treatment, but no longer than 4 weeks following cessation of the most recent prior treatment.</w:t>
            </w:r>
            <w:r w:rsidRPr="00F05C1E">
              <w:rPr>
                <w:rFonts w:ascii="Arial" w:hAnsi="Arial" w:cs="Arial"/>
                <w:sz w:val="16"/>
                <w:szCs w:val="16"/>
                <w:lang w:eastAsia="en-AU"/>
              </w:rPr>
              <w:br/>
              <w:t>The authority application must be made in writing and must include:</w:t>
            </w:r>
            <w:r w:rsidRPr="00F05C1E">
              <w:rPr>
                <w:rFonts w:ascii="Arial" w:hAnsi="Arial" w:cs="Arial"/>
                <w:sz w:val="16"/>
                <w:szCs w:val="16"/>
                <w:lang w:eastAsia="en-AU"/>
              </w:rPr>
              <w:br/>
              <w:t>(1) completed authority prescription form(s); and</w:t>
            </w:r>
            <w:r w:rsidRPr="00F05C1E">
              <w:rPr>
                <w:rFonts w:ascii="Arial" w:hAnsi="Arial" w:cs="Arial"/>
                <w:sz w:val="16"/>
                <w:szCs w:val="16"/>
                <w:lang w:eastAsia="en-AU"/>
              </w:rPr>
              <w:br/>
              <w:t>(2) a completed Juvenile Idiopathic Arthritis PBS Authority Application - Supporting Information Form.</w:t>
            </w:r>
            <w:r w:rsidRPr="00F05C1E">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3 repeats will be authorised.</w:t>
            </w:r>
            <w:r w:rsidRPr="00F05C1E">
              <w:rPr>
                <w:rFonts w:ascii="Arial" w:hAnsi="Arial" w:cs="Arial"/>
                <w:sz w:val="16"/>
                <w:szCs w:val="16"/>
                <w:lang w:eastAsia="en-AU"/>
              </w:rPr>
              <w:br/>
              <w:t>An assessment of a patient</w:t>
            </w:r>
            <w:r w:rsidR="00A653CA">
              <w:rPr>
                <w:rFonts w:ascii="Arial" w:hAnsi="Arial" w:cs="Arial"/>
                <w:sz w:val="16"/>
                <w:szCs w:val="16"/>
                <w:lang w:eastAsia="en-AU"/>
              </w:rPr>
              <w:t>’</w:t>
            </w:r>
            <w:r w:rsidRPr="00F05C1E">
              <w:rPr>
                <w:rFonts w:ascii="Arial" w:hAnsi="Arial" w:cs="Arial"/>
                <w:sz w:val="16"/>
                <w:szCs w:val="16"/>
                <w:lang w:eastAsia="en-AU"/>
              </w:rPr>
              <w: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r w:rsidRPr="00F05C1E">
              <w:rPr>
                <w:rFonts w:ascii="Arial" w:hAnsi="Arial" w:cs="Arial"/>
                <w:sz w:val="16"/>
                <w:szCs w:val="16"/>
                <w:lang w:eastAsia="en-AU"/>
              </w:rPr>
              <w:br/>
              <w:t>Where the response assessment is not submitted within this timeframe, the patient will be deemed to have failed to respond to treatment with this drug.</w:t>
            </w:r>
            <w:r w:rsidRPr="00F05C1E">
              <w:rPr>
                <w:rFonts w:ascii="Arial" w:hAnsi="Arial" w:cs="Arial"/>
                <w:sz w:val="16"/>
                <w:szCs w:val="16"/>
                <w:lang w:eastAsia="en-AU"/>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05C1E">
            <w:pPr>
              <w:spacing w:line="240" w:lineRule="auto"/>
              <w:rPr>
                <w:rFonts w:ascii="Arial" w:hAnsi="Arial" w:cs="Arial"/>
                <w:sz w:val="16"/>
                <w:szCs w:val="16"/>
                <w:lang w:eastAsia="en-AU"/>
              </w:rPr>
            </w:pPr>
            <w:r w:rsidRPr="00F05C1E">
              <w:rPr>
                <w:rFonts w:ascii="Arial" w:hAnsi="Arial" w:cs="Arial"/>
                <w:sz w:val="16"/>
                <w:szCs w:val="16"/>
                <w:lang w:eastAsia="en-AU"/>
              </w:rPr>
              <w:t>Compliance with Written Authority Required procedures</w:t>
            </w:r>
          </w:p>
        </w:tc>
      </w:tr>
      <w:tr w:rsidR="00F05C1E" w:rsidRPr="00E106BD" w:rsidDel="00447DAD" w:rsidTr="008929EB">
        <w:tc>
          <w:tcPr>
            <w:tcW w:w="172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C10600</w:t>
            </w:r>
          </w:p>
        </w:tc>
        <w:tc>
          <w:tcPr>
            <w:tcW w:w="70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Severe active juvenile idiopathic arthritis</w:t>
            </w:r>
            <w:r w:rsidRPr="00F05C1E">
              <w:rPr>
                <w:rFonts w:ascii="Arial" w:hAnsi="Arial" w:cs="Arial"/>
                <w:sz w:val="16"/>
                <w:szCs w:val="16"/>
                <w:lang w:eastAsia="en-AU"/>
              </w:rPr>
              <w:br/>
              <w:t>Continuing treatment</w:t>
            </w:r>
            <w:r w:rsidRPr="00F05C1E">
              <w:rPr>
                <w:rFonts w:ascii="Arial" w:hAnsi="Arial" w:cs="Arial"/>
                <w:sz w:val="16"/>
                <w:szCs w:val="16"/>
                <w:lang w:eastAsia="en-AU"/>
              </w:rPr>
              <w:br/>
              <w:t>Must be treated by a rheumatologist; OR</w:t>
            </w:r>
            <w:r w:rsidRPr="00F05C1E">
              <w:rPr>
                <w:rFonts w:ascii="Arial" w:hAnsi="Arial" w:cs="Arial"/>
                <w:sz w:val="16"/>
                <w:szCs w:val="16"/>
                <w:lang w:eastAsia="en-AU"/>
              </w:rPr>
              <w:br/>
              <w:t>Patient must be undergoing treatment under the supervision of a paediatric rheumatology treatment centre.</w:t>
            </w:r>
            <w:r w:rsidRPr="00F05C1E">
              <w:rPr>
                <w:rFonts w:ascii="Arial" w:hAnsi="Arial" w:cs="Arial"/>
                <w:sz w:val="16"/>
                <w:szCs w:val="16"/>
                <w:lang w:eastAsia="en-AU"/>
              </w:rPr>
              <w:br/>
              <w:t>Patient must have received this drug as their most recent course of PBS-subsidised biological medicine treatment for this condition; AND</w:t>
            </w:r>
            <w:r w:rsidRPr="00F05C1E">
              <w:rPr>
                <w:rFonts w:ascii="Arial" w:hAnsi="Arial" w:cs="Arial"/>
                <w:sz w:val="16"/>
                <w:szCs w:val="16"/>
                <w:lang w:eastAsia="en-AU"/>
              </w:rPr>
              <w:br/>
              <w:t>Patient must have demonstrated an adequate response to treatment with this drug; AND</w:t>
            </w:r>
            <w:r w:rsidRPr="00F05C1E">
              <w:rPr>
                <w:rFonts w:ascii="Arial" w:hAnsi="Arial" w:cs="Arial"/>
                <w:sz w:val="16"/>
                <w:szCs w:val="16"/>
                <w:lang w:eastAsia="en-AU"/>
              </w:rPr>
              <w:br/>
              <w:t>Patient must not receive more than 24 weeks of treatment per continuing treatment course authorised under this restriction.</w:t>
            </w:r>
            <w:r w:rsidRPr="00F05C1E">
              <w:rPr>
                <w:rFonts w:ascii="Arial" w:hAnsi="Arial" w:cs="Arial"/>
                <w:sz w:val="16"/>
                <w:szCs w:val="16"/>
                <w:lang w:eastAsia="en-AU"/>
              </w:rPr>
              <w:br/>
              <w:t>An adequate response to treatment is defined as:</w:t>
            </w:r>
            <w:r w:rsidRPr="00F05C1E">
              <w:rPr>
                <w:rFonts w:ascii="Arial" w:hAnsi="Arial" w:cs="Arial"/>
                <w:sz w:val="16"/>
                <w:szCs w:val="16"/>
                <w:lang w:eastAsia="en-AU"/>
              </w:rPr>
              <w:br/>
              <w:t>(a) a reduction in the total active (swollen and tender) joint count by at least 50% from baseline, where baseline is at least 20 active joints; or</w:t>
            </w:r>
            <w:r w:rsidRPr="00F05C1E">
              <w:rPr>
                <w:rFonts w:ascii="Arial" w:hAnsi="Arial" w:cs="Arial"/>
                <w:sz w:val="16"/>
                <w:szCs w:val="16"/>
                <w:lang w:eastAsia="en-AU"/>
              </w:rPr>
              <w:br/>
              <w:t>(b) a reduction in the number of the following active joints, from at least 4, by at least 50%:</w:t>
            </w:r>
            <w:r w:rsidRPr="00F05C1E">
              <w:rPr>
                <w:rFonts w:ascii="Arial" w:hAnsi="Arial" w:cs="Arial"/>
                <w:sz w:val="16"/>
                <w:szCs w:val="16"/>
                <w:lang w:eastAsia="en-AU"/>
              </w:rPr>
              <w:br/>
              <w:t>(i) elbow, wrist, knee and/or ankle (assessed as swollen and tender); and/or</w:t>
            </w:r>
            <w:r w:rsidRPr="00F05C1E">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F05C1E">
              <w:rPr>
                <w:rFonts w:ascii="Arial" w:hAnsi="Arial" w:cs="Arial"/>
                <w:sz w:val="16"/>
                <w:szCs w:val="16"/>
                <w:lang w:eastAsia="en-AU"/>
              </w:rPr>
              <w:br/>
              <w:t>Determination of whether a response has been demonstrated to initial and subsequent courses of treatment will be based on the baseline measurement of joint count submitted with the initial treatment application.</w:t>
            </w:r>
            <w:r w:rsidRPr="00F05C1E">
              <w:rPr>
                <w:rFonts w:ascii="Arial" w:hAnsi="Arial" w:cs="Arial"/>
                <w:sz w:val="16"/>
                <w:szCs w:val="16"/>
                <w:lang w:eastAsia="en-AU"/>
              </w:rPr>
              <w:br/>
              <w:t>The authority application must be made in writing and must include:</w:t>
            </w:r>
            <w:r w:rsidRPr="00F05C1E">
              <w:rPr>
                <w:rFonts w:ascii="Arial" w:hAnsi="Arial" w:cs="Arial"/>
                <w:sz w:val="16"/>
                <w:szCs w:val="16"/>
                <w:lang w:eastAsia="en-AU"/>
              </w:rPr>
              <w:br/>
              <w:t>(1) completed authority prescription form(s); and</w:t>
            </w:r>
            <w:r w:rsidRPr="00F05C1E">
              <w:rPr>
                <w:rFonts w:ascii="Arial" w:hAnsi="Arial" w:cs="Arial"/>
                <w:sz w:val="16"/>
                <w:szCs w:val="16"/>
                <w:lang w:eastAsia="en-AU"/>
              </w:rPr>
              <w:br/>
              <w:t>(2) a completed Juvenile Idiopathic Arthritis PBS Authority Application - Supporting Information Form.</w:t>
            </w:r>
            <w:r w:rsidRPr="00F05C1E">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5 repeats will be authorised.</w:t>
            </w:r>
            <w:r w:rsidRPr="00F05C1E">
              <w:rPr>
                <w:rFonts w:ascii="Arial" w:hAnsi="Arial" w:cs="Arial"/>
                <w:sz w:val="16"/>
                <w:szCs w:val="16"/>
                <w:lang w:eastAsia="en-AU"/>
              </w:rPr>
              <w:br/>
              <w:t>Where the most recent course of PBS-subsidised treatment with this drug was approved under either Initial 1, Initial 2, or Initial 3 treatment restrictions, an assessment of a patient</w:t>
            </w:r>
            <w:r w:rsidR="00A653CA">
              <w:rPr>
                <w:rFonts w:ascii="Arial" w:hAnsi="Arial" w:cs="Arial"/>
                <w:sz w:val="16"/>
                <w:szCs w:val="16"/>
                <w:lang w:eastAsia="en-AU"/>
              </w:rPr>
              <w:t>’</w:t>
            </w:r>
            <w:r w:rsidRPr="00F05C1E">
              <w:rPr>
                <w:rFonts w:ascii="Arial" w:hAnsi="Arial" w:cs="Arial"/>
                <w:sz w:val="16"/>
                <w:szCs w:val="16"/>
                <w:lang w:eastAsia="en-AU"/>
              </w:rPr>
              <w:t>s response must have been conducted following a minimum of 12 weeks of therapy and submitted no later than 4 weeks from the date of completion of treatment.</w:t>
            </w:r>
            <w:r w:rsidRPr="00F05C1E">
              <w:rPr>
                <w:rFonts w:ascii="Arial" w:hAnsi="Arial" w:cs="Arial"/>
                <w:sz w:val="16"/>
                <w:szCs w:val="16"/>
                <w:lang w:eastAsia="en-AU"/>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F05C1E">
              <w:rPr>
                <w:rFonts w:ascii="Arial" w:hAnsi="Arial" w:cs="Arial"/>
                <w:sz w:val="16"/>
                <w:szCs w:val="16"/>
                <w:lang w:eastAsia="en-AU"/>
              </w:rPr>
              <w:br/>
              <w:t>Where the response assessment is not submitted within this timeframe, the patient will be deemed to have failed to respond to treatment with this drug.</w:t>
            </w:r>
            <w:r w:rsidRPr="00F05C1E">
              <w:rPr>
                <w:rFonts w:ascii="Arial" w:hAnsi="Arial" w:cs="Arial"/>
                <w:sz w:val="16"/>
                <w:szCs w:val="16"/>
                <w:lang w:eastAsia="en-AU"/>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F05C1E">
              <w:rPr>
                <w:rFonts w:ascii="Arial" w:hAnsi="Arial" w:cs="Arial"/>
                <w:sz w:val="16"/>
                <w:szCs w:val="16"/>
                <w:lang w:eastAsia="en-AU"/>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F05C1E">
              <w:rPr>
                <w:rFonts w:ascii="Arial" w:hAnsi="Arial" w:cs="Arial"/>
                <w:sz w:val="16"/>
                <w:szCs w:val="16"/>
                <w:lang w:eastAsia="en-AU"/>
              </w:rPr>
              <w:br/>
              <w:t>If a patient fails to respond to PBS-subsidised biological medicine treatment 3 times (once with each agent) they will not be eligible to receive further PBS-subsidised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F05C1E" w:rsidRPr="00A83768" w:rsidRDefault="00F05C1E" w:rsidP="00F05C1E">
            <w:pPr>
              <w:spacing w:line="240" w:lineRule="auto"/>
              <w:rPr>
                <w:rFonts w:ascii="Arial" w:hAnsi="Arial" w:cs="Arial"/>
                <w:sz w:val="16"/>
                <w:szCs w:val="16"/>
                <w:lang w:eastAsia="en-AU"/>
              </w:rPr>
            </w:pPr>
            <w:r w:rsidRPr="00F05C1E">
              <w:rPr>
                <w:rFonts w:ascii="Arial" w:hAnsi="Arial" w:cs="Arial"/>
                <w:sz w:val="16"/>
                <w:szCs w:val="16"/>
                <w:lang w:eastAsia="en-AU"/>
              </w:rPr>
              <w:t>Compliance with Written Authority Required procedures</w:t>
            </w:r>
          </w:p>
        </w:tc>
      </w:tr>
      <w:tr w:rsidR="00F05C1E" w:rsidRPr="00E106BD" w:rsidDel="00447DAD" w:rsidTr="008929EB">
        <w:tc>
          <w:tcPr>
            <w:tcW w:w="172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C10619</w:t>
            </w:r>
          </w:p>
        </w:tc>
        <w:tc>
          <w:tcPr>
            <w:tcW w:w="70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Severe active juvenile idiopathic arthritis</w:t>
            </w:r>
            <w:r w:rsidRPr="00F05C1E">
              <w:rPr>
                <w:rFonts w:ascii="Arial" w:hAnsi="Arial" w:cs="Arial"/>
                <w:sz w:val="16"/>
                <w:szCs w:val="16"/>
                <w:lang w:eastAsia="en-AU"/>
              </w:rPr>
              <w:br/>
              <w:t>Initial treatment - Initial 3 (recommencement of treatment after a break in biological medicine of more than 12 months)</w:t>
            </w:r>
            <w:r w:rsidRPr="00F05C1E">
              <w:rPr>
                <w:rFonts w:ascii="Arial" w:hAnsi="Arial" w:cs="Arial"/>
                <w:sz w:val="16"/>
                <w:szCs w:val="16"/>
                <w:lang w:eastAsia="en-AU"/>
              </w:rPr>
              <w:br/>
              <w:t>Must be treated by a paediatric rheumatologist; OR</w:t>
            </w:r>
            <w:r w:rsidRPr="00F05C1E">
              <w:rPr>
                <w:rFonts w:ascii="Arial" w:hAnsi="Arial" w:cs="Arial"/>
                <w:sz w:val="16"/>
                <w:szCs w:val="16"/>
                <w:lang w:eastAsia="en-AU"/>
              </w:rPr>
              <w:br/>
              <w:t>Patient must be undergoing treatment under the supervision of a paediatric rheumatology treatment centre.</w:t>
            </w:r>
            <w:r w:rsidRPr="00F05C1E">
              <w:rPr>
                <w:rFonts w:ascii="Arial" w:hAnsi="Arial" w:cs="Arial"/>
                <w:sz w:val="16"/>
                <w:szCs w:val="16"/>
                <w:lang w:eastAsia="en-AU"/>
              </w:rPr>
              <w:br/>
              <w:t>Patient must have previously received PBS-subsidised treatment with a biological medicine for this condition; AND</w:t>
            </w:r>
            <w:r w:rsidRPr="00F05C1E">
              <w:rPr>
                <w:rFonts w:ascii="Arial" w:hAnsi="Arial" w:cs="Arial"/>
                <w:sz w:val="16"/>
                <w:szCs w:val="16"/>
                <w:lang w:eastAsia="en-AU"/>
              </w:rPr>
              <w:br/>
              <w:t>Patient must have had a break in treatment of 12 months or more from the most recently approved PBS-subsidised biological medicine for this condition; AND</w:t>
            </w:r>
            <w:r w:rsidRPr="00F05C1E">
              <w:rPr>
                <w:rFonts w:ascii="Arial" w:hAnsi="Arial" w:cs="Arial"/>
                <w:sz w:val="16"/>
                <w:szCs w:val="16"/>
                <w:lang w:eastAsia="en-AU"/>
              </w:rPr>
              <w:br/>
              <w:t>The condition must have either (a) a total active joint count of at least 20 active (swollen and tender) joints; or (b) at least 4 active major joints; AND</w:t>
            </w:r>
            <w:r w:rsidRPr="00F05C1E">
              <w:rPr>
                <w:rFonts w:ascii="Arial" w:hAnsi="Arial" w:cs="Arial"/>
                <w:sz w:val="16"/>
                <w:szCs w:val="16"/>
                <w:lang w:eastAsia="en-AU"/>
              </w:rPr>
              <w:br/>
              <w:t>Patient must not receive more than 16 weeks of treatment under this restriction.</w:t>
            </w:r>
            <w:r w:rsidRPr="00F05C1E">
              <w:rPr>
                <w:rFonts w:ascii="Arial" w:hAnsi="Arial" w:cs="Arial"/>
                <w:sz w:val="16"/>
                <w:szCs w:val="16"/>
                <w:lang w:eastAsia="en-AU"/>
              </w:rPr>
              <w:br/>
              <w:t>Active joints are defined as:</w:t>
            </w:r>
            <w:r w:rsidRPr="00F05C1E">
              <w:rPr>
                <w:rFonts w:ascii="Arial" w:hAnsi="Arial" w:cs="Arial"/>
                <w:sz w:val="16"/>
                <w:szCs w:val="16"/>
                <w:lang w:eastAsia="en-AU"/>
              </w:rPr>
              <w:br/>
              <w:t>(i) elbow, wrist, knee and/or ankle (assessed as swollen and tender); and/or</w:t>
            </w:r>
            <w:r w:rsidRPr="00F05C1E">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F05C1E">
              <w:rPr>
                <w:rFonts w:ascii="Arial" w:hAnsi="Arial" w:cs="Arial"/>
                <w:sz w:val="16"/>
                <w:szCs w:val="16"/>
                <w:lang w:eastAsia="en-AU"/>
              </w:rPr>
              <w:br/>
              <w:t>All measures of joint count must be no more than 4 weeks old at the time of this application.</w:t>
            </w:r>
            <w:r w:rsidRPr="00F05C1E">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active joints, the response must be demonstrated on the total number of active joints.</w:t>
            </w:r>
            <w:r w:rsidRPr="00F05C1E">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3 repeats will be authorised.</w:t>
            </w:r>
            <w:r w:rsidRPr="00F05C1E">
              <w:rPr>
                <w:rFonts w:ascii="Arial" w:hAnsi="Arial" w:cs="Arial"/>
                <w:sz w:val="16"/>
                <w:szCs w:val="16"/>
                <w:lang w:eastAsia="en-AU"/>
              </w:rPr>
              <w:br/>
              <w:t>The authority application must be made in writing and must include:</w:t>
            </w:r>
            <w:r w:rsidRPr="00F05C1E">
              <w:rPr>
                <w:rFonts w:ascii="Arial" w:hAnsi="Arial" w:cs="Arial"/>
                <w:sz w:val="16"/>
                <w:szCs w:val="16"/>
                <w:lang w:eastAsia="en-AU"/>
              </w:rPr>
              <w:br/>
              <w:t>(1) completed authority prescription form(s); and</w:t>
            </w:r>
            <w:r w:rsidRPr="00F05C1E">
              <w:rPr>
                <w:rFonts w:ascii="Arial" w:hAnsi="Arial" w:cs="Arial"/>
                <w:sz w:val="16"/>
                <w:szCs w:val="16"/>
                <w:lang w:eastAsia="en-AU"/>
              </w:rPr>
              <w:br/>
              <w:t>(2) a completed Juvenile Idiopathic Arthritis PBS Authority Application - Supporting Information Form.</w:t>
            </w:r>
            <w:r w:rsidRPr="00F05C1E">
              <w:rPr>
                <w:rFonts w:ascii="Arial" w:hAnsi="Arial" w:cs="Arial"/>
                <w:sz w:val="16"/>
                <w:szCs w:val="16"/>
                <w:lang w:eastAsia="en-AU"/>
              </w:rPr>
              <w:br/>
              <w:t>An application for a patient who has received PBS-subsidised biological medicine treatment for this condition who wishes to recommence therapy with this drug, must be accompanied by evidence of a response to the patient</w:t>
            </w:r>
            <w:r w:rsidR="00A653CA">
              <w:rPr>
                <w:rFonts w:ascii="Arial" w:hAnsi="Arial" w:cs="Arial"/>
                <w:sz w:val="16"/>
                <w:szCs w:val="16"/>
                <w:lang w:eastAsia="en-AU"/>
              </w:rPr>
              <w:t>’</w:t>
            </w:r>
            <w:r w:rsidRPr="00F05C1E">
              <w:rPr>
                <w:rFonts w:ascii="Arial" w:hAnsi="Arial" w:cs="Arial"/>
                <w:sz w:val="16"/>
                <w:szCs w:val="16"/>
                <w:lang w:eastAsia="en-AU"/>
              </w:rPr>
              <w:t>s most recent course of PBS-subsidised biological medicine treatment, within the timeframes specified below.</w:t>
            </w:r>
            <w:r w:rsidRPr="00F05C1E">
              <w:rPr>
                <w:rFonts w:ascii="Arial" w:hAnsi="Arial" w:cs="Arial"/>
                <w:sz w:val="16"/>
                <w:szCs w:val="16"/>
                <w:lang w:eastAsia="en-AU"/>
              </w:rPr>
              <w:br/>
              <w:t>Where the most recent course of PBS-subsidised biological medicine treatment was approved under either Initial 1, Initial 2, Initial 3 or continuing treatment restrictions, an assessment of a patient</w:t>
            </w:r>
            <w:r w:rsidR="00A653CA">
              <w:rPr>
                <w:rFonts w:ascii="Arial" w:hAnsi="Arial" w:cs="Arial"/>
                <w:sz w:val="16"/>
                <w:szCs w:val="16"/>
                <w:lang w:eastAsia="en-AU"/>
              </w:rPr>
              <w:t>’</w:t>
            </w:r>
            <w:r w:rsidRPr="00F05C1E">
              <w:rPr>
                <w:rFonts w:ascii="Arial" w:hAnsi="Arial" w:cs="Arial"/>
                <w:sz w:val="16"/>
                <w:szCs w:val="16"/>
                <w:lang w:eastAsia="en-AU"/>
              </w:rPr>
              <w:t>s response must have been conducted following a minimum of 12 weeks of therapy and submitted no later than 4 weeks from the date of completion of treatment.</w:t>
            </w:r>
            <w:r w:rsidRPr="00F05C1E">
              <w:rPr>
                <w:rFonts w:ascii="Arial" w:hAnsi="Arial" w:cs="Arial"/>
                <w:sz w:val="16"/>
                <w:szCs w:val="16"/>
                <w:lang w:eastAsia="en-AU"/>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F05C1E">
              <w:rPr>
                <w:rFonts w:ascii="Arial" w:hAnsi="Arial" w:cs="Arial"/>
                <w:sz w:val="16"/>
                <w:szCs w:val="16"/>
                <w:lang w:eastAsia="en-AU"/>
              </w:rPr>
              <w:br/>
              <w:t>Where the response assessment is not submitted within this timeframe, the patient will be deemed to have failed to respond to treatment with this drug.</w:t>
            </w:r>
            <w:r w:rsidRPr="00F05C1E">
              <w:rPr>
                <w:rFonts w:ascii="Arial" w:hAnsi="Arial" w:cs="Arial"/>
                <w:sz w:val="16"/>
                <w:szCs w:val="16"/>
                <w:lang w:eastAsia="en-AU"/>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F05C1E" w:rsidRPr="00EE79AB" w:rsidRDefault="00F05C1E" w:rsidP="00F05C1E">
            <w:pPr>
              <w:spacing w:line="240" w:lineRule="auto"/>
              <w:rPr>
                <w:rFonts w:ascii="Arial" w:hAnsi="Arial" w:cs="Arial"/>
                <w:sz w:val="16"/>
                <w:szCs w:val="16"/>
                <w:lang w:eastAsia="en-AU"/>
              </w:rPr>
            </w:pPr>
            <w:r w:rsidRPr="00F05C1E">
              <w:rPr>
                <w:rFonts w:ascii="Arial" w:hAnsi="Arial" w:cs="Arial"/>
                <w:sz w:val="16"/>
                <w:szCs w:val="16"/>
                <w:lang w:eastAsia="en-AU"/>
              </w:rPr>
              <w:t>Compliance with Written Authority Required procedures</w:t>
            </w:r>
          </w:p>
        </w:tc>
      </w:tr>
      <w:tr w:rsidR="00195FBD" w:rsidRPr="00195FBD" w:rsidDel="002D20DA" w:rsidTr="008929EB">
        <w:tc>
          <w:tcPr>
            <w:tcW w:w="1729" w:type="dxa"/>
            <w:tcBorders>
              <w:bottom w:val="single" w:sz="4" w:space="0" w:color="auto"/>
            </w:tcBorders>
            <w:shd w:val="clear" w:color="auto" w:fill="auto"/>
            <w:tcMar>
              <w:top w:w="28" w:type="dxa"/>
              <w:left w:w="28" w:type="dxa"/>
            </w:tcMar>
          </w:tcPr>
          <w:p w:rsidR="00195FBD" w:rsidRPr="00195FBD" w:rsidDel="002D20DA" w:rsidRDefault="00195FBD" w:rsidP="00881477">
            <w:pPr>
              <w:spacing w:line="240" w:lineRule="auto"/>
              <w:rPr>
                <w:rFonts w:ascii="Arial" w:hAnsi="Arial" w:cs="Arial"/>
                <w:sz w:val="16"/>
                <w:szCs w:val="16"/>
              </w:rPr>
            </w:pPr>
            <w:bookmarkStart w:id="85" w:name="CU_27171210"/>
            <w:bookmarkEnd w:id="85"/>
            <w:r w:rsidRPr="00195FBD">
              <w:rPr>
                <w:rFonts w:ascii="Arial" w:hAnsi="Arial" w:cs="Arial"/>
                <w:sz w:val="16"/>
                <w:szCs w:val="16"/>
              </w:rPr>
              <w:t>Adefovir</w:t>
            </w:r>
          </w:p>
        </w:tc>
        <w:tc>
          <w:tcPr>
            <w:tcW w:w="709" w:type="dxa"/>
            <w:tcBorders>
              <w:bottom w:val="single" w:sz="4" w:space="0" w:color="auto"/>
            </w:tcBorders>
            <w:shd w:val="clear" w:color="auto" w:fill="auto"/>
            <w:tcMar>
              <w:top w:w="28" w:type="dxa"/>
              <w:left w:w="28" w:type="dxa"/>
            </w:tcMar>
          </w:tcPr>
          <w:p w:rsidR="00195FBD" w:rsidRPr="00195FBD" w:rsidDel="00195FBD" w:rsidRDefault="00195FBD" w:rsidP="00881477">
            <w:pPr>
              <w:spacing w:line="240" w:lineRule="auto"/>
              <w:rPr>
                <w:rFonts w:ascii="Arial" w:hAnsi="Arial" w:cs="Arial"/>
                <w:sz w:val="16"/>
                <w:szCs w:val="16"/>
              </w:rPr>
            </w:pPr>
            <w:r w:rsidRPr="00195FBD">
              <w:rPr>
                <w:rFonts w:ascii="Arial" w:hAnsi="Arial" w:cs="Arial"/>
                <w:sz w:val="16"/>
                <w:szCs w:val="16"/>
              </w:rPr>
              <w:t>C4490</w:t>
            </w:r>
          </w:p>
        </w:tc>
        <w:tc>
          <w:tcPr>
            <w:tcW w:w="709" w:type="dxa"/>
            <w:tcBorders>
              <w:bottom w:val="single" w:sz="4" w:space="0" w:color="auto"/>
            </w:tcBorders>
            <w:shd w:val="clear" w:color="auto" w:fill="auto"/>
            <w:tcMar>
              <w:top w:w="28" w:type="dxa"/>
              <w:left w:w="28" w:type="dxa"/>
            </w:tcMar>
          </w:tcPr>
          <w:p w:rsidR="00195FBD" w:rsidRPr="00195FBD" w:rsidDel="002D20DA" w:rsidRDefault="00195FBD"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195FBD" w:rsidRPr="00195FBD" w:rsidDel="00195FBD" w:rsidRDefault="00195FBD" w:rsidP="00881477">
            <w:pPr>
              <w:spacing w:line="240" w:lineRule="auto"/>
              <w:rPr>
                <w:rFonts w:ascii="Arial" w:hAnsi="Arial" w:cs="Arial"/>
                <w:sz w:val="16"/>
                <w:szCs w:val="16"/>
              </w:rPr>
            </w:pPr>
            <w:r w:rsidRPr="00195FBD">
              <w:rPr>
                <w:rFonts w:ascii="Arial" w:hAnsi="Arial" w:cs="Arial"/>
                <w:sz w:val="16"/>
                <w:szCs w:val="16"/>
              </w:rPr>
              <w:t>Chronic hepatitis B infection</w:t>
            </w:r>
            <w:r w:rsidRPr="00195FBD">
              <w:rPr>
                <w:rFonts w:ascii="Arial" w:hAnsi="Arial" w:cs="Arial"/>
                <w:sz w:val="16"/>
                <w:szCs w:val="16"/>
              </w:rPr>
              <w:br/>
              <w:t>Patient must not have cirrhosis; AND</w:t>
            </w:r>
            <w:r w:rsidRPr="00195FBD">
              <w:rPr>
                <w:rFonts w:ascii="Arial" w:hAnsi="Arial" w:cs="Arial"/>
                <w:sz w:val="16"/>
                <w:szCs w:val="16"/>
              </w:rPr>
              <w:br/>
              <w:t>Patient must have failed antihepadnaviral therapy; AND</w:t>
            </w:r>
            <w:r w:rsidRPr="00195FBD">
              <w:rPr>
                <w:rFonts w:ascii="Arial" w:hAnsi="Arial" w:cs="Arial"/>
                <w:sz w:val="16"/>
                <w:szCs w:val="16"/>
              </w:rPr>
              <w:br/>
              <w:t>Patient must have repeatedly elevated serum ALT levels while on concurrent antihepadnaviral therapy of greater than or equal to 6 months duration, in conjunction with documented chronic hepatitis B infection; OR</w:t>
            </w:r>
            <w:r w:rsidRPr="00195FBD">
              <w:rPr>
                <w:rFonts w:ascii="Arial" w:hAnsi="Arial" w:cs="Arial"/>
                <w:sz w:val="16"/>
                <w:szCs w:val="16"/>
              </w:rPr>
              <w:br/>
              <w:t>Patient must have repeatedly elevated HBV DNA levels one log greater than the nadir value or failure to achieve a 1 log reduction in HBV DNA within 3 months whilst on previous antihepadnaviral therapy, except in patients with evidence of poor compliance.</w:t>
            </w:r>
          </w:p>
        </w:tc>
        <w:tc>
          <w:tcPr>
            <w:tcW w:w="2552" w:type="dxa"/>
            <w:tcBorders>
              <w:bottom w:val="single" w:sz="4" w:space="0" w:color="auto"/>
            </w:tcBorders>
            <w:shd w:val="clear" w:color="auto" w:fill="auto"/>
            <w:tcMar>
              <w:top w:w="28" w:type="dxa"/>
              <w:left w:w="28" w:type="dxa"/>
              <w:right w:w="57" w:type="dxa"/>
            </w:tcMar>
          </w:tcPr>
          <w:p w:rsidR="00195FBD" w:rsidRPr="00195FBD" w:rsidDel="00195FBD" w:rsidRDefault="00195FBD" w:rsidP="00DC20A5">
            <w:pPr>
              <w:spacing w:line="240" w:lineRule="auto"/>
              <w:rPr>
                <w:rFonts w:ascii="Arial" w:hAnsi="Arial" w:cs="Arial"/>
                <w:sz w:val="16"/>
                <w:szCs w:val="16"/>
              </w:rPr>
            </w:pPr>
            <w:r w:rsidRPr="00195FBD">
              <w:rPr>
                <w:rFonts w:ascii="Arial" w:hAnsi="Arial" w:cs="Arial"/>
                <w:sz w:val="16"/>
                <w:szCs w:val="16"/>
              </w:rPr>
              <w:t>Compliance with Authority Required procedures - Streamlined Authority Code 4490</w:t>
            </w:r>
          </w:p>
        </w:tc>
      </w:tr>
      <w:tr w:rsidR="00195FBD" w:rsidRPr="00195FBD" w:rsidDel="002D20DA" w:rsidTr="008929EB">
        <w:tc>
          <w:tcPr>
            <w:tcW w:w="1729" w:type="dxa"/>
            <w:tcBorders>
              <w:bottom w:val="single" w:sz="4" w:space="0" w:color="auto"/>
            </w:tcBorders>
            <w:shd w:val="clear" w:color="auto" w:fill="auto"/>
            <w:tcMar>
              <w:top w:w="28" w:type="dxa"/>
              <w:left w:w="28" w:type="dxa"/>
            </w:tcMar>
          </w:tcPr>
          <w:p w:rsidR="00195FBD" w:rsidRPr="00195FBD" w:rsidDel="002D20DA" w:rsidRDefault="00195FBD"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195FBD" w:rsidRPr="00195FBD" w:rsidDel="00195FBD" w:rsidRDefault="00195FBD" w:rsidP="00881477">
            <w:pPr>
              <w:spacing w:line="240" w:lineRule="auto"/>
              <w:rPr>
                <w:rFonts w:ascii="Arial" w:hAnsi="Arial" w:cs="Arial"/>
                <w:sz w:val="16"/>
                <w:szCs w:val="16"/>
              </w:rPr>
            </w:pPr>
            <w:r w:rsidRPr="00195FBD">
              <w:rPr>
                <w:rFonts w:ascii="Arial" w:hAnsi="Arial" w:cs="Arial"/>
                <w:sz w:val="16"/>
                <w:szCs w:val="16"/>
              </w:rPr>
              <w:t>C4510</w:t>
            </w:r>
          </w:p>
        </w:tc>
        <w:tc>
          <w:tcPr>
            <w:tcW w:w="709" w:type="dxa"/>
            <w:tcBorders>
              <w:bottom w:val="single" w:sz="4" w:space="0" w:color="auto"/>
            </w:tcBorders>
            <w:shd w:val="clear" w:color="auto" w:fill="auto"/>
            <w:tcMar>
              <w:top w:w="28" w:type="dxa"/>
              <w:left w:w="28" w:type="dxa"/>
            </w:tcMar>
          </w:tcPr>
          <w:p w:rsidR="00195FBD" w:rsidRPr="00195FBD" w:rsidDel="002D20DA" w:rsidRDefault="00195FBD"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195FBD" w:rsidRPr="00195FBD" w:rsidDel="00195FBD" w:rsidRDefault="00195FBD" w:rsidP="00881477">
            <w:pPr>
              <w:spacing w:line="240" w:lineRule="auto"/>
              <w:rPr>
                <w:rFonts w:ascii="Arial" w:hAnsi="Arial" w:cs="Arial"/>
                <w:sz w:val="16"/>
                <w:szCs w:val="16"/>
              </w:rPr>
            </w:pPr>
            <w:r w:rsidRPr="00195FBD">
              <w:rPr>
                <w:rFonts w:ascii="Arial" w:hAnsi="Arial" w:cs="Arial"/>
                <w:sz w:val="16"/>
                <w:szCs w:val="16"/>
              </w:rPr>
              <w:t>Chronic hepatitis B infection</w:t>
            </w:r>
            <w:r w:rsidRPr="00195FBD">
              <w:rPr>
                <w:rFonts w:ascii="Arial" w:hAnsi="Arial" w:cs="Arial"/>
                <w:sz w:val="16"/>
                <w:szCs w:val="16"/>
              </w:rPr>
              <w:br/>
              <w:t>Patient must have cirrhosis; AND</w:t>
            </w:r>
            <w:r w:rsidRPr="00195FBD">
              <w:rPr>
                <w:rFonts w:ascii="Arial" w:hAnsi="Arial" w:cs="Arial"/>
                <w:sz w:val="16"/>
                <w:szCs w:val="16"/>
              </w:rPr>
              <w:br/>
              <w:t>Patient must have failed antihepadnaviral therapy; AND</w:t>
            </w:r>
            <w:r w:rsidRPr="00195FBD">
              <w:rPr>
                <w:rFonts w:ascii="Arial" w:hAnsi="Arial" w:cs="Arial"/>
                <w:sz w:val="16"/>
                <w:szCs w:val="16"/>
              </w:rPr>
              <w:br/>
              <w:t>Patient must have detectable HBV DNA.</w:t>
            </w:r>
            <w:r w:rsidRPr="00195FBD">
              <w:rPr>
                <w:rFonts w:ascii="Arial" w:hAnsi="Arial" w:cs="Arial"/>
                <w:sz w:val="16"/>
                <w:szCs w:val="16"/>
              </w:rPr>
              <w:br/>
              <w:t>Patients with Child</w:t>
            </w:r>
            <w:r w:rsidR="00A653CA">
              <w:rPr>
                <w:rFonts w:ascii="Arial" w:hAnsi="Arial" w:cs="Arial"/>
                <w:sz w:val="16"/>
                <w:szCs w:val="16"/>
              </w:rPr>
              <w:t>’</w:t>
            </w:r>
            <w:r w:rsidRPr="00195FBD">
              <w:rPr>
                <w:rFonts w:ascii="Arial" w:hAnsi="Arial" w:cs="Arial"/>
                <w:sz w:val="16"/>
                <w:szCs w:val="16"/>
              </w:rPr>
              <w:t>s class B or C cirrhosis (ascites, variceal bleeding, encephalopathy, albumin less than 30 g per L, bilirubin greater than 30 micromoles per L) should have their treatment discussed with a transplant unit prior to initiating therapy.</w:t>
            </w:r>
          </w:p>
        </w:tc>
        <w:tc>
          <w:tcPr>
            <w:tcW w:w="2552" w:type="dxa"/>
            <w:tcBorders>
              <w:bottom w:val="single" w:sz="4" w:space="0" w:color="auto"/>
            </w:tcBorders>
            <w:shd w:val="clear" w:color="auto" w:fill="auto"/>
            <w:tcMar>
              <w:top w:w="28" w:type="dxa"/>
              <w:left w:w="28" w:type="dxa"/>
              <w:right w:w="57" w:type="dxa"/>
            </w:tcMar>
          </w:tcPr>
          <w:p w:rsidR="00195FBD" w:rsidRPr="00195FBD" w:rsidDel="00195FBD" w:rsidRDefault="00195FBD" w:rsidP="00DC20A5">
            <w:pPr>
              <w:spacing w:line="240" w:lineRule="auto"/>
              <w:rPr>
                <w:rFonts w:ascii="Arial" w:hAnsi="Arial" w:cs="Arial"/>
                <w:sz w:val="16"/>
                <w:szCs w:val="16"/>
              </w:rPr>
            </w:pPr>
            <w:r w:rsidRPr="00195FBD">
              <w:rPr>
                <w:rFonts w:ascii="Arial" w:hAnsi="Arial" w:cs="Arial"/>
                <w:sz w:val="16"/>
                <w:szCs w:val="16"/>
              </w:rPr>
              <w:t>Compliance with Authority Required procedures - Streamlined Authority Code 4510</w:t>
            </w:r>
          </w:p>
        </w:tc>
      </w:tr>
      <w:tr w:rsidR="00F05C1E" w:rsidRPr="00E106BD" w:rsidDel="00742074" w:rsidTr="008929EB">
        <w:trPr>
          <w:cantSplit/>
        </w:trPr>
        <w:tc>
          <w:tcPr>
            <w:tcW w:w="1729" w:type="dxa"/>
            <w:shd w:val="clear" w:color="auto" w:fill="auto"/>
            <w:tcMar>
              <w:top w:w="28" w:type="dxa"/>
              <w:left w:w="28" w:type="dxa"/>
            </w:tcMar>
          </w:tcPr>
          <w:p w:rsidR="00F05C1E" w:rsidRPr="00E106BD" w:rsidDel="00742074" w:rsidRDefault="00F05C1E" w:rsidP="00881477">
            <w:pPr>
              <w:spacing w:line="240" w:lineRule="auto"/>
              <w:rPr>
                <w:rFonts w:ascii="Arial" w:hAnsi="Arial" w:cs="Arial"/>
                <w:sz w:val="16"/>
                <w:szCs w:val="16"/>
              </w:rPr>
            </w:pPr>
            <w:r w:rsidRPr="00E106BD">
              <w:rPr>
                <w:rFonts w:ascii="Arial" w:hAnsi="Arial" w:cs="Arial"/>
                <w:sz w:val="16"/>
                <w:szCs w:val="16"/>
              </w:rPr>
              <w:t>Alemtuzumab</w:t>
            </w:r>
          </w:p>
        </w:tc>
        <w:tc>
          <w:tcPr>
            <w:tcW w:w="709" w:type="dxa"/>
            <w:tcBorders>
              <w:bottom w:val="single" w:sz="4" w:space="0" w:color="auto"/>
            </w:tcBorders>
            <w:shd w:val="clear" w:color="auto" w:fill="auto"/>
            <w:tcMar>
              <w:top w:w="28" w:type="dxa"/>
              <w:left w:w="28" w:type="dxa"/>
            </w:tcMar>
          </w:tcPr>
          <w:p w:rsidR="00F05C1E" w:rsidRPr="00E106BD" w:rsidDel="00742074" w:rsidRDefault="00F05C1E" w:rsidP="00881477">
            <w:pPr>
              <w:spacing w:line="240" w:lineRule="auto"/>
              <w:rPr>
                <w:rFonts w:ascii="Arial" w:hAnsi="Arial" w:cs="Arial"/>
                <w:sz w:val="16"/>
                <w:szCs w:val="16"/>
              </w:rPr>
            </w:pPr>
            <w:r w:rsidRPr="00E106BD">
              <w:rPr>
                <w:rFonts w:ascii="Arial" w:hAnsi="Arial" w:cs="Arial"/>
                <w:sz w:val="16"/>
                <w:szCs w:val="16"/>
              </w:rPr>
              <w:t>C6847</w:t>
            </w:r>
          </w:p>
        </w:tc>
        <w:tc>
          <w:tcPr>
            <w:tcW w:w="709" w:type="dxa"/>
            <w:tcBorders>
              <w:bottom w:val="single" w:sz="4" w:space="0" w:color="auto"/>
            </w:tcBorders>
            <w:shd w:val="clear" w:color="auto" w:fill="auto"/>
            <w:tcMar>
              <w:top w:w="28" w:type="dxa"/>
              <w:left w:w="28" w:type="dxa"/>
            </w:tcMar>
          </w:tcPr>
          <w:p w:rsidR="00F05C1E" w:rsidRPr="00E106BD" w:rsidDel="00742074" w:rsidRDefault="00F05C1E" w:rsidP="00881477">
            <w:pPr>
              <w:spacing w:line="240" w:lineRule="auto"/>
              <w:rPr>
                <w:rFonts w:ascii="Arial" w:hAnsi="Arial" w:cs="Arial"/>
                <w:sz w:val="16"/>
                <w:szCs w:val="16"/>
              </w:rPr>
            </w:pPr>
            <w:r w:rsidRPr="00E106BD">
              <w:rPr>
                <w:rFonts w:ascii="Arial" w:hAnsi="Arial" w:cs="Arial"/>
                <w:sz w:val="16"/>
                <w:szCs w:val="16"/>
              </w:rPr>
              <w:t>P6847</w:t>
            </w:r>
          </w:p>
        </w:tc>
        <w:tc>
          <w:tcPr>
            <w:tcW w:w="7654" w:type="dxa"/>
            <w:tcBorders>
              <w:bottom w:val="single" w:sz="4" w:space="0" w:color="auto"/>
            </w:tcBorders>
            <w:shd w:val="clear" w:color="auto" w:fill="auto"/>
            <w:tcMar>
              <w:top w:w="28" w:type="dxa"/>
              <w:left w:w="28" w:type="dxa"/>
            </w:tcMar>
          </w:tcPr>
          <w:p w:rsidR="00F05C1E" w:rsidRPr="00E106BD" w:rsidDel="00742074" w:rsidRDefault="00F05C1E" w:rsidP="00881477">
            <w:pPr>
              <w:spacing w:line="240" w:lineRule="auto"/>
              <w:rPr>
                <w:rFonts w:ascii="Arial" w:hAnsi="Arial" w:cs="Arial"/>
                <w:sz w:val="16"/>
                <w:szCs w:val="16"/>
              </w:rPr>
            </w:pPr>
            <w:r w:rsidRPr="00E106BD">
              <w:rPr>
                <w:rFonts w:ascii="Arial" w:hAnsi="Arial" w:cs="Arial"/>
                <w:sz w:val="16"/>
                <w:szCs w:val="16"/>
              </w:rPr>
              <w:t>Multiple sclerosis</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show continuing progression of disability while on treatment with this drug; AND</w:t>
            </w:r>
            <w:r w:rsidRPr="00E106BD">
              <w:rPr>
                <w:rFonts w:ascii="Arial" w:hAnsi="Arial" w:cs="Arial"/>
                <w:sz w:val="16"/>
                <w:szCs w:val="16"/>
              </w:rPr>
              <w:br/>
              <w:t>Patient must not receive more than one PBS</w:t>
            </w:r>
            <w:r>
              <w:rPr>
                <w:rFonts w:ascii="Arial" w:hAnsi="Arial" w:cs="Arial"/>
                <w:sz w:val="16"/>
                <w:szCs w:val="16"/>
              </w:rPr>
              <w:noBreakHyphen/>
            </w:r>
            <w:r w:rsidRPr="00E106BD">
              <w:rPr>
                <w:rFonts w:ascii="Arial" w:hAnsi="Arial" w:cs="Arial"/>
                <w:sz w:val="16"/>
                <w:szCs w:val="16"/>
              </w:rPr>
              <w:t>subsidised treatment per year; AND</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demonstrated compliance with, and an ability to tolerate this therapy.</w:t>
            </w:r>
            <w:r w:rsidRPr="00E106BD">
              <w:rPr>
                <w:rFonts w:ascii="Arial" w:hAnsi="Arial" w:cs="Arial"/>
                <w:sz w:val="16"/>
                <w:szCs w:val="16"/>
              </w:rPr>
              <w:br/>
              <w:t>Must be treated by a neurologist.</w:t>
            </w:r>
          </w:p>
        </w:tc>
        <w:tc>
          <w:tcPr>
            <w:tcW w:w="2552" w:type="dxa"/>
            <w:tcBorders>
              <w:bottom w:val="single" w:sz="4" w:space="0" w:color="auto"/>
            </w:tcBorders>
            <w:shd w:val="clear" w:color="auto" w:fill="auto"/>
            <w:tcMar>
              <w:top w:w="28" w:type="dxa"/>
              <w:left w:w="28" w:type="dxa"/>
              <w:right w:w="57" w:type="dxa"/>
            </w:tcMar>
          </w:tcPr>
          <w:p w:rsidR="00F05C1E" w:rsidRPr="00E106BD" w:rsidDel="00742074" w:rsidRDefault="00F05C1E" w:rsidP="00596341">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6847</w:t>
            </w:r>
          </w:p>
        </w:tc>
      </w:tr>
      <w:tr w:rsidR="00F05C1E" w:rsidRPr="00E106BD" w:rsidDel="00742074" w:rsidTr="008929EB">
        <w:tc>
          <w:tcPr>
            <w:tcW w:w="1729" w:type="dxa"/>
            <w:tcBorders>
              <w:bottom w:val="single" w:sz="4" w:space="0" w:color="auto"/>
            </w:tcBorders>
            <w:shd w:val="clear" w:color="auto" w:fill="auto"/>
            <w:tcMar>
              <w:top w:w="28" w:type="dxa"/>
              <w:left w:w="28" w:type="dxa"/>
            </w:tcMar>
          </w:tcPr>
          <w:p w:rsidR="00F05C1E" w:rsidRPr="00E106BD" w:rsidDel="00742074"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C7714</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P7714</w:t>
            </w: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after="60"/>
              <w:rPr>
                <w:rFonts w:ascii="Arial" w:hAnsi="Arial" w:cs="Arial"/>
                <w:sz w:val="16"/>
                <w:szCs w:val="16"/>
              </w:rPr>
            </w:pPr>
            <w:r w:rsidRPr="00E106BD">
              <w:rPr>
                <w:rFonts w:ascii="Arial" w:hAnsi="Arial" w:cs="Arial"/>
                <w:sz w:val="16"/>
                <w:szCs w:val="16"/>
              </w:rPr>
              <w:t>Multiple sclerosis</w:t>
            </w:r>
          </w:p>
          <w:p w:rsidR="00F05C1E" w:rsidRPr="00E106BD" w:rsidRDefault="00F05C1E" w:rsidP="00881477">
            <w:pPr>
              <w:spacing w:after="60"/>
              <w:rPr>
                <w:rFonts w:ascii="Arial" w:hAnsi="Arial" w:cs="Arial"/>
                <w:sz w:val="16"/>
                <w:szCs w:val="16"/>
              </w:rPr>
            </w:pPr>
            <w:r w:rsidRPr="00E106BD">
              <w:rPr>
                <w:rFonts w:ascii="Arial" w:hAnsi="Arial" w:cs="Arial"/>
                <w:sz w:val="16"/>
                <w:szCs w:val="16"/>
              </w:rPr>
              <w:t>Initial treatment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magnetic resonance imaging of the brain and/or spinal cord; OR</w:t>
            </w:r>
            <w:r w:rsidRPr="00E106BD">
              <w:rPr>
                <w:rFonts w:ascii="Arial" w:hAnsi="Arial" w:cs="Arial"/>
                <w:sz w:val="16"/>
                <w:szCs w:val="16"/>
              </w:rPr>
              <w:b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accompanying written certification provided by a radiologist that a magnetic resonance imaging scan is contraindicated because of the risk of physical (not psychological) injury to the patient; AND</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w:t>
            </w:r>
            <w:r w:rsidRPr="00E106BD">
              <w:rPr>
                <w:rFonts w:ascii="Arial" w:hAnsi="Arial" w:cs="Arial"/>
                <w:sz w:val="16"/>
                <w:szCs w:val="16"/>
              </w:rPr>
              <w:br/>
              <w:t>Must be treated by a neurologist.</w:t>
            </w:r>
            <w:r w:rsidRPr="00E106BD">
              <w:rPr>
                <w:rFonts w:ascii="Arial" w:hAnsi="Arial" w:cs="Arial"/>
                <w:sz w:val="16"/>
                <w:szCs w:val="16"/>
              </w:rPr>
              <w:br/>
              <w:t>Where applicable, the date of the magnetic resonance imaging scan must be recorded in the patient</w:t>
            </w:r>
            <w:r w:rsidR="00A653CA">
              <w:rPr>
                <w:rFonts w:ascii="Arial" w:hAnsi="Arial" w:cs="Arial"/>
                <w:sz w:val="16"/>
                <w:szCs w:val="16"/>
              </w:rPr>
              <w:t>’</w:t>
            </w:r>
            <w:r w:rsidRPr="00E106BD">
              <w:rPr>
                <w:rFonts w:ascii="Arial" w:hAnsi="Arial" w:cs="Arial"/>
                <w:sz w:val="16"/>
                <w:szCs w:val="16"/>
              </w:rPr>
              <w:t>s medical records.</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1D1DC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7714</w:t>
            </w:r>
          </w:p>
        </w:tc>
      </w:tr>
      <w:tr w:rsidR="00F05C1E" w:rsidRPr="00E106BD" w:rsidDel="003142D3" w:rsidTr="008929EB">
        <w:trPr>
          <w:cantSplit/>
        </w:trPr>
        <w:tc>
          <w:tcPr>
            <w:tcW w:w="1729"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r w:rsidRPr="00E106BD">
              <w:rPr>
                <w:rFonts w:ascii="Arial" w:hAnsi="Arial" w:cs="Arial"/>
                <w:sz w:val="16"/>
                <w:szCs w:val="16"/>
              </w:rPr>
              <w:t>C9589</w:t>
            </w:r>
          </w:p>
        </w:tc>
        <w:tc>
          <w:tcPr>
            <w:tcW w:w="709"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r w:rsidRPr="00E106BD">
              <w:rPr>
                <w:rFonts w:ascii="Arial" w:hAnsi="Arial" w:cs="Arial"/>
                <w:sz w:val="16"/>
                <w:szCs w:val="16"/>
              </w:rPr>
              <w:t>P9589</w:t>
            </w:r>
          </w:p>
        </w:tc>
        <w:tc>
          <w:tcPr>
            <w:tcW w:w="7654"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r w:rsidRPr="00E106BD">
              <w:rPr>
                <w:rFonts w:ascii="Arial" w:hAnsi="Arial" w:cs="Arial"/>
                <w:sz w:val="16"/>
                <w:szCs w:val="16"/>
              </w:rPr>
              <w:t>Multiple sclerosis</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show continuing progression of disability while on treatment with this drug; AND</w:t>
            </w:r>
            <w:r w:rsidRPr="00E106BD">
              <w:rPr>
                <w:rFonts w:ascii="Arial" w:hAnsi="Arial" w:cs="Arial"/>
                <w:sz w:val="16"/>
                <w:szCs w:val="16"/>
              </w:rPr>
              <w:br/>
              <w:t>Patient must not receive more than one PBS</w:t>
            </w:r>
            <w:r>
              <w:rPr>
                <w:rFonts w:ascii="Arial" w:hAnsi="Arial" w:cs="Arial"/>
                <w:sz w:val="16"/>
                <w:szCs w:val="16"/>
              </w:rPr>
              <w:noBreakHyphen/>
            </w:r>
            <w:r w:rsidRPr="00E106BD">
              <w:rPr>
                <w:rFonts w:ascii="Arial" w:hAnsi="Arial" w:cs="Arial"/>
                <w:sz w:val="16"/>
                <w:szCs w:val="16"/>
              </w:rPr>
              <w:t>subsidised treatment per year; AND</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demonstrated compliance with, and an ability to tolerate this therapy.</w:t>
            </w:r>
            <w:r w:rsidRPr="00E106BD">
              <w:rPr>
                <w:rFonts w:ascii="Arial" w:hAnsi="Arial" w:cs="Arial"/>
                <w:sz w:val="16"/>
                <w:szCs w:val="16"/>
              </w:rPr>
              <w:br/>
              <w:t>Must be treated by a neurologist.</w:t>
            </w:r>
          </w:p>
        </w:tc>
        <w:tc>
          <w:tcPr>
            <w:tcW w:w="2552" w:type="dxa"/>
            <w:tcBorders>
              <w:bottom w:val="single" w:sz="4" w:space="0" w:color="auto"/>
            </w:tcBorders>
            <w:shd w:val="clear" w:color="auto" w:fill="auto"/>
            <w:tcMar>
              <w:top w:w="28" w:type="dxa"/>
              <w:left w:w="28" w:type="dxa"/>
              <w:right w:w="57" w:type="dxa"/>
            </w:tcMar>
          </w:tcPr>
          <w:p w:rsidR="00F05C1E" w:rsidRPr="00E106BD" w:rsidDel="003142D3" w:rsidRDefault="00F05C1E" w:rsidP="001D1DC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9589</w:t>
            </w:r>
          </w:p>
        </w:tc>
      </w:tr>
      <w:tr w:rsidR="00F05C1E" w:rsidRPr="00E106BD" w:rsidDel="003142D3" w:rsidTr="008929EB">
        <w:trPr>
          <w:cantSplit/>
        </w:trPr>
        <w:tc>
          <w:tcPr>
            <w:tcW w:w="1729"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r w:rsidRPr="00E106BD">
              <w:rPr>
                <w:rFonts w:ascii="Arial" w:hAnsi="Arial" w:cs="Arial"/>
                <w:sz w:val="16"/>
                <w:szCs w:val="16"/>
              </w:rPr>
              <w:t>C9636</w:t>
            </w:r>
          </w:p>
        </w:tc>
        <w:tc>
          <w:tcPr>
            <w:tcW w:w="709"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r w:rsidRPr="00E106BD">
              <w:rPr>
                <w:rFonts w:ascii="Arial" w:hAnsi="Arial" w:cs="Arial"/>
                <w:sz w:val="16"/>
                <w:szCs w:val="16"/>
              </w:rPr>
              <w:t>P9636</w:t>
            </w:r>
          </w:p>
        </w:tc>
        <w:tc>
          <w:tcPr>
            <w:tcW w:w="7654"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r w:rsidRPr="00E106BD">
              <w:rPr>
                <w:rFonts w:ascii="Arial" w:hAnsi="Arial" w:cs="Arial"/>
                <w:sz w:val="16"/>
                <w:szCs w:val="16"/>
              </w:rPr>
              <w:t>Multiple sclerosis</w:t>
            </w:r>
            <w:r w:rsidRPr="00E106BD">
              <w:rPr>
                <w:rFonts w:ascii="Arial" w:hAnsi="Arial" w:cs="Arial"/>
                <w:sz w:val="16"/>
                <w:szCs w:val="16"/>
              </w:rPr>
              <w:br/>
              <w:t>Initial treatment</w:t>
            </w:r>
            <w:r w:rsidRPr="00E106BD">
              <w:rPr>
                <w:rFonts w:ascii="Arial" w:hAnsi="Arial" w:cs="Arial"/>
                <w:sz w:val="16"/>
                <w:szCs w:val="16"/>
              </w:rPr>
              <w:b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magnetic resonance imaging of the brain and/or spinal cord; OR</w:t>
            </w:r>
            <w:r w:rsidRPr="00E106BD">
              <w:rPr>
                <w:rFonts w:ascii="Arial" w:hAnsi="Arial" w:cs="Arial"/>
                <w:sz w:val="16"/>
                <w:szCs w:val="16"/>
              </w:rPr>
              <w:b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accompanying written certification provided by a radiologist that a magnetic resonance imaging scan is contraindicated because of the risk of physical (not psychological) injury to the patient; AND</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w:t>
            </w:r>
            <w:r w:rsidRPr="00E106BD">
              <w:rPr>
                <w:rFonts w:ascii="Arial" w:hAnsi="Arial" w:cs="Arial"/>
                <w:sz w:val="16"/>
                <w:szCs w:val="16"/>
              </w:rPr>
              <w:br/>
              <w:t>Must be treated by a neurologist.</w:t>
            </w:r>
            <w:r w:rsidRPr="00E106BD">
              <w:rPr>
                <w:rFonts w:ascii="Arial" w:hAnsi="Arial" w:cs="Arial"/>
                <w:sz w:val="16"/>
                <w:szCs w:val="16"/>
              </w:rPr>
              <w:br/>
              <w:t>Where applicable, the date of the magnetic resonance imaging scan must be recorded in the patient</w:t>
            </w:r>
            <w:r w:rsidR="00A653CA">
              <w:rPr>
                <w:rFonts w:ascii="Arial" w:hAnsi="Arial" w:cs="Arial"/>
                <w:sz w:val="16"/>
                <w:szCs w:val="16"/>
              </w:rPr>
              <w:t>’</w:t>
            </w:r>
            <w:r w:rsidRPr="00E106BD">
              <w:rPr>
                <w:rFonts w:ascii="Arial" w:hAnsi="Arial" w:cs="Arial"/>
                <w:sz w:val="16"/>
                <w:szCs w:val="16"/>
              </w:rPr>
              <w:t>s medical records.</w:t>
            </w:r>
          </w:p>
        </w:tc>
        <w:tc>
          <w:tcPr>
            <w:tcW w:w="2552" w:type="dxa"/>
            <w:tcBorders>
              <w:bottom w:val="single" w:sz="4" w:space="0" w:color="auto"/>
            </w:tcBorders>
            <w:shd w:val="clear" w:color="auto" w:fill="auto"/>
            <w:tcMar>
              <w:top w:w="28" w:type="dxa"/>
              <w:left w:w="28" w:type="dxa"/>
              <w:right w:w="57" w:type="dxa"/>
            </w:tcMar>
          </w:tcPr>
          <w:p w:rsidR="00F05C1E" w:rsidRPr="00E106BD" w:rsidDel="003142D3" w:rsidRDefault="00F05C1E" w:rsidP="001D1DC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9636</w:t>
            </w:r>
          </w:p>
        </w:tc>
      </w:tr>
      <w:tr w:rsidR="00F05C1E" w:rsidRPr="00E106BD" w:rsidDel="003142D3" w:rsidTr="008929EB">
        <w:tc>
          <w:tcPr>
            <w:tcW w:w="1729" w:type="dxa"/>
            <w:tcBorders>
              <w:bottom w:val="single" w:sz="4" w:space="0" w:color="auto"/>
            </w:tcBorders>
            <w:shd w:val="clear" w:color="auto" w:fill="auto"/>
            <w:tcMar>
              <w:top w:w="28" w:type="dxa"/>
              <w:left w:w="28" w:type="dxa"/>
            </w:tcMar>
          </w:tcPr>
          <w:p w:rsidR="00F05C1E" w:rsidRPr="00B0756C" w:rsidDel="003142D3" w:rsidRDefault="00F05C1E" w:rsidP="00881477">
            <w:pPr>
              <w:spacing w:line="240" w:lineRule="auto"/>
              <w:rPr>
                <w:rFonts w:ascii="Arial" w:hAnsi="Arial" w:cs="Arial"/>
                <w:sz w:val="16"/>
                <w:szCs w:val="16"/>
              </w:rPr>
            </w:pPr>
            <w:r w:rsidRPr="00B71EB0">
              <w:rPr>
                <w:rFonts w:ascii="Arial" w:hAnsi="Arial" w:cs="Arial"/>
                <w:sz w:val="16"/>
                <w:szCs w:val="16"/>
              </w:rPr>
              <w:t>Ambrisentan</w:t>
            </w:r>
          </w:p>
        </w:tc>
        <w:tc>
          <w:tcPr>
            <w:tcW w:w="709"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r w:rsidRPr="00B71EB0">
              <w:rPr>
                <w:rFonts w:ascii="Arial" w:hAnsi="Arial" w:cs="Arial"/>
                <w:sz w:val="16"/>
                <w:szCs w:val="16"/>
              </w:rPr>
              <w:t>C10228</w:t>
            </w:r>
          </w:p>
        </w:tc>
        <w:tc>
          <w:tcPr>
            <w:tcW w:w="709"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r w:rsidRPr="00B71EB0">
              <w:rPr>
                <w:rFonts w:ascii="Arial" w:hAnsi="Arial" w:cs="Arial"/>
                <w:sz w:val="16"/>
                <w:szCs w:val="16"/>
              </w:rPr>
              <w:t>Pulmonary arterial hypertension (PAH)</w:t>
            </w:r>
            <w:r w:rsidRPr="00B71EB0">
              <w:rPr>
                <w:rFonts w:ascii="Arial" w:hAnsi="Arial" w:cs="Arial"/>
                <w:sz w:val="16"/>
                <w:szCs w:val="16"/>
              </w:rPr>
              <w:br/>
              <w:t>Continuing treatment</w:t>
            </w:r>
            <w:r w:rsidRPr="00B71EB0">
              <w:rPr>
                <w:rFonts w:ascii="Arial" w:hAnsi="Arial" w:cs="Arial"/>
                <w:sz w:val="16"/>
                <w:szCs w:val="16"/>
              </w:rPr>
              <w:br/>
              <w:t>Patient must have received their most recent course of PBS-subsidised treatment with this PAH agent for this condition; AND</w:t>
            </w:r>
            <w:r w:rsidRPr="00B71EB0">
              <w:rPr>
                <w:rFonts w:ascii="Arial" w:hAnsi="Arial" w:cs="Arial"/>
                <w:sz w:val="16"/>
                <w:szCs w:val="16"/>
              </w:rPr>
              <w:br/>
              <w:t>The treatment must be the sole PBS-subsidised PAH agent for this condition.</w:t>
            </w:r>
            <w:r w:rsidRPr="00B71EB0">
              <w:rPr>
                <w:rFonts w:ascii="Arial" w:hAnsi="Arial" w:cs="Arial"/>
                <w:sz w:val="16"/>
                <w:szCs w:val="16"/>
              </w:rPr>
              <w:br/>
              <w:t xml:space="preserve">The term </w:t>
            </w:r>
            <w:r w:rsidR="00A653CA">
              <w:rPr>
                <w:rFonts w:ascii="Arial" w:hAnsi="Arial" w:cs="Arial"/>
                <w:sz w:val="16"/>
                <w:szCs w:val="16"/>
              </w:rPr>
              <w:t>‘</w:t>
            </w:r>
            <w:r w:rsidRPr="00B71EB0">
              <w:rPr>
                <w:rFonts w:ascii="Arial" w:hAnsi="Arial" w:cs="Arial"/>
                <w:sz w:val="16"/>
                <w:szCs w:val="16"/>
              </w:rPr>
              <w:t>PAH agents</w:t>
            </w:r>
            <w:r w:rsidR="00A653CA">
              <w:rPr>
                <w:rFonts w:ascii="Arial" w:hAnsi="Arial" w:cs="Arial"/>
                <w:sz w:val="16"/>
                <w:szCs w:val="16"/>
              </w:rPr>
              <w:t>’</w:t>
            </w:r>
            <w:r w:rsidRPr="00B71EB0">
              <w:rPr>
                <w:rFonts w:ascii="Arial" w:hAnsi="Arial" w:cs="Arial"/>
                <w:sz w:val="16"/>
                <w:szCs w:val="16"/>
              </w:rPr>
              <w:t xml:space="preserve"> refers to bosentan monohydrate, iloprost trometamol, epoprostenol sodium, sildenafil citrate, ambrisentan, tadalafil, macitentan, and riociguat.</w:t>
            </w:r>
            <w:r w:rsidRPr="00B71EB0">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B71EB0">
              <w:rPr>
                <w:rFonts w:ascii="Arial" w:hAnsi="Arial" w:cs="Arial"/>
                <w:sz w:val="16"/>
                <w:szCs w:val="16"/>
              </w:rPr>
              <w:br/>
              <w:t>The maximum quantity authorised will be limited to provide sufficient supply for 1 month of treatment, based on the dosage recommendations in the TGA-approved Product Information.</w:t>
            </w:r>
            <w:r w:rsidRPr="00B71EB0">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B0756C" w:rsidRDefault="00F05C1E" w:rsidP="001D1DC7">
            <w:pPr>
              <w:spacing w:line="240" w:lineRule="auto"/>
              <w:rPr>
                <w:rFonts w:ascii="Arial" w:hAnsi="Arial" w:cs="Arial"/>
                <w:sz w:val="16"/>
                <w:szCs w:val="16"/>
              </w:rPr>
            </w:pPr>
            <w:r w:rsidRPr="00B71EB0">
              <w:rPr>
                <w:rFonts w:ascii="Arial" w:hAnsi="Arial" w:cs="Arial"/>
                <w:sz w:val="16"/>
                <w:szCs w:val="16"/>
              </w:rPr>
              <w:t>Compliance with Authority Required procedures</w:t>
            </w:r>
          </w:p>
        </w:tc>
      </w:tr>
      <w:tr w:rsidR="00F05C1E" w:rsidRPr="00E106BD" w:rsidDel="003142D3" w:rsidTr="008929EB">
        <w:trPr>
          <w:cantSplit/>
        </w:trPr>
        <w:tc>
          <w:tcPr>
            <w:tcW w:w="1729" w:type="dxa"/>
            <w:tcBorders>
              <w:bottom w:val="single" w:sz="4" w:space="0" w:color="auto"/>
            </w:tcBorders>
            <w:shd w:val="clear" w:color="auto" w:fill="auto"/>
            <w:tcMar>
              <w:top w:w="28" w:type="dxa"/>
              <w:left w:w="28" w:type="dxa"/>
            </w:tcMar>
          </w:tcPr>
          <w:p w:rsidR="00F05C1E" w:rsidRPr="00B0756C" w:rsidDel="003142D3"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r w:rsidRPr="00B71EB0">
              <w:rPr>
                <w:rFonts w:ascii="Arial" w:hAnsi="Arial" w:cs="Arial"/>
                <w:sz w:val="16"/>
                <w:szCs w:val="16"/>
              </w:rPr>
              <w:t>C10236</w:t>
            </w:r>
          </w:p>
        </w:tc>
        <w:tc>
          <w:tcPr>
            <w:tcW w:w="709"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r w:rsidRPr="00B71EB0">
              <w:rPr>
                <w:rFonts w:ascii="Arial" w:hAnsi="Arial" w:cs="Arial"/>
                <w:sz w:val="16"/>
                <w:szCs w:val="16"/>
              </w:rPr>
              <w:t>Pulmonary arterial hypertension (PAH)</w:t>
            </w:r>
            <w:r w:rsidRPr="00B71EB0">
              <w:rPr>
                <w:rFonts w:ascii="Arial" w:hAnsi="Arial" w:cs="Arial"/>
                <w:sz w:val="16"/>
                <w:szCs w:val="16"/>
              </w:rPr>
              <w:br/>
              <w:t>Initial 2 (change)</w:t>
            </w:r>
            <w:r w:rsidRPr="00B71EB0">
              <w:rPr>
                <w:rFonts w:ascii="Arial" w:hAnsi="Arial" w:cs="Arial"/>
                <w:sz w:val="16"/>
                <w:szCs w:val="16"/>
              </w:rPr>
              <w:br/>
              <w:t>Patient must have documented WHO Functional Class II PAH, or WHO Functional Class III PAH, or WHO Functional Class IV PAH; AND</w:t>
            </w:r>
            <w:r w:rsidRPr="00B71EB0">
              <w:rPr>
                <w:rFonts w:ascii="Arial" w:hAnsi="Arial" w:cs="Arial"/>
                <w:sz w:val="16"/>
                <w:szCs w:val="16"/>
              </w:rPr>
              <w:br/>
              <w:t>Patient must have had their most recent course of PBS-subsidised treatment for this condition with a PAH agent other than this agent; AND</w:t>
            </w:r>
            <w:r w:rsidRPr="00B71EB0">
              <w:rPr>
                <w:rFonts w:ascii="Arial" w:hAnsi="Arial" w:cs="Arial"/>
                <w:sz w:val="16"/>
                <w:szCs w:val="16"/>
              </w:rPr>
              <w:br/>
              <w:t>The treatment must be the sole PBS-subsidised PAH agent for this condition.</w:t>
            </w:r>
            <w:r w:rsidRPr="00B71EB0">
              <w:rPr>
                <w:rFonts w:ascii="Arial" w:hAnsi="Arial" w:cs="Arial"/>
                <w:sz w:val="16"/>
                <w:szCs w:val="16"/>
              </w:rPr>
              <w:br/>
              <w:t xml:space="preserve">The term </w:t>
            </w:r>
            <w:r w:rsidR="00A653CA">
              <w:rPr>
                <w:rFonts w:ascii="Arial" w:hAnsi="Arial" w:cs="Arial"/>
                <w:sz w:val="16"/>
                <w:szCs w:val="16"/>
              </w:rPr>
              <w:t>‘</w:t>
            </w:r>
            <w:r w:rsidRPr="00B71EB0">
              <w:rPr>
                <w:rFonts w:ascii="Arial" w:hAnsi="Arial" w:cs="Arial"/>
                <w:sz w:val="16"/>
                <w:szCs w:val="16"/>
              </w:rPr>
              <w:t>PAH agents</w:t>
            </w:r>
            <w:r w:rsidR="00A653CA">
              <w:rPr>
                <w:rFonts w:ascii="Arial" w:hAnsi="Arial" w:cs="Arial"/>
                <w:sz w:val="16"/>
                <w:szCs w:val="16"/>
              </w:rPr>
              <w:t>’</w:t>
            </w:r>
            <w:r w:rsidRPr="00B71EB0">
              <w:rPr>
                <w:rFonts w:ascii="Arial" w:hAnsi="Arial" w:cs="Arial"/>
                <w:sz w:val="16"/>
                <w:szCs w:val="16"/>
              </w:rPr>
              <w:t xml:space="preserve"> refers to bosentan monohydrate, iloprost trometamol, epoprostenol sodium, sildenafil citrate, ambrisentan, tadalafil, macitentan, and riociguat.</w:t>
            </w:r>
            <w:r w:rsidRPr="00B71EB0">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B71EB0">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sidR="00A653CA">
              <w:rPr>
                <w:rFonts w:ascii="Arial" w:hAnsi="Arial" w:cs="Arial"/>
                <w:sz w:val="16"/>
                <w:szCs w:val="16"/>
              </w:rPr>
              <w:t>’</w:t>
            </w:r>
            <w:r w:rsidRPr="00B71EB0">
              <w:rPr>
                <w:rFonts w:ascii="Arial" w:hAnsi="Arial" w:cs="Arial"/>
                <w:sz w:val="16"/>
                <w:szCs w:val="16"/>
              </w:rPr>
              <w:t>s restriction, irrespective of the severity of their disease at the time the application to swap therapy is submitted.</w:t>
            </w:r>
            <w:r w:rsidRPr="00B71EB0">
              <w:rPr>
                <w:rFonts w:ascii="Arial" w:hAnsi="Arial" w:cs="Arial"/>
                <w:sz w:val="16"/>
                <w:szCs w:val="16"/>
              </w:rPr>
              <w:br/>
              <w:t>Applications to swap between the 8 PAH agents must be made under the relevant initial treatment (monotherapy) restriction.</w:t>
            </w:r>
            <w:r w:rsidRPr="00B71EB0">
              <w:rPr>
                <w:rFonts w:ascii="Arial" w:hAnsi="Arial" w:cs="Arial"/>
                <w:sz w:val="16"/>
                <w:szCs w:val="16"/>
              </w:rPr>
              <w:br/>
              <w:t>The maximum quantity authorised will be limited to provide sufficient supply for 1 month of treatment, based on the dosage recommendations in the TGA-approved Product Information.</w:t>
            </w:r>
            <w:r w:rsidRPr="00B71EB0">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B0756C" w:rsidRDefault="00F05C1E" w:rsidP="001D1DC7">
            <w:pPr>
              <w:spacing w:line="240" w:lineRule="auto"/>
              <w:rPr>
                <w:rFonts w:ascii="Arial" w:hAnsi="Arial" w:cs="Arial"/>
                <w:sz w:val="16"/>
                <w:szCs w:val="16"/>
              </w:rPr>
            </w:pPr>
            <w:r w:rsidRPr="00B71EB0">
              <w:rPr>
                <w:rFonts w:ascii="Arial" w:hAnsi="Arial" w:cs="Arial"/>
                <w:sz w:val="16"/>
                <w:szCs w:val="16"/>
              </w:rPr>
              <w:t>Compliance with Authority Required procedures</w:t>
            </w:r>
          </w:p>
        </w:tc>
      </w:tr>
      <w:tr w:rsidR="00F05C1E" w:rsidRPr="00E106BD" w:rsidDel="003142D3" w:rsidTr="008929EB">
        <w:tc>
          <w:tcPr>
            <w:tcW w:w="1729" w:type="dxa"/>
            <w:tcBorders>
              <w:bottom w:val="single" w:sz="4" w:space="0" w:color="auto"/>
            </w:tcBorders>
            <w:shd w:val="clear" w:color="auto" w:fill="auto"/>
            <w:tcMar>
              <w:top w:w="28" w:type="dxa"/>
              <w:left w:w="28" w:type="dxa"/>
            </w:tcMar>
          </w:tcPr>
          <w:p w:rsidR="00F05C1E" w:rsidRPr="00B0756C" w:rsidDel="003142D3"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r w:rsidRPr="00B71EB0">
              <w:rPr>
                <w:rFonts w:ascii="Arial" w:hAnsi="Arial" w:cs="Arial"/>
                <w:sz w:val="16"/>
                <w:szCs w:val="16"/>
              </w:rPr>
              <w:t>C10285</w:t>
            </w:r>
          </w:p>
        </w:tc>
        <w:tc>
          <w:tcPr>
            <w:tcW w:w="709"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r w:rsidRPr="00B71EB0">
              <w:rPr>
                <w:rFonts w:ascii="Arial" w:hAnsi="Arial" w:cs="Arial"/>
                <w:sz w:val="16"/>
                <w:szCs w:val="16"/>
              </w:rPr>
              <w:t>Pulmonary arterial hypertension (PAH)</w:t>
            </w:r>
            <w:r w:rsidRPr="00B71EB0">
              <w:rPr>
                <w:rFonts w:ascii="Arial" w:hAnsi="Arial" w:cs="Arial"/>
                <w:sz w:val="16"/>
                <w:szCs w:val="16"/>
              </w:rPr>
              <w:br/>
              <w:t>Initial 1 (new patients)</w:t>
            </w:r>
            <w:r w:rsidRPr="00B71EB0">
              <w:rPr>
                <w:rFonts w:ascii="Arial" w:hAnsi="Arial" w:cs="Arial"/>
                <w:sz w:val="16"/>
                <w:szCs w:val="16"/>
              </w:rPr>
              <w:br/>
              <w:t>Patient must not have received prior PBS-subsidised treatment with a pulmonary arterial hypertension (PAH) agent; AND</w:t>
            </w:r>
            <w:r w:rsidRPr="00B71EB0">
              <w:rPr>
                <w:rFonts w:ascii="Arial" w:hAnsi="Arial" w:cs="Arial"/>
                <w:sz w:val="16"/>
                <w:szCs w:val="16"/>
              </w:rPr>
              <w:br/>
              <w:t>Patient must have been assessed by a physician with expertise in the management of PAH; AND</w:t>
            </w:r>
            <w:r w:rsidRPr="00B71EB0">
              <w:rPr>
                <w:rFonts w:ascii="Arial" w:hAnsi="Arial" w:cs="Arial"/>
                <w:sz w:val="16"/>
                <w:szCs w:val="16"/>
              </w:rPr>
              <w:br/>
              <w:t>Patient must have WHO Functional Class II PAH, or WHO Functional Class III PAH, or WHO Functional Class IV PAH; AND</w:t>
            </w:r>
            <w:r w:rsidRPr="00B71EB0">
              <w:rPr>
                <w:rFonts w:ascii="Arial" w:hAnsi="Arial" w:cs="Arial"/>
                <w:sz w:val="16"/>
                <w:szCs w:val="16"/>
              </w:rPr>
              <w:br/>
              <w:t>The treatment must be the sole PBS-subsidised PAH agent for this condition.</w:t>
            </w:r>
            <w:r w:rsidRPr="00B71EB0">
              <w:rPr>
                <w:rFonts w:ascii="Arial" w:hAnsi="Arial" w:cs="Arial"/>
                <w:sz w:val="16"/>
                <w:szCs w:val="16"/>
              </w:rPr>
              <w:br/>
              <w:t xml:space="preserve">The term </w:t>
            </w:r>
            <w:r w:rsidR="00A653CA">
              <w:rPr>
                <w:rFonts w:ascii="Arial" w:hAnsi="Arial" w:cs="Arial"/>
                <w:sz w:val="16"/>
                <w:szCs w:val="16"/>
              </w:rPr>
              <w:t>‘</w:t>
            </w:r>
            <w:r w:rsidRPr="00B71EB0">
              <w:rPr>
                <w:rFonts w:ascii="Arial" w:hAnsi="Arial" w:cs="Arial"/>
                <w:sz w:val="16"/>
                <w:szCs w:val="16"/>
              </w:rPr>
              <w:t>PAH agents</w:t>
            </w:r>
            <w:r w:rsidR="00A653CA">
              <w:rPr>
                <w:rFonts w:ascii="Arial" w:hAnsi="Arial" w:cs="Arial"/>
                <w:sz w:val="16"/>
                <w:szCs w:val="16"/>
              </w:rPr>
              <w:t>’</w:t>
            </w:r>
            <w:r w:rsidRPr="00B71EB0">
              <w:rPr>
                <w:rFonts w:ascii="Arial" w:hAnsi="Arial" w:cs="Arial"/>
                <w:sz w:val="16"/>
                <w:szCs w:val="16"/>
              </w:rPr>
              <w:t xml:space="preserve"> refers to bosentan monohydrate, iloprost trometamol, epoprostenol sodium, sildenafil citrate, ambrisentan, tadalafil, macitentan, and riociguat.</w:t>
            </w:r>
            <w:r w:rsidRPr="00B71EB0">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B71EB0">
              <w:rPr>
                <w:rFonts w:ascii="Arial" w:hAnsi="Arial" w:cs="Arial"/>
                <w:sz w:val="16"/>
                <w:szCs w:val="16"/>
              </w:rPr>
              <w:br/>
              <w:t>PAH (WHO Group 1 pulmonary hypertension) is defined as follows:</w:t>
            </w:r>
            <w:r w:rsidRPr="00B71EB0">
              <w:rPr>
                <w:rFonts w:ascii="Arial" w:hAnsi="Arial" w:cs="Arial"/>
                <w:sz w:val="16"/>
                <w:szCs w:val="16"/>
              </w:rPr>
              <w:br/>
              <w:t>(i) mean pulmonary artery pressure (mPAP) greater than or equal to 25 mmHg at rest and pulmonary artery wedge pressure (PAWP) less than or equal to 15 mmHg; or</w:t>
            </w:r>
            <w:r w:rsidRPr="00B71EB0">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B71EB0">
              <w:rPr>
                <w:rFonts w:ascii="Arial" w:hAnsi="Arial" w:cs="Arial"/>
                <w:sz w:val="16"/>
                <w:szCs w:val="16"/>
              </w:rPr>
              <w:br/>
              <w:t>Applications for authorisation must be in writing and must include:</w:t>
            </w:r>
            <w:r w:rsidRPr="00B71EB0">
              <w:rPr>
                <w:rFonts w:ascii="Arial" w:hAnsi="Arial" w:cs="Arial"/>
                <w:sz w:val="16"/>
                <w:szCs w:val="16"/>
              </w:rPr>
              <w:br/>
              <w:t>(1) a completed authority prescription form; and</w:t>
            </w:r>
            <w:r w:rsidRPr="00B71EB0">
              <w:rPr>
                <w:rFonts w:ascii="Arial" w:hAnsi="Arial" w:cs="Arial"/>
                <w:sz w:val="16"/>
                <w:szCs w:val="16"/>
              </w:rPr>
              <w:br/>
              <w:t>(2) a completed Pulmonary Arterial Hypertension PBS Authority Application - Supporting Information form which includes results from the three tests below, where available:</w:t>
            </w:r>
            <w:r w:rsidRPr="00B71EB0">
              <w:rPr>
                <w:rFonts w:ascii="Arial" w:hAnsi="Arial" w:cs="Arial"/>
                <w:sz w:val="16"/>
                <w:szCs w:val="16"/>
              </w:rPr>
              <w:br/>
              <w:t>(i) RHC composite assessment; and</w:t>
            </w:r>
            <w:r w:rsidRPr="00B71EB0">
              <w:rPr>
                <w:rFonts w:ascii="Arial" w:hAnsi="Arial" w:cs="Arial"/>
                <w:sz w:val="16"/>
                <w:szCs w:val="16"/>
              </w:rPr>
              <w:br/>
              <w:t>(ii) ECHO composite assessment; and</w:t>
            </w:r>
            <w:r w:rsidRPr="00B71EB0">
              <w:rPr>
                <w:rFonts w:ascii="Arial" w:hAnsi="Arial" w:cs="Arial"/>
                <w:sz w:val="16"/>
                <w:szCs w:val="16"/>
              </w:rPr>
              <w:br/>
              <w:t>(iii) 6 Minute Walk Test (6MWT).</w:t>
            </w:r>
            <w:r w:rsidRPr="00B71EB0">
              <w:rPr>
                <w:rFonts w:ascii="Arial"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B71EB0">
              <w:rPr>
                <w:rFonts w:ascii="Arial" w:hAnsi="Arial" w:cs="Arial"/>
                <w:sz w:val="16"/>
                <w:szCs w:val="16"/>
              </w:rPr>
              <w:br/>
              <w:t>(1) RHC plus ECHO composite assessments;</w:t>
            </w:r>
            <w:r w:rsidRPr="00B71EB0">
              <w:rPr>
                <w:rFonts w:ascii="Arial" w:hAnsi="Arial" w:cs="Arial"/>
                <w:sz w:val="16"/>
                <w:szCs w:val="16"/>
              </w:rPr>
              <w:br/>
              <w:t>(2) RHC composite assessment plus 6MWT;</w:t>
            </w:r>
            <w:r w:rsidRPr="00B71EB0">
              <w:rPr>
                <w:rFonts w:ascii="Arial" w:hAnsi="Arial" w:cs="Arial"/>
                <w:sz w:val="16"/>
                <w:szCs w:val="16"/>
              </w:rPr>
              <w:br/>
              <w:t>(3) RHC composite assessment only.</w:t>
            </w:r>
            <w:r w:rsidRPr="00B71EB0">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B71EB0">
              <w:rPr>
                <w:rFonts w:ascii="Arial" w:hAnsi="Arial" w:cs="Arial"/>
                <w:sz w:val="16"/>
                <w:szCs w:val="16"/>
              </w:rPr>
              <w:br/>
              <w:t>(1) ECHO composite assessment plus 6MWT;</w:t>
            </w:r>
            <w:r w:rsidRPr="00B71EB0">
              <w:rPr>
                <w:rFonts w:ascii="Arial" w:hAnsi="Arial" w:cs="Arial"/>
                <w:sz w:val="16"/>
                <w:szCs w:val="16"/>
              </w:rPr>
              <w:br/>
              <w:t>(2) ECHO composite assessment only.</w:t>
            </w:r>
            <w:r w:rsidRPr="00B71EB0">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B71EB0">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B71EB0">
              <w:rPr>
                <w:rFonts w:ascii="Arial" w:hAnsi="Arial" w:cs="Arial"/>
                <w:sz w:val="16"/>
                <w:szCs w:val="16"/>
              </w:rPr>
              <w:br/>
              <w:t>The test results provided must not be more than 2 months old at the time of application.</w:t>
            </w:r>
            <w:r w:rsidRPr="00B71EB0">
              <w:rPr>
                <w:rFonts w:ascii="Arial" w:hAnsi="Arial" w:cs="Arial"/>
                <w:sz w:val="16"/>
                <w:szCs w:val="16"/>
              </w:rPr>
              <w:br/>
              <w:t>The maximum quantity authorised will be limited to provide sufficient supply for 1 month of treatment, based on the dosage recommendations in the TGA-approved Product Information.</w:t>
            </w:r>
            <w:r w:rsidRPr="00B71EB0">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B0756C" w:rsidRDefault="00F05C1E" w:rsidP="001D1DC7">
            <w:pPr>
              <w:spacing w:line="240" w:lineRule="auto"/>
              <w:rPr>
                <w:rFonts w:ascii="Arial" w:hAnsi="Arial" w:cs="Arial"/>
                <w:sz w:val="16"/>
                <w:szCs w:val="16"/>
              </w:rPr>
            </w:pPr>
            <w:r w:rsidRPr="00B71EB0">
              <w:rPr>
                <w:rFonts w:ascii="Arial" w:hAnsi="Arial" w:cs="Arial"/>
                <w:sz w:val="16"/>
                <w:szCs w:val="16"/>
              </w:rPr>
              <w:t>Compliance with Written Authority Required procedures</w:t>
            </w:r>
          </w:p>
        </w:tc>
      </w:tr>
      <w:tr w:rsidR="00F05C1E" w:rsidRPr="00E106BD" w:rsidDel="00720664" w:rsidTr="008929EB">
        <w:tc>
          <w:tcPr>
            <w:tcW w:w="1729" w:type="dxa"/>
            <w:tcMar>
              <w:top w:w="28" w:type="dxa"/>
              <w:left w:w="28" w:type="dxa"/>
            </w:tcMar>
          </w:tcPr>
          <w:p w:rsidR="00F05C1E" w:rsidRPr="00E106BD" w:rsidDel="00720664" w:rsidRDefault="00F05C1E" w:rsidP="00881477">
            <w:pPr>
              <w:spacing w:line="240" w:lineRule="auto"/>
              <w:rPr>
                <w:rFonts w:ascii="Arial" w:hAnsi="Arial" w:cs="Arial"/>
                <w:sz w:val="16"/>
                <w:szCs w:val="16"/>
              </w:rPr>
            </w:pPr>
            <w:bookmarkStart w:id="86" w:name="CU_28171760"/>
            <w:bookmarkStart w:id="87" w:name="CU_29176394"/>
            <w:bookmarkStart w:id="88" w:name="CU_30182270"/>
            <w:bookmarkEnd w:id="86"/>
            <w:bookmarkEnd w:id="87"/>
            <w:bookmarkEnd w:id="88"/>
            <w:r w:rsidRPr="00E106BD">
              <w:rPr>
                <w:rFonts w:ascii="Arial" w:hAnsi="Arial" w:cs="Arial"/>
                <w:sz w:val="16"/>
                <w:szCs w:val="16"/>
              </w:rPr>
              <w:t>Anakinra</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C5450</w:t>
            </w:r>
          </w:p>
        </w:tc>
        <w:tc>
          <w:tcPr>
            <w:tcW w:w="709" w:type="dxa"/>
            <w:tcMar>
              <w:top w:w="28" w:type="dxa"/>
              <w:left w:w="28" w:type="dxa"/>
            </w:tcMar>
          </w:tcPr>
          <w:p w:rsidR="00F05C1E" w:rsidRPr="00E106BD" w:rsidDel="00720664"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Moderate to severe cryopyrin associated periodic syndromes (CAPS)</w:t>
            </w:r>
            <w:r w:rsidRPr="00E106BD">
              <w:rPr>
                <w:rFonts w:ascii="Arial" w:hAnsi="Arial" w:cs="Arial"/>
                <w:sz w:val="16"/>
                <w:szCs w:val="16"/>
              </w:rPr>
              <w:br/>
              <w:t>Must be treated by a rheumatologist or in consultation with a rheumatologist; OR</w:t>
            </w:r>
            <w:r w:rsidRPr="00E106BD">
              <w:rPr>
                <w:rFonts w:ascii="Arial" w:hAnsi="Arial" w:cs="Arial"/>
                <w:sz w:val="16"/>
                <w:szCs w:val="16"/>
              </w:rPr>
              <w:br/>
              <w:t>Must be treated by a clinical immunologist or in consultation with a clinical immunologist.</w:t>
            </w:r>
            <w:r w:rsidRPr="00E106BD">
              <w:rPr>
                <w:rFonts w:ascii="Arial" w:hAnsi="Arial" w:cs="Arial"/>
                <w:sz w:val="16"/>
                <w:szCs w:val="16"/>
              </w:rPr>
              <w:br/>
              <w:t>A diagnosis of CAPS must be documented in the patient</w:t>
            </w:r>
            <w:r w:rsidR="00A653CA">
              <w:rPr>
                <w:rFonts w:ascii="Arial" w:hAnsi="Arial" w:cs="Arial"/>
                <w:sz w:val="16"/>
                <w:szCs w:val="16"/>
              </w:rPr>
              <w:t>’</w:t>
            </w:r>
            <w:r w:rsidRPr="00E106BD">
              <w:rPr>
                <w:rFonts w:ascii="Arial" w:hAnsi="Arial" w:cs="Arial"/>
                <w:sz w:val="16"/>
                <w:szCs w:val="16"/>
              </w:rPr>
              <w:t>s medical records.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5450</w:t>
            </w:r>
          </w:p>
        </w:tc>
      </w:tr>
      <w:tr w:rsidR="00F05C1E" w:rsidRPr="00E106BD" w:rsidDel="00493276" w:rsidTr="008929EB">
        <w:tc>
          <w:tcPr>
            <w:tcW w:w="1729" w:type="dxa"/>
            <w:tcBorders>
              <w:bottom w:val="single" w:sz="4" w:space="0" w:color="auto"/>
            </w:tcBorders>
            <w:tcMar>
              <w:top w:w="28" w:type="dxa"/>
              <w:left w:w="28" w:type="dxa"/>
            </w:tcMar>
          </w:tcPr>
          <w:p w:rsidR="00F05C1E" w:rsidRPr="00E106BD" w:rsidDel="00493276" w:rsidRDefault="00F05C1E" w:rsidP="00881477">
            <w:pPr>
              <w:spacing w:line="240" w:lineRule="auto"/>
              <w:rPr>
                <w:rFonts w:ascii="Arial" w:hAnsi="Arial" w:cs="Arial"/>
                <w:sz w:val="16"/>
                <w:szCs w:val="16"/>
              </w:rPr>
            </w:pPr>
            <w:r w:rsidRPr="00E106BD">
              <w:rPr>
                <w:rFonts w:ascii="Arial" w:hAnsi="Arial" w:cs="Arial"/>
                <w:sz w:val="16"/>
                <w:szCs w:val="16"/>
              </w:rPr>
              <w:t>Apomorphine</w:t>
            </w:r>
          </w:p>
        </w:tc>
        <w:tc>
          <w:tcPr>
            <w:tcW w:w="709" w:type="dxa"/>
            <w:tcBorders>
              <w:bottom w:val="single" w:sz="4" w:space="0" w:color="auto"/>
            </w:tcBorders>
            <w:tcMar>
              <w:top w:w="28" w:type="dxa"/>
              <w:left w:w="28" w:type="dxa"/>
            </w:tcMar>
          </w:tcPr>
          <w:p w:rsidR="00F05C1E" w:rsidRPr="00E106BD" w:rsidDel="00493276" w:rsidRDefault="00F05C1E" w:rsidP="00881477">
            <w:pPr>
              <w:spacing w:line="240" w:lineRule="auto"/>
              <w:rPr>
                <w:rFonts w:ascii="Arial" w:hAnsi="Arial" w:cs="Arial"/>
                <w:sz w:val="16"/>
                <w:szCs w:val="16"/>
              </w:rPr>
            </w:pPr>
            <w:r w:rsidRPr="00E106BD">
              <w:rPr>
                <w:rFonts w:ascii="Arial" w:hAnsi="Arial" w:cs="Arial"/>
                <w:sz w:val="16"/>
                <w:szCs w:val="16"/>
              </w:rPr>
              <w:t>C4833</w:t>
            </w:r>
          </w:p>
        </w:tc>
        <w:tc>
          <w:tcPr>
            <w:tcW w:w="709" w:type="dxa"/>
            <w:tcBorders>
              <w:bottom w:val="single" w:sz="4" w:space="0" w:color="auto"/>
            </w:tcBorders>
            <w:tcMar>
              <w:top w:w="28" w:type="dxa"/>
              <w:left w:w="28" w:type="dxa"/>
            </w:tcMar>
          </w:tcPr>
          <w:p w:rsidR="00F05C1E" w:rsidRPr="00E106BD" w:rsidDel="00493276"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493276" w:rsidRDefault="00F05C1E" w:rsidP="00881477">
            <w:pPr>
              <w:spacing w:line="240" w:lineRule="auto"/>
              <w:rPr>
                <w:rFonts w:ascii="Arial" w:hAnsi="Arial" w:cs="Arial"/>
                <w:sz w:val="16"/>
                <w:szCs w:val="16"/>
              </w:rPr>
            </w:pPr>
            <w:r w:rsidRPr="00E106BD">
              <w:rPr>
                <w:rFonts w:ascii="Arial" w:hAnsi="Arial" w:cs="Arial"/>
                <w:sz w:val="16"/>
                <w:szCs w:val="16"/>
              </w:rPr>
              <w:t>Parkinson disease</w:t>
            </w:r>
            <w:r w:rsidRPr="00E106BD">
              <w:rPr>
                <w:rFonts w:ascii="Arial" w:hAnsi="Arial" w:cs="Arial"/>
                <w:sz w:val="16"/>
                <w:szCs w:val="16"/>
              </w:rPr>
              <w:br/>
              <w:t>Patient must have experienced severely disabling motor fluctuations which have not responded to other therapy.</w:t>
            </w:r>
          </w:p>
        </w:tc>
        <w:tc>
          <w:tcPr>
            <w:tcW w:w="2552" w:type="dxa"/>
            <w:tcBorders>
              <w:bottom w:val="single" w:sz="4" w:space="0" w:color="auto"/>
            </w:tcBorders>
            <w:tcMar>
              <w:top w:w="28" w:type="dxa"/>
              <w:left w:w="28" w:type="dxa"/>
              <w:right w:w="57" w:type="dxa"/>
            </w:tcMar>
          </w:tcPr>
          <w:p w:rsidR="00F05C1E" w:rsidRPr="00E106BD" w:rsidDel="00493276"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4833</w:t>
            </w:r>
          </w:p>
        </w:tc>
      </w:tr>
      <w:tr w:rsidR="00F05C1E" w:rsidRPr="00E106BD" w:rsidDel="00493276" w:rsidTr="008929EB">
        <w:tc>
          <w:tcPr>
            <w:tcW w:w="1729" w:type="dxa"/>
            <w:tcBorders>
              <w:bottom w:val="single" w:sz="4" w:space="0" w:color="auto"/>
            </w:tcBorders>
            <w:tcMar>
              <w:top w:w="28" w:type="dxa"/>
              <w:left w:w="28" w:type="dxa"/>
            </w:tcMar>
          </w:tcPr>
          <w:p w:rsidR="00F05C1E" w:rsidRPr="00E106BD" w:rsidDel="00493276"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C9561</w:t>
            </w:r>
          </w:p>
        </w:tc>
        <w:tc>
          <w:tcPr>
            <w:tcW w:w="709" w:type="dxa"/>
            <w:tcBorders>
              <w:bottom w:val="single" w:sz="4" w:space="0" w:color="auto"/>
            </w:tcBorders>
            <w:tcMar>
              <w:top w:w="28" w:type="dxa"/>
              <w:left w:w="28" w:type="dxa"/>
            </w:tcMar>
          </w:tcPr>
          <w:p w:rsidR="00F05C1E" w:rsidRPr="00E106BD" w:rsidDel="00B52BEC"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Parkinson disease</w:t>
            </w:r>
            <w:r w:rsidRPr="00E106BD">
              <w:rPr>
                <w:rFonts w:ascii="Arial" w:hAnsi="Arial" w:cs="Arial"/>
                <w:sz w:val="16"/>
                <w:szCs w:val="16"/>
              </w:rPr>
              <w:br/>
              <w:t>Patient must have experienced severely disabling motor fluctuations which have not responded to other therapy.</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9561</w:t>
            </w:r>
          </w:p>
        </w:tc>
      </w:tr>
      <w:tr w:rsidR="001F5758" w:rsidRPr="00E106BD" w:rsidDel="00493276" w:rsidTr="008929EB">
        <w:tc>
          <w:tcPr>
            <w:tcW w:w="1729" w:type="dxa"/>
            <w:tcBorders>
              <w:bottom w:val="single" w:sz="4" w:space="0" w:color="auto"/>
            </w:tcBorders>
            <w:tcMar>
              <w:top w:w="28" w:type="dxa"/>
              <w:left w:w="28" w:type="dxa"/>
            </w:tcMar>
          </w:tcPr>
          <w:p w:rsidR="001F5758" w:rsidRPr="00E106BD" w:rsidDel="00493276" w:rsidRDefault="001F5758"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1F5758" w:rsidRPr="00E106BD" w:rsidRDefault="001F5758" w:rsidP="00881477">
            <w:pPr>
              <w:spacing w:line="240" w:lineRule="auto"/>
              <w:rPr>
                <w:rFonts w:ascii="Arial" w:hAnsi="Arial" w:cs="Arial"/>
                <w:sz w:val="16"/>
                <w:szCs w:val="16"/>
              </w:rPr>
            </w:pPr>
            <w:r w:rsidRPr="00802FC7">
              <w:rPr>
                <w:rFonts w:ascii="Arial" w:hAnsi="Arial" w:cs="Arial"/>
                <w:sz w:val="16"/>
                <w:szCs w:val="16"/>
              </w:rPr>
              <w:t>C10830</w:t>
            </w:r>
          </w:p>
        </w:tc>
        <w:tc>
          <w:tcPr>
            <w:tcW w:w="709" w:type="dxa"/>
            <w:tcBorders>
              <w:bottom w:val="single" w:sz="4" w:space="0" w:color="auto"/>
            </w:tcBorders>
            <w:tcMar>
              <w:top w:w="28" w:type="dxa"/>
              <w:left w:w="28" w:type="dxa"/>
            </w:tcMar>
          </w:tcPr>
          <w:p w:rsidR="001F5758" w:rsidRPr="00E106BD" w:rsidDel="00B52BEC" w:rsidRDefault="001F5758"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1F5758" w:rsidRPr="00E106BD" w:rsidRDefault="001F5758" w:rsidP="00881477">
            <w:pPr>
              <w:spacing w:line="240" w:lineRule="auto"/>
              <w:rPr>
                <w:rFonts w:ascii="Arial" w:hAnsi="Arial" w:cs="Arial"/>
                <w:sz w:val="16"/>
                <w:szCs w:val="16"/>
              </w:rPr>
            </w:pPr>
            <w:r w:rsidRPr="00802FC7">
              <w:rPr>
                <w:rFonts w:ascii="Arial" w:hAnsi="Arial" w:cs="Arial"/>
                <w:sz w:val="16"/>
                <w:szCs w:val="16"/>
              </w:rPr>
              <w:t>Parkinson disease</w:t>
            </w:r>
            <w:r w:rsidRPr="00802FC7">
              <w:rPr>
                <w:rFonts w:ascii="Arial" w:hAnsi="Arial" w:cs="Arial"/>
                <w:sz w:val="16"/>
                <w:szCs w:val="16"/>
              </w:rPr>
              <w:br/>
              <w:t>Patient must have experienced severely disabling motor fluctuations which have not responded to other therapy; AND</w:t>
            </w:r>
            <w:r w:rsidRPr="00802FC7">
              <w:rPr>
                <w:rFonts w:ascii="Arial" w:hAnsi="Arial" w:cs="Arial"/>
                <w:sz w:val="16"/>
                <w:szCs w:val="16"/>
              </w:rPr>
              <w:br/>
              <w:t>The treatment must be commenced in a specialist unit in a hospital setting.</w:t>
            </w:r>
          </w:p>
        </w:tc>
        <w:tc>
          <w:tcPr>
            <w:tcW w:w="2552" w:type="dxa"/>
            <w:tcBorders>
              <w:bottom w:val="single" w:sz="4" w:space="0" w:color="auto"/>
            </w:tcBorders>
            <w:tcMar>
              <w:top w:w="28" w:type="dxa"/>
              <w:left w:w="28" w:type="dxa"/>
              <w:right w:w="57" w:type="dxa"/>
            </w:tcMar>
          </w:tcPr>
          <w:p w:rsidR="001F5758" w:rsidRPr="00E106BD" w:rsidRDefault="001F5758" w:rsidP="00DC20A5">
            <w:pPr>
              <w:spacing w:line="240" w:lineRule="auto"/>
              <w:rPr>
                <w:rFonts w:ascii="Arial" w:hAnsi="Arial" w:cs="Arial"/>
                <w:sz w:val="16"/>
                <w:szCs w:val="16"/>
              </w:rPr>
            </w:pPr>
            <w:r w:rsidRPr="00802FC7">
              <w:rPr>
                <w:rFonts w:ascii="Arial" w:hAnsi="Arial" w:cs="Arial"/>
                <w:sz w:val="16"/>
                <w:szCs w:val="16"/>
              </w:rPr>
              <w:t>Compliance with Authority Required procedures - Streamlined Authority Code 10830</w:t>
            </w:r>
          </w:p>
        </w:tc>
      </w:tr>
      <w:tr w:rsidR="001F5758" w:rsidRPr="00E106BD" w:rsidDel="00493276" w:rsidTr="008929EB">
        <w:tc>
          <w:tcPr>
            <w:tcW w:w="1729" w:type="dxa"/>
            <w:tcBorders>
              <w:bottom w:val="single" w:sz="4" w:space="0" w:color="auto"/>
            </w:tcBorders>
            <w:tcMar>
              <w:top w:w="28" w:type="dxa"/>
              <w:left w:w="28" w:type="dxa"/>
            </w:tcMar>
          </w:tcPr>
          <w:p w:rsidR="001F5758" w:rsidRPr="00E106BD" w:rsidDel="00493276" w:rsidRDefault="001F5758"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1F5758" w:rsidRPr="00E106BD" w:rsidRDefault="001F5758" w:rsidP="00881477">
            <w:pPr>
              <w:spacing w:line="240" w:lineRule="auto"/>
              <w:rPr>
                <w:rFonts w:ascii="Arial" w:hAnsi="Arial" w:cs="Arial"/>
                <w:sz w:val="16"/>
                <w:szCs w:val="16"/>
              </w:rPr>
            </w:pPr>
            <w:r w:rsidRPr="00802FC7">
              <w:rPr>
                <w:rFonts w:ascii="Arial" w:hAnsi="Arial" w:cs="Arial"/>
                <w:sz w:val="16"/>
                <w:szCs w:val="16"/>
              </w:rPr>
              <w:t>C10863</w:t>
            </w:r>
          </w:p>
        </w:tc>
        <w:tc>
          <w:tcPr>
            <w:tcW w:w="709" w:type="dxa"/>
            <w:tcBorders>
              <w:bottom w:val="single" w:sz="4" w:space="0" w:color="auto"/>
            </w:tcBorders>
            <w:tcMar>
              <w:top w:w="28" w:type="dxa"/>
              <w:left w:w="28" w:type="dxa"/>
            </w:tcMar>
          </w:tcPr>
          <w:p w:rsidR="001F5758" w:rsidRPr="00E106BD" w:rsidDel="00B52BEC" w:rsidRDefault="001F5758"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1F5758" w:rsidRPr="00E106BD" w:rsidRDefault="001F5758" w:rsidP="00881477">
            <w:pPr>
              <w:spacing w:line="240" w:lineRule="auto"/>
              <w:rPr>
                <w:rFonts w:ascii="Arial" w:hAnsi="Arial" w:cs="Arial"/>
                <w:sz w:val="16"/>
                <w:szCs w:val="16"/>
              </w:rPr>
            </w:pPr>
            <w:r w:rsidRPr="00802FC7">
              <w:rPr>
                <w:rFonts w:ascii="Arial" w:hAnsi="Arial" w:cs="Arial"/>
                <w:sz w:val="16"/>
                <w:szCs w:val="16"/>
              </w:rPr>
              <w:t>Parkinson disease</w:t>
            </w:r>
            <w:r w:rsidRPr="00802FC7">
              <w:rPr>
                <w:rFonts w:ascii="Arial" w:hAnsi="Arial" w:cs="Arial"/>
                <w:sz w:val="16"/>
                <w:szCs w:val="16"/>
              </w:rPr>
              <w:br/>
              <w:t>Patient must have experienced severely disabling motor fluctuations which have not responded to other therapy; AND</w:t>
            </w:r>
            <w:r w:rsidRPr="00802FC7">
              <w:rPr>
                <w:rFonts w:ascii="Arial" w:hAnsi="Arial" w:cs="Arial"/>
                <w:sz w:val="16"/>
                <w:szCs w:val="16"/>
              </w:rPr>
              <w:br/>
              <w:t>The treatment must be commenced in a specialist unit in a hospital setting.</w:t>
            </w:r>
          </w:p>
        </w:tc>
        <w:tc>
          <w:tcPr>
            <w:tcW w:w="2552" w:type="dxa"/>
            <w:tcBorders>
              <w:bottom w:val="single" w:sz="4" w:space="0" w:color="auto"/>
            </w:tcBorders>
            <w:tcMar>
              <w:top w:w="28" w:type="dxa"/>
              <w:left w:w="28" w:type="dxa"/>
              <w:right w:w="57" w:type="dxa"/>
            </w:tcMar>
          </w:tcPr>
          <w:p w:rsidR="001F5758" w:rsidRPr="00E106BD" w:rsidRDefault="001F5758" w:rsidP="00DC20A5">
            <w:pPr>
              <w:spacing w:line="240" w:lineRule="auto"/>
              <w:rPr>
                <w:rFonts w:ascii="Arial" w:hAnsi="Arial" w:cs="Arial"/>
                <w:sz w:val="16"/>
                <w:szCs w:val="16"/>
              </w:rPr>
            </w:pPr>
            <w:r w:rsidRPr="00802FC7">
              <w:rPr>
                <w:rFonts w:ascii="Arial" w:hAnsi="Arial" w:cs="Arial"/>
                <w:sz w:val="16"/>
                <w:szCs w:val="16"/>
              </w:rPr>
              <w:t>Compliance with Authority Required procedures - Streamlined Authority Code 10863</w:t>
            </w:r>
          </w:p>
        </w:tc>
      </w:tr>
      <w:tr w:rsidR="00F05C1E" w:rsidRPr="00E106BD" w:rsidDel="002D20DA"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bookmarkStart w:id="89" w:name="CU_35193547"/>
            <w:bookmarkStart w:id="90" w:name="CU_38194557"/>
            <w:bookmarkEnd w:id="89"/>
            <w:bookmarkEnd w:id="90"/>
            <w:r w:rsidRPr="00E106BD">
              <w:rPr>
                <w:rFonts w:ascii="Arial" w:hAnsi="Arial" w:cs="Arial"/>
                <w:sz w:val="16"/>
                <w:szCs w:val="16"/>
              </w:rPr>
              <w:t>Atazanavir</w:t>
            </w:r>
          </w:p>
        </w:tc>
        <w:tc>
          <w:tcPr>
            <w:tcW w:w="70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 xml:space="preserve">C4454 </w:t>
            </w:r>
          </w:p>
        </w:tc>
        <w:tc>
          <w:tcPr>
            <w:tcW w:w="70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p>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Del="002D20DA" w:rsidRDefault="00F05C1E" w:rsidP="004E4760">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05C1E" w:rsidRPr="00E106BD" w:rsidDel="002D20DA" w:rsidTr="008929EB">
        <w:tblPrEx>
          <w:tblLook w:val="01E0" w:firstRow="1" w:lastRow="1" w:firstColumn="1" w:lastColumn="1" w:noHBand="0" w:noVBand="0"/>
        </w:tblPrEx>
        <w:trPr>
          <w:cantSplit/>
        </w:trPr>
        <w:tc>
          <w:tcPr>
            <w:tcW w:w="172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C4512</w:t>
            </w:r>
          </w:p>
        </w:tc>
        <w:tc>
          <w:tcPr>
            <w:tcW w:w="70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Del="002D20DA" w:rsidRDefault="00F05C1E" w:rsidP="0031605D">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05C1E" w:rsidRPr="00E106BD" w:rsidDel="002D20DA" w:rsidTr="008929EB">
        <w:tblPrEx>
          <w:tblLook w:val="01E0" w:firstRow="1" w:lastRow="1" w:firstColumn="1" w:lastColumn="1" w:noHBand="0" w:noVBand="0"/>
        </w:tblPrEx>
        <w:trPr>
          <w:cantSplit/>
        </w:trPr>
        <w:tc>
          <w:tcPr>
            <w:tcW w:w="172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Atazanavir with cobicistat</w:t>
            </w: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C4454</w:t>
            </w:r>
          </w:p>
        </w:tc>
        <w:tc>
          <w:tcPr>
            <w:tcW w:w="70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RDefault="00F05C1E">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05C1E" w:rsidRPr="00E106BD" w:rsidDel="002D20DA"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C4512</w:t>
            </w:r>
          </w:p>
        </w:tc>
        <w:tc>
          <w:tcPr>
            <w:tcW w:w="70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r w:rsidRPr="00E106BD">
              <w:rPr>
                <w:rFonts w:ascii="Arial" w:hAnsi="Arial" w:cs="Arial"/>
                <w:sz w:val="16"/>
                <w:szCs w:val="16"/>
              </w:rPr>
              <w:br/>
              <w:t>Patient must be antiretroviral treatment naive;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RDefault="00F05C1E" w:rsidP="009C068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05C1E"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Azacitidine</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C6132</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Myelomonocytic Leukaemia</w:t>
            </w:r>
            <w:r w:rsidRPr="00E106BD">
              <w:rPr>
                <w:rFonts w:ascii="Arial" w:hAnsi="Arial" w:cs="Arial"/>
                <w:sz w:val="16"/>
                <w:szCs w:val="16"/>
              </w:rPr>
              <w:br/>
              <w:t>Initial treatment</w:t>
            </w:r>
            <w:r w:rsidRPr="00E106BD">
              <w:rPr>
                <w:rFonts w:ascii="Arial" w:hAnsi="Arial" w:cs="Arial"/>
                <w:sz w:val="16"/>
                <w:szCs w:val="16"/>
              </w:rPr>
              <w:br/>
              <w:t>The condition must have 10% to 29% marrow blasts without Myeloproliferative Disorder.</w:t>
            </w:r>
            <w:r w:rsidRPr="00E106BD">
              <w:rPr>
                <w:rFonts w:ascii="Arial" w:hAnsi="Arial" w:cs="Arial"/>
                <w:sz w:val="16"/>
                <w:szCs w:val="16"/>
              </w:rPr>
              <w:br/>
              <w:t>The first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Azacitidine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(c) a copy of the bone marrow biopsy report demonstrating that the patient has chronic myelomonocytic leukaemia ; and</w:t>
            </w:r>
            <w:r w:rsidRPr="00E106BD">
              <w:rPr>
                <w:rFonts w:ascii="Arial" w:hAnsi="Arial" w:cs="Arial"/>
                <w:sz w:val="16"/>
                <w:szCs w:val="16"/>
              </w:rPr>
              <w:br/>
              <w:t>(d) a copy of the full blood examination report; and</w:t>
            </w:r>
            <w:r w:rsidRPr="00E106BD">
              <w:rPr>
                <w:rFonts w:ascii="Arial" w:hAnsi="Arial" w:cs="Arial"/>
                <w:sz w:val="16"/>
                <w:szCs w:val="16"/>
              </w:rPr>
              <w:br/>
              <w:t>(e) a signed patient acknowledgement.</w:t>
            </w:r>
            <w:r w:rsidRPr="00E106BD">
              <w:rPr>
                <w:rFonts w:ascii="Arial" w:hAnsi="Arial" w:cs="Arial"/>
                <w:sz w:val="16"/>
                <w:szCs w:val="16"/>
              </w:rPr>
              <w:br/>
              <w:t>No more than 3 cycles will be authorised.</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C6143</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Acute Myeloid Leukaemia</w:t>
            </w:r>
            <w:r w:rsidRPr="00E106BD">
              <w:rPr>
                <w:rFonts w:ascii="Arial" w:hAnsi="Arial" w:cs="Arial"/>
                <w:sz w:val="16"/>
                <w:szCs w:val="16"/>
              </w:rPr>
              <w:br/>
              <w:t>Initial treatment</w:t>
            </w:r>
            <w:r w:rsidRPr="00E106BD">
              <w:rPr>
                <w:rFonts w:ascii="Arial" w:hAnsi="Arial" w:cs="Arial"/>
                <w:sz w:val="16"/>
                <w:szCs w:val="16"/>
              </w:rPr>
              <w:br/>
              <w:t>The condition must have 20% to 30% marrow blasts and multi</w:t>
            </w:r>
            <w:r>
              <w:rPr>
                <w:rFonts w:ascii="Arial" w:hAnsi="Arial" w:cs="Arial"/>
                <w:sz w:val="16"/>
                <w:szCs w:val="16"/>
              </w:rPr>
              <w:noBreakHyphen/>
            </w:r>
            <w:r w:rsidRPr="00E106BD">
              <w:rPr>
                <w:rFonts w:ascii="Arial" w:hAnsi="Arial" w:cs="Arial"/>
                <w:sz w:val="16"/>
                <w:szCs w:val="16"/>
              </w:rPr>
              <w:t>lineage dysplasia, according to World Health Organisation (WHO) Classification.</w:t>
            </w:r>
            <w:r w:rsidRPr="00E106BD">
              <w:rPr>
                <w:rFonts w:ascii="Arial" w:hAnsi="Arial" w:cs="Arial"/>
                <w:sz w:val="16"/>
                <w:szCs w:val="16"/>
              </w:rPr>
              <w:br/>
              <w:t>The first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Azacitidine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(c) a copy of the bone marrow biopsy report demonstrating that the patient has acute myeloid leukaemia; and</w:t>
            </w:r>
            <w:r w:rsidRPr="00E106BD">
              <w:rPr>
                <w:rFonts w:ascii="Arial" w:hAnsi="Arial" w:cs="Arial"/>
                <w:sz w:val="16"/>
                <w:szCs w:val="16"/>
              </w:rPr>
              <w:br/>
              <w:t>(d) a copy of the full blood examination report; and</w:t>
            </w:r>
            <w:r w:rsidRPr="00E106BD">
              <w:rPr>
                <w:rFonts w:ascii="Arial" w:hAnsi="Arial" w:cs="Arial"/>
                <w:sz w:val="16"/>
                <w:szCs w:val="16"/>
              </w:rPr>
              <w:br/>
              <w:t>(e) a signed patient acknowledgement.</w:t>
            </w:r>
            <w:r w:rsidRPr="00E106BD">
              <w:rPr>
                <w:rFonts w:ascii="Arial" w:hAnsi="Arial" w:cs="Arial"/>
                <w:sz w:val="16"/>
                <w:szCs w:val="16"/>
              </w:rPr>
              <w:br/>
              <w:t>No more than 3 cycles will be authorised.</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C6144</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Myelomonocytic Leukaemia</w:t>
            </w:r>
            <w:r w:rsidRPr="00E106BD">
              <w:rPr>
                <w:rFonts w:ascii="Arial" w:hAnsi="Arial" w:cs="Arial"/>
                <w:sz w:val="16"/>
                <w:szCs w:val="16"/>
              </w:rPr>
              <w:br/>
              <w:t>Continuing treatment</w:t>
            </w:r>
            <w:r w:rsidRPr="00E106BD">
              <w:rPr>
                <w:rFonts w:ascii="Arial" w:hAnsi="Arial" w:cs="Arial"/>
                <w:sz w:val="16"/>
                <w:szCs w:val="16"/>
              </w:rPr>
              <w:br/>
              <w:t>The condition must have 10% to 29% marrow blasts without Myeloproliferative Disorder;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progressive disease.</w:t>
            </w:r>
            <w:r w:rsidRPr="00E106BD">
              <w:rPr>
                <w:rFonts w:ascii="Arial" w:hAnsi="Arial" w:cs="Arial"/>
                <w:sz w:val="16"/>
                <w:szCs w:val="16"/>
              </w:rPr>
              <w:br/>
              <w:t>Applications for continuing therapy may be made by telephone.</w:t>
            </w:r>
            <w:r w:rsidRPr="00E106BD">
              <w:rPr>
                <w:rFonts w:ascii="Arial" w:hAnsi="Arial" w:cs="Arial"/>
                <w:sz w:val="16"/>
                <w:szCs w:val="16"/>
              </w:rPr>
              <w:br/>
              <w:t>Up to 6 cycles will be authorised.</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C6177</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Myelodysplastic syndrome</w:t>
            </w:r>
            <w:r w:rsidRPr="00E106BD">
              <w:rPr>
                <w:rFonts w:ascii="Arial" w:hAnsi="Arial" w:cs="Arial"/>
                <w:sz w:val="16"/>
                <w:szCs w:val="16"/>
              </w:rPr>
              <w:br/>
              <w:t>Initial treatment</w:t>
            </w:r>
            <w:r w:rsidRPr="00E106BD">
              <w:rPr>
                <w:rFonts w:ascii="Arial" w:hAnsi="Arial" w:cs="Arial"/>
                <w:sz w:val="16"/>
                <w:szCs w:val="16"/>
              </w:rPr>
              <w:br/>
              <w:t>The condition must be classified as Intermediate</w:t>
            </w:r>
            <w:r>
              <w:rPr>
                <w:rFonts w:ascii="Arial" w:hAnsi="Arial" w:cs="Arial"/>
                <w:sz w:val="16"/>
                <w:szCs w:val="16"/>
              </w:rPr>
              <w:noBreakHyphen/>
            </w:r>
            <w:r w:rsidRPr="00E106BD">
              <w:rPr>
                <w:rFonts w:ascii="Arial" w:hAnsi="Arial" w:cs="Arial"/>
                <w:sz w:val="16"/>
                <w:szCs w:val="16"/>
              </w:rPr>
              <w:t>2 according to the International Prognostic Scoring System (IPSS); OR</w:t>
            </w:r>
            <w:r w:rsidRPr="00E106BD">
              <w:rPr>
                <w:rFonts w:ascii="Arial" w:hAnsi="Arial" w:cs="Arial"/>
                <w:sz w:val="16"/>
                <w:szCs w:val="16"/>
              </w:rPr>
              <w:br/>
              <w:t>The condition must be classified as high risk according to the International Prognostic Scoring System (IPSS).</w:t>
            </w:r>
            <w:r w:rsidRPr="00E106BD">
              <w:rPr>
                <w:rFonts w:ascii="Arial" w:hAnsi="Arial" w:cs="Arial"/>
                <w:sz w:val="16"/>
                <w:szCs w:val="16"/>
              </w:rPr>
              <w:br/>
              <w:t>Classification of the condition as Intermediate</w:t>
            </w:r>
            <w:r>
              <w:rPr>
                <w:rFonts w:ascii="Arial" w:hAnsi="Arial" w:cs="Arial"/>
                <w:sz w:val="16"/>
                <w:szCs w:val="16"/>
              </w:rPr>
              <w:noBreakHyphen/>
            </w:r>
            <w:r w:rsidRPr="00E106BD">
              <w:rPr>
                <w:rFonts w:ascii="Arial" w:hAnsi="Arial" w:cs="Arial"/>
                <w:sz w:val="16"/>
                <w:szCs w:val="16"/>
              </w:rPr>
              <w:t>2 requires a score of 1.5 to 2.0 on the IPSS, achieved with the possible combinations:</w:t>
            </w:r>
            <w:r w:rsidRPr="00E106BD">
              <w:rPr>
                <w:rFonts w:ascii="Arial" w:hAnsi="Arial" w:cs="Arial"/>
                <w:sz w:val="16"/>
                <w:szCs w:val="16"/>
              </w:rPr>
              <w:br/>
              <w:t xml:space="preserve">a. 11% to 30% marrow blasts with good karyotypic status (normal, </w:t>
            </w:r>
            <w:r>
              <w:rPr>
                <w:rFonts w:ascii="Arial" w:hAnsi="Arial" w:cs="Arial"/>
                <w:sz w:val="16"/>
                <w:szCs w:val="16"/>
              </w:rPr>
              <w:noBreakHyphen/>
            </w:r>
            <w:r w:rsidRPr="00E106BD">
              <w:rPr>
                <w:rFonts w:ascii="Arial" w:hAnsi="Arial" w:cs="Arial"/>
                <w:sz w:val="16"/>
                <w:szCs w:val="16"/>
              </w:rPr>
              <w:t>Y alone, del(5q) alone, del(20q) alone), and 0 to 1 cytopenias; OR</w:t>
            </w:r>
            <w:r w:rsidRPr="00E106BD">
              <w:rPr>
                <w:rFonts w:ascii="Arial" w:hAnsi="Arial" w:cs="Arial"/>
                <w:sz w:val="16"/>
                <w:szCs w:val="16"/>
              </w:rPr>
              <w:br/>
              <w:t>b. 11% to 20% marrow blasts with intermediate karyotypic status (other abnormalities), and 0 to 1 cytopenias; OR</w:t>
            </w:r>
            <w:r w:rsidRPr="00E106BD">
              <w:rPr>
                <w:rFonts w:ascii="Arial" w:hAnsi="Arial" w:cs="Arial"/>
                <w:sz w:val="16"/>
                <w:szCs w:val="16"/>
              </w:rPr>
              <w:br/>
              <w:t xml:space="preserve">c. 11% to 20% marrow blasts with good karyotypic status (normal, </w:t>
            </w:r>
            <w:r>
              <w:rPr>
                <w:rFonts w:ascii="Arial" w:hAnsi="Arial" w:cs="Arial"/>
                <w:sz w:val="16"/>
                <w:szCs w:val="16"/>
              </w:rPr>
              <w:noBreakHyphen/>
            </w:r>
            <w:r w:rsidRPr="00E106BD">
              <w:rPr>
                <w:rFonts w:ascii="Arial" w:hAnsi="Arial" w:cs="Arial"/>
                <w:sz w:val="16"/>
                <w:szCs w:val="16"/>
              </w:rPr>
              <w:t>Y alone, del(5q) alone, del(20q) alone), and 2 to 3 cytopenias; OR</w:t>
            </w:r>
            <w:r w:rsidRPr="00E106BD">
              <w:rPr>
                <w:rFonts w:ascii="Arial" w:hAnsi="Arial" w:cs="Arial"/>
                <w:sz w:val="16"/>
                <w:szCs w:val="16"/>
              </w:rPr>
              <w:br/>
              <w:t>d. 5% to 10% marrow blasts with poor karyotypic status (3 or more abnormalities or chromosome 7 anomalies), regardless of cytopenias; OR</w:t>
            </w:r>
            <w:r w:rsidRPr="00E106BD">
              <w:rPr>
                <w:rFonts w:ascii="Arial" w:hAnsi="Arial" w:cs="Arial"/>
                <w:sz w:val="16"/>
                <w:szCs w:val="16"/>
              </w:rPr>
              <w:br/>
              <w:t>e. 5% to 10% marrow blasts with intermediate karyotypic status (other abnormalities), and 2 to 3 cytopenias; OR</w:t>
            </w:r>
            <w:r w:rsidRPr="00E106BD">
              <w:rPr>
                <w:rFonts w:ascii="Arial" w:hAnsi="Arial" w:cs="Arial"/>
                <w:sz w:val="16"/>
                <w:szCs w:val="16"/>
              </w:rPr>
              <w:br/>
              <w:t>f. Less than 5% marrow blasts with poor karyotypic status (3 or more abnormalities or chromosome 7 anomalies), and 2 to 3 cytopenias.</w:t>
            </w:r>
            <w:r w:rsidRPr="00E106BD">
              <w:rPr>
                <w:rFonts w:ascii="Arial" w:hAnsi="Arial" w:cs="Arial"/>
                <w:sz w:val="16"/>
                <w:szCs w:val="16"/>
              </w:rPr>
              <w:br/>
              <w:t>Classification of the condition as high risk requires a score of 2.5 or more on the IPSS, achieved with the possible combinations:</w:t>
            </w:r>
            <w:r w:rsidRPr="00E106BD">
              <w:rPr>
                <w:rFonts w:ascii="Arial" w:hAnsi="Arial" w:cs="Arial"/>
                <w:sz w:val="16"/>
                <w:szCs w:val="16"/>
              </w:rPr>
              <w:br/>
              <w:t xml:space="preserve">a. 21% to 30% marrow blasts with good karyotypic status (normal, </w:t>
            </w:r>
            <w:r>
              <w:rPr>
                <w:rFonts w:ascii="Arial" w:hAnsi="Arial" w:cs="Arial"/>
                <w:sz w:val="16"/>
                <w:szCs w:val="16"/>
              </w:rPr>
              <w:noBreakHyphen/>
            </w:r>
            <w:r w:rsidRPr="00E106BD">
              <w:rPr>
                <w:rFonts w:ascii="Arial" w:hAnsi="Arial" w:cs="Arial"/>
                <w:sz w:val="16"/>
                <w:szCs w:val="16"/>
              </w:rPr>
              <w:t>Y alone, del(5q) alone, del(20q) alone), and 2 to 3 cytopenias; OR</w:t>
            </w:r>
            <w:r w:rsidRPr="00E106BD">
              <w:rPr>
                <w:rFonts w:ascii="Arial" w:hAnsi="Arial" w:cs="Arial"/>
                <w:sz w:val="16"/>
                <w:szCs w:val="16"/>
              </w:rPr>
              <w:br/>
              <w:t>b. 21% to 30% marrow blasts with intermediate (other abnormalities) or poor karyotypic status (3 or more abnormalities or chromosome 7 anomalies), regardless of cytopenias; OR</w:t>
            </w:r>
            <w:r w:rsidRPr="00E106BD">
              <w:rPr>
                <w:rFonts w:ascii="Arial" w:hAnsi="Arial" w:cs="Arial"/>
                <w:sz w:val="16"/>
                <w:szCs w:val="16"/>
              </w:rPr>
              <w:br/>
              <w:t>c. 11% to 20% marrow blasts with poor karyotypic status (3 or more abnormalities or chromosome 7 anomalies), regardless of cytopenias; OR</w:t>
            </w:r>
            <w:r w:rsidRPr="00E106BD">
              <w:rPr>
                <w:rFonts w:ascii="Arial" w:hAnsi="Arial" w:cs="Arial"/>
                <w:sz w:val="16"/>
                <w:szCs w:val="16"/>
              </w:rPr>
              <w:br/>
              <w:t>d. 11% to 20% marrow blasts with intermediate karyotypic status (other abnormalities), and 2 to 3 cytopenias.</w:t>
            </w:r>
            <w:r w:rsidRPr="00E106BD">
              <w:rPr>
                <w:rFonts w:ascii="Arial" w:hAnsi="Arial" w:cs="Arial"/>
                <w:sz w:val="16"/>
                <w:szCs w:val="16"/>
              </w:rPr>
              <w:br/>
              <w:t>The first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Azacitidine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(c) a copy of the bone marrow biopsy report demonstrating that the patient has myelodysplastic syndrome; and</w:t>
            </w:r>
            <w:r w:rsidRPr="00E106BD">
              <w:rPr>
                <w:rFonts w:ascii="Arial" w:hAnsi="Arial" w:cs="Arial"/>
                <w:sz w:val="16"/>
                <w:szCs w:val="16"/>
              </w:rPr>
              <w:br/>
              <w:t>(d) a copy of the full blood examination report; and</w:t>
            </w:r>
            <w:r w:rsidRPr="00E106BD">
              <w:rPr>
                <w:rFonts w:ascii="Arial" w:hAnsi="Arial" w:cs="Arial"/>
                <w:sz w:val="16"/>
                <w:szCs w:val="16"/>
              </w:rPr>
              <w:br/>
              <w:t>(e) a copy of the pathology report detailing the cytogenetics demonstrating intermediate</w:t>
            </w:r>
            <w:r>
              <w:rPr>
                <w:rFonts w:ascii="Arial" w:hAnsi="Arial" w:cs="Arial"/>
                <w:sz w:val="16"/>
                <w:szCs w:val="16"/>
              </w:rPr>
              <w:noBreakHyphen/>
            </w:r>
            <w:r w:rsidRPr="00E106BD">
              <w:rPr>
                <w:rFonts w:ascii="Arial" w:hAnsi="Arial" w:cs="Arial"/>
                <w:sz w:val="16"/>
                <w:szCs w:val="16"/>
              </w:rPr>
              <w:t>2 or high risk disease according to the International Prognostic Scoring System (IPSS); and</w:t>
            </w:r>
            <w:r w:rsidRPr="00E106BD">
              <w:rPr>
                <w:rFonts w:ascii="Arial" w:hAnsi="Arial" w:cs="Arial"/>
                <w:sz w:val="16"/>
                <w:szCs w:val="16"/>
              </w:rPr>
              <w:br/>
              <w:t>(f) a signed patient acknowledgment form.</w:t>
            </w:r>
            <w:r w:rsidRPr="00E106BD">
              <w:rPr>
                <w:rFonts w:ascii="Arial" w:hAnsi="Arial" w:cs="Arial"/>
                <w:sz w:val="16"/>
                <w:szCs w:val="16"/>
              </w:rPr>
              <w:br/>
              <w:t>No more than 3 cycles will be authorised.</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C6186</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Acute Myeloid Leukaemia</w:t>
            </w:r>
            <w:r w:rsidRPr="00E106BD">
              <w:rPr>
                <w:rFonts w:ascii="Arial" w:hAnsi="Arial" w:cs="Arial"/>
                <w:sz w:val="16"/>
                <w:szCs w:val="16"/>
              </w:rPr>
              <w:br/>
              <w:t>Continuing treatment</w:t>
            </w:r>
            <w:r w:rsidRPr="00E106BD">
              <w:rPr>
                <w:rFonts w:ascii="Arial" w:hAnsi="Arial" w:cs="Arial"/>
                <w:sz w:val="16"/>
                <w:szCs w:val="16"/>
              </w:rPr>
              <w:br/>
              <w:t>The condition must have 20% to 30% marrow blasts and multi</w:t>
            </w:r>
            <w:r>
              <w:rPr>
                <w:rFonts w:ascii="Arial" w:hAnsi="Arial" w:cs="Arial"/>
                <w:sz w:val="16"/>
                <w:szCs w:val="16"/>
              </w:rPr>
              <w:noBreakHyphen/>
            </w:r>
            <w:r w:rsidRPr="00E106BD">
              <w:rPr>
                <w:rFonts w:ascii="Arial" w:hAnsi="Arial" w:cs="Arial"/>
                <w:sz w:val="16"/>
                <w:szCs w:val="16"/>
              </w:rPr>
              <w:t>lineage dysplasia, according to World Health Organisation (WHO) Classification;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progressive disease.</w:t>
            </w:r>
            <w:r w:rsidRPr="00E106BD">
              <w:rPr>
                <w:rFonts w:ascii="Arial" w:hAnsi="Arial" w:cs="Arial"/>
                <w:sz w:val="16"/>
                <w:szCs w:val="16"/>
              </w:rPr>
              <w:br/>
              <w:t>Applications for continuing therapy may be made by telephone.</w:t>
            </w:r>
            <w:r w:rsidRPr="00E106BD">
              <w:rPr>
                <w:rFonts w:ascii="Arial" w:hAnsi="Arial" w:cs="Arial"/>
                <w:sz w:val="16"/>
                <w:szCs w:val="16"/>
              </w:rPr>
              <w:br/>
              <w:t>Up to 6 cycles will be authorised.</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C6199</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Myelodysplastic syndrome</w:t>
            </w:r>
            <w:r w:rsidRPr="00E106BD">
              <w:rPr>
                <w:rFonts w:ascii="Arial" w:hAnsi="Arial" w:cs="Arial"/>
                <w:sz w:val="16"/>
                <w:szCs w:val="16"/>
              </w:rPr>
              <w:br/>
              <w:t>Continuing treatment</w:t>
            </w:r>
            <w:r w:rsidRPr="00E106BD">
              <w:rPr>
                <w:rFonts w:ascii="Arial" w:hAnsi="Arial" w:cs="Arial"/>
                <w:sz w:val="16"/>
                <w:szCs w:val="16"/>
              </w:rPr>
              <w:br/>
              <w:t>The condition must be classified as Intermediate</w:t>
            </w:r>
            <w:r>
              <w:rPr>
                <w:rFonts w:ascii="Arial" w:hAnsi="Arial" w:cs="Arial"/>
                <w:sz w:val="16"/>
                <w:szCs w:val="16"/>
              </w:rPr>
              <w:noBreakHyphen/>
            </w:r>
            <w:r w:rsidRPr="00E106BD">
              <w:rPr>
                <w:rFonts w:ascii="Arial" w:hAnsi="Arial" w:cs="Arial"/>
                <w:sz w:val="16"/>
                <w:szCs w:val="16"/>
              </w:rPr>
              <w:t>2 according to the International Prognostic Scoring System (IPSS); OR</w:t>
            </w:r>
            <w:r w:rsidRPr="00E106BD">
              <w:rPr>
                <w:rFonts w:ascii="Arial" w:hAnsi="Arial" w:cs="Arial"/>
                <w:sz w:val="16"/>
                <w:szCs w:val="16"/>
              </w:rPr>
              <w:br/>
              <w:t>The condition must be classified as high risk according to the International Prognostic Scoring System (IPSS);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progressive disease.</w:t>
            </w:r>
            <w:r w:rsidRPr="00E106BD">
              <w:rPr>
                <w:rFonts w:ascii="Arial" w:hAnsi="Arial" w:cs="Arial"/>
                <w:sz w:val="16"/>
                <w:szCs w:val="16"/>
              </w:rPr>
              <w:br/>
              <w:t>Applications for continuing therapy may be made by telephone.</w:t>
            </w:r>
            <w:r w:rsidRPr="00E106BD">
              <w:rPr>
                <w:rFonts w:ascii="Arial" w:hAnsi="Arial" w:cs="Arial"/>
                <w:sz w:val="16"/>
                <w:szCs w:val="16"/>
              </w:rPr>
              <w:br/>
              <w:t>Up to 6 cycles will be authorised.</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bookmarkStart w:id="91" w:name="CU_41198563"/>
            <w:bookmarkEnd w:id="91"/>
            <w:r w:rsidRPr="00E106BD">
              <w:rPr>
                <w:rFonts w:ascii="Arial" w:hAnsi="Arial" w:cs="Arial"/>
                <w:sz w:val="16"/>
                <w:szCs w:val="16"/>
              </w:rPr>
              <w:t>Azithromycin</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C6356</w:t>
            </w:r>
          </w:p>
        </w:tc>
        <w:tc>
          <w:tcPr>
            <w:tcW w:w="709" w:type="dxa"/>
            <w:tcMar>
              <w:top w:w="28" w:type="dxa"/>
              <w:left w:w="28" w:type="dxa"/>
            </w:tcMar>
            <w:vAlign w:val="cente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pStyle w:val="mps3-data"/>
              <w:rPr>
                <w:szCs w:val="16"/>
              </w:rPr>
            </w:pPr>
            <w:r w:rsidRPr="00E106BD">
              <w:rPr>
                <w:szCs w:val="16"/>
              </w:rPr>
              <w:t>Mycobacterium avium complex infection</w:t>
            </w:r>
          </w:p>
          <w:p w:rsidR="00F05C1E" w:rsidRPr="00E106BD" w:rsidRDefault="00F05C1E" w:rsidP="00881477">
            <w:pPr>
              <w:pStyle w:val="mps3-data"/>
              <w:rPr>
                <w:b/>
                <w:szCs w:val="16"/>
              </w:rPr>
            </w:pPr>
            <w:r w:rsidRPr="00E106BD">
              <w:rPr>
                <w:szCs w:val="16"/>
              </w:rPr>
              <w:t>The treatment must be for prophylaxis; AND</w:t>
            </w:r>
          </w:p>
          <w:p w:rsidR="00F05C1E" w:rsidRPr="00E106BD" w:rsidRDefault="00F05C1E" w:rsidP="00881477">
            <w:pPr>
              <w:pStyle w:val="mps3-data"/>
              <w:rPr>
                <w:b/>
                <w:szCs w:val="16"/>
              </w:rPr>
            </w:pPr>
            <w:r w:rsidRPr="00E106BD">
              <w:rPr>
                <w:szCs w:val="16"/>
              </w:rPr>
              <w:t>Patient must be human immunodeficiency virus (HIV) positive;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CD4 cell counts of less than 75 per cubic millimetre.</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6356</w:t>
            </w:r>
          </w:p>
        </w:tc>
      </w:tr>
      <w:tr w:rsidR="00F05C1E" w:rsidRPr="00E106BD" w:rsidTr="008929EB">
        <w:tc>
          <w:tcPr>
            <w:tcW w:w="1729" w:type="dxa"/>
            <w:tcMar>
              <w:top w:w="28" w:type="dxa"/>
              <w:left w:w="28" w:type="dxa"/>
            </w:tcMar>
          </w:tcPr>
          <w:p w:rsidR="00F05C1E" w:rsidRPr="00E106BD" w:rsidRDefault="00F05C1E" w:rsidP="00881477">
            <w:pPr>
              <w:pStyle w:val="mps3-data"/>
              <w:rPr>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C9604</w:t>
            </w:r>
          </w:p>
        </w:tc>
        <w:tc>
          <w:tcPr>
            <w:tcW w:w="709" w:type="dxa"/>
            <w:tcMar>
              <w:top w:w="28" w:type="dxa"/>
              <w:left w:w="28" w:type="dxa"/>
            </w:tcMar>
            <w:vAlign w:val="center"/>
          </w:tcPr>
          <w:p w:rsidR="00F05C1E" w:rsidRPr="00E106BD" w:rsidRDefault="00F05C1E" w:rsidP="00881477">
            <w:pPr>
              <w:pStyle w:val="mps3-data"/>
              <w:rPr>
                <w:szCs w:val="16"/>
              </w:rPr>
            </w:pPr>
          </w:p>
        </w:tc>
        <w:tc>
          <w:tcPr>
            <w:tcW w:w="7654" w:type="dxa"/>
            <w:tcMar>
              <w:top w:w="28" w:type="dxa"/>
              <w:left w:w="28" w:type="dxa"/>
            </w:tcMar>
          </w:tcPr>
          <w:p w:rsidR="00F05C1E" w:rsidRPr="00E106BD" w:rsidRDefault="00F05C1E" w:rsidP="00881477">
            <w:pPr>
              <w:pStyle w:val="mps3-data"/>
              <w:rPr>
                <w:szCs w:val="16"/>
              </w:rPr>
            </w:pPr>
            <w:r w:rsidRPr="00E106BD">
              <w:rPr>
                <w:szCs w:val="16"/>
              </w:rPr>
              <w:t>Mycobacterium avium complex infection</w:t>
            </w:r>
            <w:r w:rsidRPr="00E106BD">
              <w:rPr>
                <w:szCs w:val="16"/>
              </w:rPr>
              <w:br/>
              <w:t>The treatment must be for prophylaxis; AND</w:t>
            </w:r>
            <w:r w:rsidRPr="00E106BD">
              <w:rPr>
                <w:szCs w:val="16"/>
              </w:rPr>
              <w:br/>
              <w:t>Patient must be human immunodeficiency virus (HIV) positive; AND</w:t>
            </w:r>
            <w:r w:rsidRPr="00E106BD">
              <w:rPr>
                <w:szCs w:val="16"/>
              </w:rPr>
              <w:br/>
              <w:t>Patient must have CD4 cell counts of less than 75 per cubic millimetre.</w:t>
            </w:r>
          </w:p>
        </w:tc>
        <w:tc>
          <w:tcPr>
            <w:tcW w:w="2552" w:type="dxa"/>
            <w:tcMar>
              <w:top w:w="28" w:type="dxa"/>
              <w:left w:w="28" w:type="dxa"/>
              <w:right w:w="57" w:type="dxa"/>
            </w:tcMar>
          </w:tcPr>
          <w:p w:rsidR="00F05C1E" w:rsidRPr="00E106BD" w:rsidRDefault="00F05C1E">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9604</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bookmarkStart w:id="92" w:name="CU_49201193"/>
            <w:bookmarkEnd w:id="92"/>
            <w:r w:rsidRPr="00E106BD">
              <w:rPr>
                <w:rFonts w:ascii="Arial" w:hAnsi="Arial" w:cs="Arial"/>
                <w:sz w:val="16"/>
                <w:szCs w:val="16"/>
              </w:rPr>
              <w:t>Baclofen</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C6911</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disease.</w:t>
            </w:r>
          </w:p>
        </w:tc>
        <w:tc>
          <w:tcPr>
            <w:tcW w:w="2552" w:type="dxa"/>
            <w:tcBorders>
              <w:bottom w:val="single" w:sz="4" w:space="0" w:color="auto"/>
            </w:tcBorders>
            <w:tcMar>
              <w:top w:w="28" w:type="dxa"/>
              <w:left w:w="28" w:type="dxa"/>
              <w:right w:w="57" w:type="dxa"/>
            </w:tcMar>
          </w:tcPr>
          <w:p w:rsidR="00F05C1E" w:rsidRPr="00E106BD" w:rsidDel="002167A7"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6911</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C6925</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of cerebral origin.</w:t>
            </w:r>
          </w:p>
        </w:tc>
        <w:tc>
          <w:tcPr>
            <w:tcW w:w="2552" w:type="dxa"/>
            <w:tcBorders>
              <w:bottom w:val="single" w:sz="4" w:space="0" w:color="auto"/>
            </w:tcBorders>
            <w:tcMar>
              <w:top w:w="28" w:type="dxa"/>
              <w:left w:w="28" w:type="dxa"/>
              <w:right w:w="57" w:type="dxa"/>
            </w:tcMar>
          </w:tcPr>
          <w:p w:rsidR="00F05C1E" w:rsidRPr="00E106BD" w:rsidDel="002167A7"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6925</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C6939</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multiple sclerosis.</w:t>
            </w:r>
          </w:p>
        </w:tc>
        <w:tc>
          <w:tcPr>
            <w:tcW w:w="2552" w:type="dxa"/>
            <w:tcBorders>
              <w:bottom w:val="single" w:sz="4" w:space="0" w:color="auto"/>
            </w:tcBorders>
            <w:tcMar>
              <w:top w:w="28" w:type="dxa"/>
              <w:left w:w="28" w:type="dxa"/>
              <w:right w:w="57" w:type="dxa"/>
            </w:tcMar>
          </w:tcPr>
          <w:p w:rsidR="00F05C1E" w:rsidRPr="00E106BD" w:rsidDel="002167A7"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6939</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C6940</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injury.</w:t>
            </w:r>
          </w:p>
        </w:tc>
        <w:tc>
          <w:tcPr>
            <w:tcW w:w="2552" w:type="dxa"/>
            <w:tcBorders>
              <w:bottom w:val="single" w:sz="4" w:space="0" w:color="auto"/>
            </w:tcBorders>
            <w:tcMar>
              <w:top w:w="28" w:type="dxa"/>
              <w:left w:w="28" w:type="dxa"/>
              <w:right w:w="57" w:type="dxa"/>
            </w:tcMar>
          </w:tcPr>
          <w:p w:rsidR="00F05C1E" w:rsidRPr="00E106BD" w:rsidDel="002167A7"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6940</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C7134</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respond to treatment with oral antispastic agents;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had unacceptable side effects to treatment with oral antispastic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chronic spasticity due to multiple sclerosis.</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7134</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C7148</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respond to treatment with oral antispastic agents;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had unacceptable side effects to treatment with oral antispastic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chronic spasticity due to spinal cord disease.</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7148</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C7152</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respond to treatment with oral antispastic agents;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had unacceptable side effects to treatment with oral antispastic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chronic spasticity of cerebral origin.</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7152</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C7153</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respond to treatment with oral antispastic agents;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had unacceptable side effects to treatment with oral antispastic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chronic spasticity due to spinal cord injury.</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7153</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C9488</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of cerebral origin.</w:t>
            </w:r>
          </w:p>
        </w:tc>
        <w:tc>
          <w:tcPr>
            <w:tcW w:w="2552" w:type="dxa"/>
            <w:tcBorders>
              <w:bottom w:val="single" w:sz="4" w:space="0" w:color="auto"/>
            </w:tcBorders>
            <w:tcMar>
              <w:top w:w="28" w:type="dxa"/>
              <w:left w:w="28" w:type="dxa"/>
              <w:right w:w="57" w:type="dxa"/>
            </w:tcMar>
          </w:tcPr>
          <w:p w:rsidR="00F05C1E" w:rsidRPr="00E106BD" w:rsidDel="00C53AD4"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9488</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C9489</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injury.</w:t>
            </w:r>
          </w:p>
        </w:tc>
        <w:tc>
          <w:tcPr>
            <w:tcW w:w="2552" w:type="dxa"/>
            <w:tcBorders>
              <w:bottom w:val="single" w:sz="4" w:space="0" w:color="auto"/>
            </w:tcBorders>
            <w:tcMar>
              <w:top w:w="28" w:type="dxa"/>
              <w:left w:w="28" w:type="dxa"/>
              <w:right w:w="57" w:type="dxa"/>
            </w:tcMar>
          </w:tcPr>
          <w:p w:rsidR="00F05C1E" w:rsidRPr="00E106BD" w:rsidDel="00C53AD4"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9489</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C9524</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disease.</w:t>
            </w:r>
          </w:p>
        </w:tc>
        <w:tc>
          <w:tcPr>
            <w:tcW w:w="2552" w:type="dxa"/>
            <w:tcBorders>
              <w:bottom w:val="single" w:sz="4" w:space="0" w:color="auto"/>
            </w:tcBorders>
            <w:tcMar>
              <w:top w:w="28" w:type="dxa"/>
              <w:left w:w="28" w:type="dxa"/>
              <w:right w:w="57" w:type="dxa"/>
            </w:tcMar>
          </w:tcPr>
          <w:p w:rsidR="00F05C1E" w:rsidRPr="00E106BD" w:rsidDel="00C53AD4"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9524</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C9525</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multiple sclerosis.</w:t>
            </w:r>
          </w:p>
        </w:tc>
        <w:tc>
          <w:tcPr>
            <w:tcW w:w="2552" w:type="dxa"/>
            <w:tcBorders>
              <w:bottom w:val="single" w:sz="4" w:space="0" w:color="auto"/>
            </w:tcBorders>
            <w:tcMar>
              <w:top w:w="28" w:type="dxa"/>
              <w:left w:w="28" w:type="dxa"/>
              <w:right w:w="57" w:type="dxa"/>
            </w:tcMar>
          </w:tcPr>
          <w:p w:rsidR="00F05C1E" w:rsidRPr="00E106BD" w:rsidDel="00C53AD4"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9525</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C9562</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of cerebral origin.</w:t>
            </w:r>
          </w:p>
        </w:tc>
        <w:tc>
          <w:tcPr>
            <w:tcW w:w="2552" w:type="dxa"/>
            <w:tcBorders>
              <w:bottom w:val="single" w:sz="4" w:space="0" w:color="auto"/>
            </w:tcBorders>
            <w:tcMar>
              <w:top w:w="28" w:type="dxa"/>
              <w:left w:w="28" w:type="dxa"/>
              <w:right w:w="57" w:type="dxa"/>
            </w:tcMar>
          </w:tcPr>
          <w:p w:rsidR="00F05C1E" w:rsidRPr="00E106BD" w:rsidDel="00C53AD4"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9562</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C9606</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disease.</w:t>
            </w:r>
          </w:p>
        </w:tc>
        <w:tc>
          <w:tcPr>
            <w:tcW w:w="2552" w:type="dxa"/>
            <w:tcBorders>
              <w:bottom w:val="single" w:sz="4" w:space="0" w:color="auto"/>
            </w:tcBorders>
            <w:tcMar>
              <w:top w:w="28" w:type="dxa"/>
              <w:left w:w="28" w:type="dxa"/>
              <w:right w:w="57" w:type="dxa"/>
            </w:tcMar>
          </w:tcPr>
          <w:p w:rsidR="00F05C1E" w:rsidRPr="00E106BD" w:rsidDel="00C53AD4" w:rsidRDefault="00F05C1E" w:rsidP="00460EF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9606</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C9637</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multiple sclerosis.</w:t>
            </w:r>
          </w:p>
        </w:tc>
        <w:tc>
          <w:tcPr>
            <w:tcW w:w="2552" w:type="dxa"/>
            <w:tcBorders>
              <w:bottom w:val="single" w:sz="4" w:space="0" w:color="auto"/>
            </w:tcBorders>
            <w:tcMar>
              <w:top w:w="28" w:type="dxa"/>
              <w:left w:w="28" w:type="dxa"/>
              <w:right w:w="57" w:type="dxa"/>
            </w:tcMar>
          </w:tcPr>
          <w:p w:rsidR="00F05C1E" w:rsidRPr="00E106BD" w:rsidDel="00C53AD4" w:rsidRDefault="00F05C1E" w:rsidP="00460EF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9637</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C9638</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injury.</w:t>
            </w:r>
          </w:p>
        </w:tc>
        <w:tc>
          <w:tcPr>
            <w:tcW w:w="2552" w:type="dxa"/>
            <w:tcBorders>
              <w:bottom w:val="single" w:sz="4" w:space="0" w:color="auto"/>
            </w:tcBorders>
            <w:tcMar>
              <w:top w:w="28" w:type="dxa"/>
              <w:left w:w="28" w:type="dxa"/>
              <w:right w:w="57" w:type="dxa"/>
            </w:tcMar>
          </w:tcPr>
          <w:p w:rsidR="00F05C1E" w:rsidRPr="00E106BD" w:rsidDel="00C53AD4" w:rsidRDefault="00F05C1E" w:rsidP="00460EF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9638</w:t>
            </w:r>
          </w:p>
        </w:tc>
      </w:tr>
      <w:tr w:rsidR="00F05C1E" w:rsidRPr="00E106BD" w:rsidDel="009152C2" w:rsidTr="008929EB">
        <w:tc>
          <w:tcPr>
            <w:tcW w:w="1729" w:type="dxa"/>
            <w:tcBorders>
              <w:bottom w:val="single" w:sz="4" w:space="0" w:color="auto"/>
            </w:tcBorders>
            <w:tcMar>
              <w:top w:w="28" w:type="dxa"/>
              <w:left w:w="28" w:type="dxa"/>
            </w:tcMar>
          </w:tcPr>
          <w:p w:rsidR="00F05C1E" w:rsidRPr="00E106BD" w:rsidDel="009152C2" w:rsidRDefault="00F05C1E" w:rsidP="00881477">
            <w:pPr>
              <w:spacing w:line="240" w:lineRule="auto"/>
              <w:rPr>
                <w:rFonts w:ascii="Arial" w:hAnsi="Arial" w:cs="Arial"/>
                <w:sz w:val="16"/>
                <w:szCs w:val="16"/>
              </w:rPr>
            </w:pPr>
            <w:r w:rsidRPr="00E106BD">
              <w:rPr>
                <w:rFonts w:ascii="Arial" w:hAnsi="Arial" w:cs="Arial"/>
                <w:sz w:val="16"/>
                <w:szCs w:val="16"/>
              </w:rPr>
              <w:t>Benralizumab</w:t>
            </w:r>
          </w:p>
        </w:tc>
        <w:tc>
          <w:tcPr>
            <w:tcW w:w="709" w:type="dxa"/>
            <w:tcBorders>
              <w:bottom w:val="single" w:sz="4" w:space="0" w:color="auto"/>
            </w:tcBorders>
            <w:tcMar>
              <w:top w:w="28" w:type="dxa"/>
              <w:left w:w="28" w:type="dxa"/>
            </w:tcMar>
          </w:tcPr>
          <w:p w:rsidR="00F05C1E" w:rsidRPr="00E106BD" w:rsidDel="009152C2" w:rsidRDefault="00F05C1E" w:rsidP="00881477">
            <w:pPr>
              <w:spacing w:line="240" w:lineRule="auto"/>
              <w:rPr>
                <w:rFonts w:ascii="Arial" w:hAnsi="Arial" w:cs="Arial"/>
                <w:sz w:val="16"/>
                <w:szCs w:val="16"/>
              </w:rPr>
            </w:pPr>
            <w:r w:rsidRPr="00E106BD">
              <w:rPr>
                <w:rFonts w:ascii="Arial" w:hAnsi="Arial" w:cs="Arial"/>
                <w:sz w:val="16"/>
                <w:szCs w:val="16"/>
              </w:rPr>
              <w:t>C9887</w:t>
            </w:r>
          </w:p>
        </w:tc>
        <w:tc>
          <w:tcPr>
            <w:tcW w:w="709" w:type="dxa"/>
            <w:tcBorders>
              <w:bottom w:val="single" w:sz="4" w:space="0" w:color="auto"/>
            </w:tcBorders>
            <w:tcMar>
              <w:top w:w="28" w:type="dxa"/>
              <w:left w:w="28" w:type="dxa"/>
            </w:tcMar>
          </w:tcPr>
          <w:p w:rsidR="00F05C1E" w:rsidRPr="00E106BD" w:rsidDel="009152C2" w:rsidRDefault="00F05C1E" w:rsidP="00881477">
            <w:pPr>
              <w:spacing w:line="240" w:lineRule="auto"/>
              <w:rPr>
                <w:rFonts w:ascii="Arial" w:hAnsi="Arial" w:cs="Arial"/>
                <w:sz w:val="16"/>
                <w:szCs w:val="16"/>
              </w:rPr>
            </w:pPr>
            <w:r w:rsidRPr="00E106BD">
              <w:rPr>
                <w:rFonts w:ascii="Arial" w:hAnsi="Arial" w:cs="Arial"/>
                <w:sz w:val="16"/>
                <w:szCs w:val="16"/>
              </w:rPr>
              <w:t>P9887</w:t>
            </w:r>
          </w:p>
        </w:tc>
        <w:tc>
          <w:tcPr>
            <w:tcW w:w="7654" w:type="dxa"/>
            <w:tcBorders>
              <w:bottom w:val="single" w:sz="4" w:space="0" w:color="auto"/>
            </w:tcBorders>
            <w:tcMar>
              <w:top w:w="28" w:type="dxa"/>
              <w:left w:w="28" w:type="dxa"/>
            </w:tcMar>
          </w:tcPr>
          <w:p w:rsidR="00F05C1E" w:rsidRPr="00E106BD" w:rsidDel="009152C2" w:rsidRDefault="00F05C1E" w:rsidP="00881477">
            <w:pPr>
              <w:spacing w:line="240" w:lineRule="auto"/>
              <w:rPr>
                <w:rFonts w:ascii="Arial" w:hAnsi="Arial" w:cs="Arial"/>
                <w:sz w:val="16"/>
                <w:szCs w:val="16"/>
              </w:rPr>
            </w:pPr>
            <w:r w:rsidRPr="00E106BD">
              <w:rPr>
                <w:rFonts w:ascii="Arial" w:hAnsi="Arial" w:cs="Arial"/>
                <w:sz w:val="16"/>
                <w:szCs w:val="16"/>
              </w:rPr>
              <w:t>Uncontrolled severe eosinophilic asthma</w:t>
            </w:r>
            <w:r w:rsidRPr="00E106BD">
              <w:rPr>
                <w:rFonts w:ascii="Arial" w:hAnsi="Arial" w:cs="Arial"/>
                <w:sz w:val="16"/>
                <w:szCs w:val="16"/>
              </w:rPr>
              <w:br/>
              <w:t>Balance of supply</w:t>
            </w:r>
            <w:r w:rsidRPr="00E106BD">
              <w:rPr>
                <w:rFonts w:ascii="Arial" w:hAnsi="Arial" w:cs="Arial"/>
                <w:sz w:val="16"/>
                <w:szCs w:val="16"/>
              </w:rPr>
              <w:br/>
              <w:t>Must be treated by a respiratory physician, clinical immunologist, allergist or general physician experienced in the management of patients with severe asthma.</w:t>
            </w:r>
            <w:r w:rsidRPr="00E106BD">
              <w:rPr>
                <w:rFonts w:ascii="Arial" w:hAnsi="Arial" w:cs="Arial"/>
                <w:sz w:val="16"/>
                <w:szCs w:val="16"/>
              </w:rPr>
              <w:br/>
              <w:t>Patient must received insufficient therapy with this drug under the Initial 1 (new patients or recommencement of treatment in a new treatment cycle) restriction to complete 32 weeks treatment; OR</w:t>
            </w:r>
            <w:r w:rsidRPr="00E106BD">
              <w:rPr>
                <w:rFonts w:ascii="Arial" w:hAnsi="Arial" w:cs="Arial"/>
                <w:sz w:val="16"/>
                <w:szCs w:val="16"/>
              </w:rPr>
              <w:br/>
              <w:t>Patient must have received insufficient therapy with this drug under the Initial 2 (change of treatment) restriction to complete 32 weeks treatment; OR</w:t>
            </w:r>
            <w:r w:rsidRPr="00E106BD">
              <w:rPr>
                <w:rFonts w:ascii="Arial" w:hAnsi="Arial" w:cs="Arial"/>
                <w:sz w:val="16"/>
                <w:szCs w:val="16"/>
              </w:rPr>
              <w:br/>
              <w:t>Patient must have received insufficient therapy with this drug under the Continuing treatment restriction to complete 24 weeks treatment; AND</w:t>
            </w:r>
            <w:r w:rsidRPr="00E106BD">
              <w:rPr>
                <w:rFonts w:ascii="Arial" w:hAnsi="Arial" w:cs="Arial"/>
                <w:sz w:val="16"/>
                <w:szCs w:val="16"/>
              </w:rPr>
              <w:br/>
              <w:t>The treatment must not provide more than the balance of up to 32 weeks of treatment if the most recent authority approval was made under an Initial treatment restriction; OR</w:t>
            </w:r>
            <w:r w:rsidRPr="00E106BD">
              <w:rPr>
                <w:rFonts w:ascii="Arial" w:hAnsi="Arial" w:cs="Arial"/>
                <w:sz w:val="16"/>
                <w:szCs w:val="16"/>
              </w:rPr>
              <w:br/>
              <w:t>The treatment must not provide more than the balance of up to 24 weeks of treatment if the most recent authority approval was made under the Continuing treatment restriction.</w:t>
            </w:r>
          </w:p>
        </w:tc>
        <w:tc>
          <w:tcPr>
            <w:tcW w:w="2552" w:type="dxa"/>
            <w:tcBorders>
              <w:bottom w:val="single" w:sz="4" w:space="0" w:color="auto"/>
            </w:tcBorders>
            <w:tcMar>
              <w:top w:w="28" w:type="dxa"/>
              <w:left w:w="28" w:type="dxa"/>
              <w:right w:w="57" w:type="dxa"/>
            </w:tcMar>
          </w:tcPr>
          <w:p w:rsidR="00F05C1E" w:rsidRPr="00E106BD" w:rsidDel="009152C2" w:rsidRDefault="00F05C1E" w:rsidP="009A7C18">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9152C2" w:rsidTr="008929EB">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C10264</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P10264</w:t>
            </w: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Uncontrolled severe eosinophilic asthma</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2 (Change of treatment)</w:t>
            </w:r>
            <w:r w:rsidRPr="00E106BD">
              <w:rPr>
                <w:rFonts w:ascii="Arial" w:hAnsi="Arial" w:cs="Arial"/>
                <w:sz w:val="16"/>
                <w:szCs w:val="16"/>
              </w:rPr>
              <w:br/>
              <w:t>Must be treated by a respiratory physician, clinical immunologist, allergist or general physician experienced in the management of patients with severe asthma.</w:t>
            </w:r>
            <w:r w:rsidRPr="00E106BD">
              <w:rPr>
                <w:rFonts w:ascii="Arial" w:hAnsi="Arial" w:cs="Arial"/>
                <w:sz w:val="16"/>
                <w:szCs w:val="16"/>
              </w:rPr>
              <w:br/>
              <w:t>Patient must be under the care of the same physician for at least 6 months; OR</w:t>
            </w:r>
            <w:r w:rsidRPr="00E106BD">
              <w:rPr>
                <w:rFonts w:ascii="Arial" w:hAnsi="Arial" w:cs="Arial"/>
                <w:sz w:val="16"/>
                <w:szCs w:val="16"/>
              </w:rPr>
              <w:br/>
              <w:t>Patient must have been diagnosed by a multidisciplinary severe asthma clinic team; AND</w:t>
            </w:r>
            <w:r w:rsidRPr="00E106BD">
              <w:rPr>
                <w:rFonts w:ascii="Arial" w:hAnsi="Arial" w:cs="Arial"/>
                <w:sz w:val="16"/>
                <w:szCs w:val="16"/>
              </w:rPr>
              <w:br/>
              <w:t>Patient must have received prior PBS</w:t>
            </w:r>
            <w:r>
              <w:rPr>
                <w:rFonts w:ascii="Arial" w:hAnsi="Arial" w:cs="Arial"/>
                <w:sz w:val="16"/>
                <w:szCs w:val="16"/>
              </w:rPr>
              <w:noBreakHyphen/>
            </w:r>
            <w:r w:rsidRPr="00E106BD">
              <w:rPr>
                <w:rFonts w:ascii="Arial" w:hAnsi="Arial" w:cs="Arial"/>
                <w:sz w:val="16"/>
                <w:szCs w:val="16"/>
              </w:rPr>
              <w:t>subsidised treatment with a biological medicine for severe asthma in this treatment cycle; AND</w:t>
            </w:r>
            <w:r w:rsidRPr="00E106BD">
              <w:rPr>
                <w:rFonts w:ascii="Arial" w:hAnsi="Arial" w:cs="Arial"/>
                <w:sz w:val="16"/>
                <w:szCs w:val="16"/>
              </w:rPr>
              <w:br/>
              <w:t>Patient must not have failed, or ceased to respond to, PBS</w:t>
            </w:r>
            <w:r>
              <w:rPr>
                <w:rFonts w:ascii="Arial" w:hAnsi="Arial" w:cs="Arial"/>
                <w:sz w:val="16"/>
                <w:szCs w:val="16"/>
              </w:rPr>
              <w:noBreakHyphen/>
            </w:r>
            <w:r w:rsidRPr="00E106BD">
              <w:rPr>
                <w:rFonts w:ascii="Arial" w:hAnsi="Arial" w:cs="Arial"/>
                <w:sz w:val="16"/>
                <w:szCs w:val="16"/>
              </w:rPr>
              <w:t>subsidised treatment with this drug for severe asthma during the current treatment cycle; AND</w:t>
            </w:r>
            <w:r w:rsidRPr="00E106BD">
              <w:rPr>
                <w:rFonts w:ascii="Arial" w:hAnsi="Arial" w:cs="Arial"/>
                <w:sz w:val="16"/>
                <w:szCs w:val="16"/>
              </w:rPr>
              <w:br/>
              <w:t>Patient must have had a blood eosinophil count greater than or equal to 300 cells per microlitre and that is no older than 12 months immediately prior to commencing PBS</w:t>
            </w:r>
            <w:r>
              <w:rPr>
                <w:rFonts w:ascii="Arial" w:hAnsi="Arial" w:cs="Arial"/>
                <w:sz w:val="16"/>
                <w:szCs w:val="16"/>
              </w:rPr>
              <w:noBreakHyphen/>
            </w:r>
            <w:r w:rsidRPr="00E106BD">
              <w:rPr>
                <w:rFonts w:ascii="Arial" w:hAnsi="Arial" w:cs="Arial"/>
                <w:sz w:val="16"/>
                <w:szCs w:val="16"/>
              </w:rPr>
              <w:t>subsidised biological medicine treatment for severe asthma; OR</w:t>
            </w:r>
            <w:r w:rsidRPr="00E106BD">
              <w:rPr>
                <w:rFonts w:ascii="Arial" w:hAnsi="Arial" w:cs="Arial"/>
                <w:sz w:val="16"/>
                <w:szCs w:val="16"/>
              </w:rPr>
              <w:br/>
              <w:t>Patient must have had a blood eosinophil count greater than or equal to 150 cells per microlitre while receiving treatment with oral corticosteroids and that is no older than 12 months immediately prior to commencing PBS</w:t>
            </w:r>
            <w:r>
              <w:rPr>
                <w:rFonts w:ascii="Arial" w:hAnsi="Arial" w:cs="Arial"/>
                <w:sz w:val="16"/>
                <w:szCs w:val="16"/>
              </w:rPr>
              <w:noBreakHyphen/>
            </w:r>
            <w:r w:rsidRPr="00E106BD">
              <w:rPr>
                <w:rFonts w:ascii="Arial" w:hAnsi="Arial" w:cs="Arial"/>
                <w:sz w:val="16"/>
                <w:szCs w:val="16"/>
              </w:rPr>
              <w:t>subsidised biological medicine treatment for severe asthma; AND</w:t>
            </w:r>
            <w:r w:rsidRPr="00E106BD">
              <w:rPr>
                <w:rFonts w:ascii="Arial" w:hAnsi="Arial" w:cs="Arial"/>
                <w:sz w:val="16"/>
                <w:szCs w:val="16"/>
              </w:rPr>
              <w:br/>
              <w:t>Patient must not receive more than 32 weeks of treatment under this restriction; AND</w:t>
            </w:r>
            <w:r w:rsidRPr="00E106BD">
              <w:rPr>
                <w:rFonts w:ascii="Arial" w:hAnsi="Arial" w:cs="Arial"/>
                <w:sz w:val="16"/>
                <w:szCs w:val="16"/>
              </w:rPr>
              <w:br/>
              <w:t>The treatment must not be used in combination with and within 4 weeks of another PBS</w:t>
            </w:r>
            <w:r>
              <w:rPr>
                <w:rFonts w:ascii="Arial" w:hAnsi="Arial" w:cs="Arial"/>
                <w:sz w:val="16"/>
                <w:szCs w:val="16"/>
              </w:rPr>
              <w:noBreakHyphen/>
            </w:r>
            <w:r w:rsidRPr="00E106BD">
              <w:rPr>
                <w:rFonts w:ascii="Arial" w:hAnsi="Arial" w:cs="Arial"/>
                <w:sz w:val="16"/>
                <w:szCs w:val="16"/>
              </w:rPr>
              <w:t>subsidised biological medicine prescribed for severe asthma.</w:t>
            </w:r>
            <w:r w:rsidRPr="00E106BD">
              <w:rPr>
                <w:rFonts w:ascii="Arial" w:hAnsi="Arial" w:cs="Arial"/>
                <w:sz w:val="16"/>
                <w:szCs w:val="16"/>
              </w:rPr>
              <w:br/>
              <w:t>Patient must be aged 12 years or older.</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Severe Eosinophilic Asthma (mepolizumab/benralizumab) Initial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Asthma Control Questionnaire (ACQ</w:t>
            </w:r>
            <w:r>
              <w:rPr>
                <w:rFonts w:ascii="Arial" w:hAnsi="Arial" w:cs="Arial"/>
                <w:sz w:val="16"/>
                <w:szCs w:val="16"/>
              </w:rPr>
              <w:noBreakHyphen/>
            </w:r>
            <w:r w:rsidRPr="00E106BD">
              <w:rPr>
                <w:rFonts w:ascii="Arial" w:hAnsi="Arial" w:cs="Arial"/>
                <w:sz w:val="16"/>
                <w:szCs w:val="16"/>
              </w:rPr>
              <w:t>5 item version) score (where a new baseline is being submitted or where the patient has responded to prior treatment); and</w:t>
            </w:r>
            <w:r w:rsidRPr="00E106BD">
              <w:rPr>
                <w:rFonts w:ascii="Arial" w:hAnsi="Arial" w:cs="Arial"/>
                <w:sz w:val="16"/>
                <w:szCs w:val="16"/>
              </w:rPr>
              <w:br/>
              <w:t>(ii) the details of prior biological medicine treatment including the details of date and duration of treatment; and</w:t>
            </w:r>
            <w:r w:rsidRPr="00E106BD">
              <w:rPr>
                <w:rFonts w:ascii="Arial" w:hAnsi="Arial" w:cs="Arial"/>
                <w:sz w:val="16"/>
                <w:szCs w:val="16"/>
              </w:rPr>
              <w:br/>
              <w:t>(iii) eosinophil count and date; and</w:t>
            </w:r>
            <w:r w:rsidRPr="00E106BD">
              <w:rPr>
                <w:rFonts w:ascii="Arial" w:hAnsi="Arial" w:cs="Arial"/>
                <w:sz w:val="16"/>
                <w:szCs w:val="16"/>
              </w:rPr>
              <w:br/>
              <w:t>(iv) the dose of the maintenance oral corticosteroid (where the response criteria or baseline is based on corticosteroid dose); and</w:t>
            </w:r>
            <w:r w:rsidRPr="00E106BD">
              <w:rPr>
                <w:rFonts w:ascii="Arial" w:hAnsi="Arial" w:cs="Arial"/>
                <w:sz w:val="16"/>
                <w:szCs w:val="16"/>
              </w:rPr>
              <w:br/>
              <w:t>(v) the reason for switching therapy (e.g. failure of prior therapy, partial response to prior therapy, adverse event to prior therapy).</w:t>
            </w:r>
            <w:r w:rsidRPr="00E106BD">
              <w:rPr>
                <w:rFonts w:ascii="Arial" w:hAnsi="Arial" w:cs="Arial"/>
                <w:sz w:val="16"/>
                <w:szCs w:val="16"/>
              </w:rPr>
              <w:br/>
              <w:t>An application for a patient who has received PBS</w:t>
            </w:r>
            <w:r>
              <w:rPr>
                <w:rFonts w:ascii="Arial" w:hAnsi="Arial" w:cs="Arial"/>
                <w:sz w:val="16"/>
                <w:szCs w:val="16"/>
              </w:rPr>
              <w:noBreakHyphen/>
            </w:r>
            <w:r w:rsidRPr="00E106BD">
              <w:rPr>
                <w:rFonts w:ascii="Arial" w:hAnsi="Arial" w:cs="Arial"/>
                <w:sz w:val="16"/>
                <w:szCs w:val="16"/>
              </w:rPr>
              <w:t>subsidised biological medicine treatment for severe asthma who wishes to change therapy to this biological medicine, must be accompanied by the results of an ACQ</w:t>
            </w:r>
            <w:r>
              <w:rPr>
                <w:rFonts w:ascii="Arial" w:hAnsi="Arial" w:cs="Arial"/>
                <w:sz w:val="16"/>
                <w:szCs w:val="16"/>
              </w:rPr>
              <w:noBreakHyphen/>
            </w:r>
            <w:r w:rsidRPr="00E106BD">
              <w:rPr>
                <w:rFonts w:ascii="Arial" w:hAnsi="Arial" w:cs="Arial"/>
                <w:sz w:val="16"/>
                <w:szCs w:val="16"/>
              </w:rPr>
              <w:t>5 assessment of the patient</w:t>
            </w:r>
            <w:r w:rsidR="00A653CA">
              <w:rPr>
                <w:rFonts w:ascii="Arial" w:hAnsi="Arial" w:cs="Arial"/>
                <w:sz w:val="16"/>
                <w:szCs w:val="16"/>
              </w:rPr>
              <w:t>’</w:t>
            </w:r>
            <w:r w:rsidRPr="00E106BD">
              <w:rPr>
                <w:rFonts w:ascii="Arial" w:hAnsi="Arial" w:cs="Arial"/>
                <w:sz w:val="16"/>
                <w:szCs w:val="16"/>
              </w:rPr>
              <w:t>s most recent course of PBS</w:t>
            </w:r>
            <w:r>
              <w:rPr>
                <w:rFonts w:ascii="Arial" w:hAnsi="Arial" w:cs="Arial"/>
                <w:sz w:val="16"/>
                <w:szCs w:val="16"/>
              </w:rPr>
              <w:noBreakHyphen/>
            </w:r>
            <w:r w:rsidRPr="00E106BD">
              <w:rPr>
                <w:rFonts w:ascii="Arial" w:hAnsi="Arial" w:cs="Arial"/>
                <w:sz w:val="16"/>
                <w:szCs w:val="16"/>
              </w:rPr>
              <w:t>subsidised biological medicine treatment. The assessment must have been made not more than 4 weeks after the last dose of biological medicine. Where a response assessment was not undertaken, the patient will be deemed to have failed to respond to treatment with that previous biological medicine.</w:t>
            </w:r>
            <w:r w:rsidRPr="00E106BD">
              <w:rPr>
                <w:rFonts w:ascii="Arial" w:hAnsi="Arial" w:cs="Arial"/>
                <w:sz w:val="16"/>
                <w:szCs w:val="16"/>
              </w:rPr>
              <w:br/>
              <w:t>An ACQ</w:t>
            </w:r>
            <w:r>
              <w:rPr>
                <w:rFonts w:ascii="Arial" w:hAnsi="Arial" w:cs="Arial"/>
                <w:sz w:val="16"/>
                <w:szCs w:val="16"/>
              </w:rPr>
              <w:noBreakHyphen/>
            </w:r>
            <w:r w:rsidRPr="00E106BD">
              <w:rPr>
                <w:rFonts w:ascii="Arial" w:hAnsi="Arial" w:cs="Arial"/>
                <w:sz w:val="16"/>
                <w:szCs w:val="16"/>
              </w:rPr>
              <w:t>5 assessment of the patient may be made at the time of application for treatment (to establish a new baseline score), but should be made again around 28 weeks after the first PBS</w:t>
            </w:r>
            <w:r>
              <w:rPr>
                <w:rFonts w:ascii="Arial" w:hAnsi="Arial" w:cs="Arial"/>
                <w:sz w:val="16"/>
                <w:szCs w:val="16"/>
              </w:rPr>
              <w:noBreakHyphen/>
            </w:r>
            <w:r w:rsidRPr="00E106BD">
              <w:rPr>
                <w:rFonts w:ascii="Arial" w:hAnsi="Arial" w:cs="Arial"/>
                <w:sz w:val="16"/>
                <w:szCs w:val="16"/>
              </w:rPr>
              <w:t>subsidised dose of this biological medicine under this restriction so that there is adequate time for a response to be demonstrated and for the application for the first continuing therapy to be processed.</w:t>
            </w:r>
            <w:r w:rsidRPr="00E106BD">
              <w:rPr>
                <w:rFonts w:ascii="Arial" w:hAnsi="Arial" w:cs="Arial"/>
                <w:sz w:val="16"/>
                <w:szCs w:val="16"/>
              </w:rPr>
              <w:br/>
              <w:t>This assessment at around 28 weeks,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biological medicine.</w:t>
            </w:r>
            <w:r w:rsidRPr="00E106BD">
              <w:rPr>
                <w:rFonts w:ascii="Arial" w:hAnsi="Arial" w:cs="Arial"/>
                <w:sz w:val="16"/>
                <w:szCs w:val="16"/>
              </w:rPr>
              <w:br/>
              <w:t>At the time of the authority application, medical practitioners should request up to 4 repeats to provide for an initial course sufficient for up to 32 weeks of therapy, based on a dose of 30 mg every 4 weeks for the first three doses (weeks 0, 4, and 8) then 30 mg every eight weeks thereafter (refer to the TGA</w:t>
            </w:r>
            <w:r>
              <w:rPr>
                <w:rFonts w:ascii="Arial" w:hAnsi="Arial" w:cs="Arial"/>
                <w:sz w:val="16"/>
                <w:szCs w:val="16"/>
              </w:rPr>
              <w:noBreakHyphen/>
            </w:r>
            <w:r w:rsidRPr="00E106BD">
              <w:rPr>
                <w:rFonts w:ascii="Arial" w:hAnsi="Arial" w:cs="Arial"/>
                <w:sz w:val="16"/>
                <w:szCs w:val="16"/>
              </w:rPr>
              <w:t>approved Product Information).</w:t>
            </w:r>
            <w:r w:rsidRPr="00E106BD">
              <w:rPr>
                <w:rFonts w:ascii="Arial" w:hAnsi="Arial" w:cs="Arial"/>
                <w:sz w:val="16"/>
                <w:szCs w:val="16"/>
              </w:rPr>
              <w:br/>
              <w:t>A multidisciplinary severe asthma clinic team comprises of:</w:t>
            </w:r>
            <w:r w:rsidRPr="00E106BD">
              <w:rPr>
                <w:rFonts w:ascii="Arial" w:hAnsi="Arial" w:cs="Arial"/>
                <w:sz w:val="16"/>
                <w:szCs w:val="16"/>
              </w:rPr>
              <w:br/>
              <w:t>A respiratory physician; and</w:t>
            </w:r>
            <w:r w:rsidRPr="00E106BD">
              <w:rPr>
                <w:rFonts w:ascii="Arial" w:hAnsi="Arial" w:cs="Arial"/>
                <w:sz w:val="16"/>
                <w:szCs w:val="16"/>
              </w:rPr>
              <w:br/>
              <w:t>A pharmacist, nurse or asthma educator.</w:t>
            </w:r>
          </w:p>
        </w:tc>
        <w:tc>
          <w:tcPr>
            <w:tcW w:w="2552" w:type="dxa"/>
            <w:tcBorders>
              <w:bottom w:val="single" w:sz="4" w:space="0" w:color="auto"/>
            </w:tcBorders>
            <w:tcMar>
              <w:top w:w="28" w:type="dxa"/>
              <w:left w:w="28" w:type="dxa"/>
              <w:right w:w="57" w:type="dxa"/>
            </w:tcMar>
          </w:tcPr>
          <w:p w:rsidR="00F05C1E" w:rsidRPr="00E106BD" w:rsidRDefault="00F05C1E" w:rsidP="00ED1AE1">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9152C2" w:rsidTr="008929EB">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C10281</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P10281</w:t>
            </w: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Uncontrolled severe eosinophilic asthma</w:t>
            </w:r>
            <w:r w:rsidRPr="00E106BD">
              <w:rPr>
                <w:rFonts w:ascii="Arial" w:hAnsi="Arial" w:cs="Arial"/>
                <w:sz w:val="16"/>
                <w:szCs w:val="16"/>
              </w:rPr>
              <w:br/>
              <w:t>Continuing treatment</w:t>
            </w:r>
            <w:r w:rsidRPr="00E106BD">
              <w:rPr>
                <w:rFonts w:ascii="Arial" w:hAnsi="Arial" w:cs="Arial"/>
                <w:sz w:val="16"/>
                <w:szCs w:val="16"/>
              </w:rPr>
              <w:br/>
              <w:t>Must be treated by a respiratory physician, clinical immunologist, allergist or general physician experienced in the management of patients with severe asthma.</w:t>
            </w:r>
            <w:r w:rsidRPr="00E106BD">
              <w:rPr>
                <w:rFonts w:ascii="Arial" w:hAnsi="Arial" w:cs="Arial"/>
                <w:sz w:val="16"/>
                <w:szCs w:val="16"/>
              </w:rPr>
              <w:br/>
              <w:t>Patient must have demonstrated or sustained an adequate response to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The treatment must not be used in combination with and within 4 weeks of another PBS</w:t>
            </w:r>
            <w:r>
              <w:rPr>
                <w:rFonts w:ascii="Arial" w:hAnsi="Arial" w:cs="Arial"/>
                <w:sz w:val="16"/>
                <w:szCs w:val="16"/>
              </w:rPr>
              <w:noBreakHyphen/>
            </w:r>
            <w:r w:rsidRPr="00E106BD">
              <w:rPr>
                <w:rFonts w:ascii="Arial" w:hAnsi="Arial" w:cs="Arial"/>
                <w:sz w:val="16"/>
                <w:szCs w:val="16"/>
              </w:rPr>
              <w:t>subsidised biological medicine prescribed for severe asthma; AND</w:t>
            </w:r>
            <w:r w:rsidRPr="00E106BD">
              <w:rPr>
                <w:rFonts w:ascii="Arial" w:hAnsi="Arial" w:cs="Arial"/>
                <w:sz w:val="16"/>
                <w:szCs w:val="16"/>
              </w:rPr>
              <w:br/>
              <w:t>Patient must not receive more than 24 weeks of treatment under this restriction.</w:t>
            </w:r>
            <w:r w:rsidRPr="00E106BD">
              <w:rPr>
                <w:rFonts w:ascii="Arial" w:hAnsi="Arial" w:cs="Arial"/>
                <w:sz w:val="16"/>
                <w:szCs w:val="16"/>
              </w:rPr>
              <w:br/>
              <w:t>Patient must be aged 12 years or older.</w:t>
            </w:r>
            <w:r w:rsidRPr="00E106BD">
              <w:rPr>
                <w:rFonts w:ascii="Arial" w:hAnsi="Arial" w:cs="Arial"/>
                <w:sz w:val="16"/>
                <w:szCs w:val="16"/>
              </w:rPr>
              <w:br/>
              <w:t>An adequate response to this biological medicine is defined as:</w:t>
            </w:r>
            <w:r w:rsidRPr="00E106BD">
              <w:rPr>
                <w:rFonts w:ascii="Arial" w:hAnsi="Arial" w:cs="Arial"/>
                <w:sz w:val="16"/>
                <w:szCs w:val="16"/>
              </w:rPr>
              <w:br/>
              <w:t>(a) a reduction in the Asthma Control Questionnaire (ACQ</w:t>
            </w:r>
            <w:r>
              <w:rPr>
                <w:rFonts w:ascii="Arial" w:hAnsi="Arial" w:cs="Arial"/>
                <w:sz w:val="16"/>
                <w:szCs w:val="16"/>
              </w:rPr>
              <w:noBreakHyphen/>
            </w:r>
            <w:r w:rsidRPr="00E106BD">
              <w:rPr>
                <w:rFonts w:ascii="Arial" w:hAnsi="Arial" w:cs="Arial"/>
                <w:sz w:val="16"/>
                <w:szCs w:val="16"/>
              </w:rPr>
              <w:t>5) score of at least 0.5 from baseline,</w:t>
            </w:r>
            <w:r w:rsidRPr="00E106BD">
              <w:rPr>
                <w:rFonts w:ascii="Arial" w:hAnsi="Arial" w:cs="Arial"/>
                <w:sz w:val="16"/>
                <w:szCs w:val="16"/>
              </w:rPr>
              <w:br/>
              <w:t>OR</w:t>
            </w:r>
            <w:r w:rsidRPr="00E106BD">
              <w:rPr>
                <w:rFonts w:ascii="Arial" w:hAnsi="Arial" w:cs="Arial"/>
                <w:sz w:val="16"/>
                <w:szCs w:val="16"/>
              </w:rPr>
              <w:br/>
              <w:t>(b) maintenance oral corticosteroid dose reduced by at least 25% from baseline, and no deterioration in ACQ</w:t>
            </w:r>
            <w:r>
              <w:rPr>
                <w:rFonts w:ascii="Arial" w:hAnsi="Arial" w:cs="Arial"/>
                <w:sz w:val="16"/>
                <w:szCs w:val="16"/>
              </w:rPr>
              <w:noBreakHyphen/>
            </w:r>
            <w:r w:rsidRPr="00E106BD">
              <w:rPr>
                <w:rFonts w:ascii="Arial" w:hAnsi="Arial" w:cs="Arial"/>
                <w:sz w:val="16"/>
                <w:szCs w:val="16"/>
              </w:rPr>
              <w:t>5 score from baseline or an increase in ACQ</w:t>
            </w:r>
            <w:r>
              <w:rPr>
                <w:rFonts w:ascii="Arial" w:hAnsi="Arial" w:cs="Arial"/>
                <w:sz w:val="16"/>
                <w:szCs w:val="16"/>
              </w:rPr>
              <w:noBreakHyphen/>
            </w:r>
            <w:r w:rsidRPr="00E106BD">
              <w:rPr>
                <w:rFonts w:ascii="Arial" w:hAnsi="Arial" w:cs="Arial"/>
                <w:sz w:val="16"/>
                <w:szCs w:val="16"/>
              </w:rPr>
              <w:t>5 score from baseline less than or equal to 0.5.</w:t>
            </w:r>
            <w:r w:rsidRPr="00E106BD">
              <w:rPr>
                <w:rFonts w:ascii="Arial" w:hAnsi="Arial" w:cs="Arial"/>
                <w:sz w:val="16"/>
                <w:szCs w:val="16"/>
              </w:rPr>
              <w:br/>
              <w:t>All applications for second and subsequent continuing treatments with this drug must include a measurement of response to the prior course of therapy. The Asthma Control Questionnaire (5 item version) assessment of the patient</w:t>
            </w:r>
            <w:r w:rsidR="00A653CA">
              <w:rPr>
                <w:rFonts w:ascii="Arial" w:hAnsi="Arial" w:cs="Arial"/>
                <w:sz w:val="16"/>
                <w:szCs w:val="16"/>
              </w:rPr>
              <w:t>’</w:t>
            </w:r>
            <w:r w:rsidRPr="00E106BD">
              <w:rPr>
                <w:rFonts w:ascii="Arial" w:hAnsi="Arial" w:cs="Arial"/>
                <w:sz w:val="16"/>
                <w:szCs w:val="16"/>
              </w:rPr>
              <w:t>s response to the prior course of treatment or the assessment of oral corticosteroid dose, should be made at around 20 weeks after the first dose of PBS</w:t>
            </w:r>
            <w:r>
              <w:rPr>
                <w:rFonts w:ascii="Arial" w:hAnsi="Arial" w:cs="Arial"/>
                <w:sz w:val="16"/>
                <w:szCs w:val="16"/>
              </w:rPr>
              <w:noBreakHyphen/>
            </w:r>
            <w:r w:rsidRPr="00E106BD">
              <w:rPr>
                <w:rFonts w:ascii="Arial" w:hAnsi="Arial" w:cs="Arial"/>
                <w:sz w:val="16"/>
                <w:szCs w:val="16"/>
              </w:rPr>
              <w:t>subsidised dose of this drug under this restriction so that there is adequate time for a response to be demonstrated and for the application for continuing therapy to be processed.</w:t>
            </w:r>
            <w:r w:rsidRPr="00E106BD">
              <w:rPr>
                <w:rFonts w:ascii="Arial" w:hAnsi="Arial" w:cs="Arial"/>
                <w:sz w:val="16"/>
                <w:szCs w:val="16"/>
              </w:rPr>
              <w:br/>
              <w:t>The assessment should, where possible, be completed by the same physician who initiated treatment with this drug.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E106BD">
              <w:rPr>
                <w:rFonts w:ascii="Arial" w:hAnsi="Arial" w:cs="Arial"/>
                <w:sz w:val="16"/>
                <w:szCs w:val="16"/>
              </w:rPr>
              <w:br/>
              <w:t>Where treatment was ceased for clinical reasons despite the patient experiencing improvement, an assessment of the patient</w:t>
            </w:r>
            <w:r w:rsidR="00A653CA">
              <w:rPr>
                <w:rFonts w:ascii="Arial" w:hAnsi="Arial" w:cs="Arial"/>
                <w:sz w:val="16"/>
                <w:szCs w:val="16"/>
              </w:rPr>
              <w:t>’</w:t>
            </w:r>
            <w:r w:rsidRPr="00E106BD">
              <w:rPr>
                <w:rFonts w:ascii="Arial" w:hAnsi="Arial" w:cs="Arial"/>
                <w:sz w:val="16"/>
                <w:szCs w:val="16"/>
              </w:rPr>
              <w:t>s response to treatment made at the time of treatment cessation or retrospectively will be considered to determine whether the patient demonstrated or sustained an adequate response to treatment.</w:t>
            </w:r>
            <w:r w:rsidRPr="00E106BD">
              <w:rPr>
                <w:rFonts w:ascii="Arial" w:hAnsi="Arial" w:cs="Arial"/>
                <w:sz w:val="16"/>
                <w:szCs w:val="16"/>
              </w:rPr>
              <w:br/>
              <w:t>A patient who fails to respond to treatment with this biological medicine for uncontrolled severe asthma will not be eligible to receive further PBS subsidised treatment with this biological medicine for severe asthma within the current treatment cycle.</w:t>
            </w:r>
            <w:r w:rsidRPr="00E106BD">
              <w:rPr>
                <w:rFonts w:ascii="Arial" w:hAnsi="Arial" w:cs="Arial"/>
                <w:sz w:val="16"/>
                <w:szCs w:val="16"/>
              </w:rPr>
              <w:br/>
              <w:t>At the time of the authority application, medical practitioners should request the appropriate number of repeats to provide for a continuing course of this drug sufficient for up to 24 weeks of therapy.</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Severe Eosinophilic Asthma Continuing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w:t>
            </w:r>
            <w:r w:rsidRPr="00E106BD">
              <w:rPr>
                <w:rFonts w:ascii="Arial" w:hAnsi="Arial" w:cs="Arial"/>
                <w:sz w:val="16"/>
                <w:szCs w:val="16"/>
              </w:rPr>
              <w:br/>
              <w:t>(i) details of maintenance oral corticosteroid dose; or</w:t>
            </w:r>
            <w:r w:rsidRPr="00E106BD">
              <w:rPr>
                <w:rFonts w:ascii="Arial" w:hAnsi="Arial" w:cs="Arial"/>
                <w:sz w:val="16"/>
                <w:szCs w:val="16"/>
              </w:rPr>
              <w:br/>
              <w:t>(ii) a completed Asthma Control Questionnaire (ACQ</w:t>
            </w:r>
            <w:r>
              <w:rPr>
                <w:rFonts w:ascii="Arial" w:hAnsi="Arial" w:cs="Arial"/>
                <w:sz w:val="16"/>
                <w:szCs w:val="16"/>
              </w:rPr>
              <w:noBreakHyphen/>
            </w:r>
            <w:r w:rsidRPr="00E106BD">
              <w:rPr>
                <w:rFonts w:ascii="Arial" w:hAnsi="Arial" w:cs="Arial"/>
                <w:sz w:val="16"/>
                <w:szCs w:val="16"/>
              </w:rPr>
              <w:t>5) score.</w:t>
            </w:r>
          </w:p>
        </w:tc>
        <w:tc>
          <w:tcPr>
            <w:tcW w:w="2552" w:type="dxa"/>
            <w:tcBorders>
              <w:bottom w:val="single" w:sz="4" w:space="0" w:color="auto"/>
            </w:tcBorders>
            <w:tcMar>
              <w:top w:w="28" w:type="dxa"/>
              <w:left w:w="28" w:type="dxa"/>
              <w:right w:w="57" w:type="dxa"/>
            </w:tcMar>
          </w:tcPr>
          <w:p w:rsidR="00F05C1E" w:rsidRPr="00E106BD" w:rsidRDefault="00F05C1E" w:rsidP="00ED1AE1">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9152C2" w:rsidTr="008929EB">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C10314</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P10314</w:t>
            </w: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Uncontrolled severe eosinophilic asthma</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1 (New patients; or Recommencement of treatment in a new treatment cycle following a break in PBS subsidised biological medicine therapy)</w:t>
            </w:r>
            <w:r w:rsidRPr="00E106BD">
              <w:rPr>
                <w:rFonts w:ascii="Arial" w:hAnsi="Arial" w:cs="Arial"/>
                <w:sz w:val="16"/>
                <w:szCs w:val="16"/>
              </w:rPr>
              <w:br/>
              <w:t>Must be treated by a respiratory physician, clinical immunologist, allergist or general physician experienced in the management of patients with severe asthma.</w:t>
            </w:r>
            <w:r w:rsidRPr="00E106BD">
              <w:rPr>
                <w:rFonts w:ascii="Arial" w:hAnsi="Arial" w:cs="Arial"/>
                <w:sz w:val="16"/>
                <w:szCs w:val="16"/>
              </w:rPr>
              <w:br/>
              <w:t>Patient must be under the care of the same physician for at least 6 months; OR</w:t>
            </w:r>
            <w:r w:rsidRPr="00E106BD">
              <w:rPr>
                <w:rFonts w:ascii="Arial" w:hAnsi="Arial" w:cs="Arial"/>
                <w:sz w:val="16"/>
                <w:szCs w:val="16"/>
              </w:rPr>
              <w:br/>
              <w:t>Patient must have been diagnosed by a multidisciplinary severe asthma clinic team; AND</w:t>
            </w:r>
            <w:r w:rsidRPr="00E106BD">
              <w:rPr>
                <w:rFonts w:ascii="Arial" w:hAnsi="Arial" w:cs="Arial"/>
                <w:sz w:val="16"/>
                <w:szCs w:val="16"/>
              </w:rPr>
              <w:br/>
              <w:t>Patient must not have received PBS</w:t>
            </w:r>
            <w:r>
              <w:rPr>
                <w:rFonts w:ascii="Arial" w:hAnsi="Arial" w:cs="Arial"/>
                <w:sz w:val="16"/>
                <w:szCs w:val="16"/>
              </w:rPr>
              <w:noBreakHyphen/>
            </w:r>
            <w:r w:rsidRPr="00E106BD">
              <w:rPr>
                <w:rFonts w:ascii="Arial" w:hAnsi="Arial" w:cs="Arial"/>
                <w:sz w:val="16"/>
                <w:szCs w:val="16"/>
              </w:rPr>
              <w:t>subsidised treatment with a biological medicine for severe asthma; OR</w:t>
            </w:r>
            <w:r w:rsidRPr="00E106BD">
              <w:rPr>
                <w:rFonts w:ascii="Arial" w:hAnsi="Arial" w:cs="Arial"/>
                <w:sz w:val="16"/>
                <w:szCs w:val="16"/>
              </w:rPr>
              <w:br/>
              <w:t>Patient must have had a break in treatment from the most recently approved PBS</w:t>
            </w:r>
            <w:r>
              <w:rPr>
                <w:rFonts w:ascii="Arial" w:hAnsi="Arial" w:cs="Arial"/>
                <w:sz w:val="16"/>
                <w:szCs w:val="16"/>
              </w:rPr>
              <w:noBreakHyphen/>
            </w:r>
            <w:r w:rsidRPr="00E106BD">
              <w:rPr>
                <w:rFonts w:ascii="Arial" w:hAnsi="Arial" w:cs="Arial"/>
                <w:sz w:val="16"/>
                <w:szCs w:val="16"/>
              </w:rPr>
              <w:t>subsidised biological medicine for severe asthma; AND</w:t>
            </w:r>
            <w:r w:rsidRPr="00E106BD">
              <w:rPr>
                <w:rFonts w:ascii="Arial" w:hAnsi="Arial" w:cs="Arial"/>
                <w:sz w:val="16"/>
                <w:szCs w:val="16"/>
              </w:rPr>
              <w:b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E106BD">
              <w:rPr>
                <w:rFonts w:ascii="Arial" w:hAnsi="Arial" w:cs="Arial"/>
                <w:sz w:val="16"/>
                <w:szCs w:val="16"/>
              </w:rPr>
              <w:br/>
              <w:t>Patient must have a diagnosis of asthma from at least two physicians experienced in the management of patients with severe asthma; AND</w:t>
            </w:r>
            <w:r w:rsidRPr="00E106BD">
              <w:rPr>
                <w:rFonts w:ascii="Arial" w:hAnsi="Arial" w:cs="Arial"/>
                <w:sz w:val="16"/>
                <w:szCs w:val="16"/>
              </w:rPr>
              <w:br/>
              <w:t>Patient must have a duration of asthma of at least 1 year; AND</w:t>
            </w:r>
            <w:r w:rsidRPr="00E106BD">
              <w:rPr>
                <w:rFonts w:ascii="Arial" w:hAnsi="Arial" w:cs="Arial"/>
                <w:sz w:val="16"/>
                <w:szCs w:val="16"/>
              </w:rPr>
              <w:br/>
              <w:t>Patient must have blood eosinophil count greater than or equal to 300 cells per microlitre in the last 12 months; OR</w:t>
            </w:r>
            <w:r w:rsidRPr="00E106BD">
              <w:rPr>
                <w:rFonts w:ascii="Arial" w:hAnsi="Arial" w:cs="Arial"/>
                <w:sz w:val="16"/>
                <w:szCs w:val="16"/>
              </w:rPr>
              <w:br/>
              <w:t>Patient must have blood eosinophil count greater than or equal to 150 cells per microlitre while receiving treatment with oral corticosteroids in the last 12 months; AND</w:t>
            </w:r>
            <w:r w:rsidRPr="00E106BD">
              <w:rPr>
                <w:rFonts w:ascii="Arial" w:hAnsi="Arial" w:cs="Arial"/>
                <w:sz w:val="16"/>
                <w:szCs w:val="16"/>
              </w:rPr>
              <w:br/>
              <w:t>Patient must have failed to achieve adequate control with optimised asthma therapy, despite formal assessment of and adherence to correct inhaler technique, which has been documented; AND</w:t>
            </w:r>
            <w:r w:rsidRPr="00E106BD">
              <w:rPr>
                <w:rFonts w:ascii="Arial" w:hAnsi="Arial" w:cs="Arial"/>
                <w:sz w:val="16"/>
                <w:szCs w:val="16"/>
              </w:rPr>
              <w:br/>
              <w:t>Patient must not receive more than 32 weeks of treatment under this restriction; AND</w:t>
            </w:r>
            <w:r w:rsidRPr="00E106BD">
              <w:rPr>
                <w:rFonts w:ascii="Arial" w:hAnsi="Arial" w:cs="Arial"/>
                <w:sz w:val="16"/>
                <w:szCs w:val="16"/>
              </w:rPr>
              <w:br/>
              <w:t>The treatment must not be used in combination with and within 4 weeks of another PBS</w:t>
            </w:r>
            <w:r>
              <w:rPr>
                <w:rFonts w:ascii="Arial" w:hAnsi="Arial" w:cs="Arial"/>
                <w:sz w:val="16"/>
                <w:szCs w:val="16"/>
              </w:rPr>
              <w:noBreakHyphen/>
            </w:r>
            <w:r w:rsidRPr="00E106BD">
              <w:rPr>
                <w:rFonts w:ascii="Arial" w:hAnsi="Arial" w:cs="Arial"/>
                <w:sz w:val="16"/>
                <w:szCs w:val="16"/>
              </w:rPr>
              <w:t>subsidised biological medicine prescribed for severe asthma.</w:t>
            </w:r>
            <w:r w:rsidRPr="00E106BD">
              <w:rPr>
                <w:rFonts w:ascii="Arial" w:hAnsi="Arial" w:cs="Arial"/>
                <w:sz w:val="16"/>
                <w:szCs w:val="16"/>
              </w:rPr>
              <w:br/>
              <w:t>Patient must be aged 12 years or older.</w:t>
            </w:r>
            <w:r w:rsidRPr="00E106BD">
              <w:rPr>
                <w:rFonts w:ascii="Arial" w:hAnsi="Arial" w:cs="Arial"/>
                <w:sz w:val="16"/>
                <w:szCs w:val="16"/>
              </w:rPr>
              <w:br/>
              <w:t>Optimised asthma therapy includes:</w:t>
            </w:r>
            <w:r w:rsidRPr="00E106BD">
              <w:rPr>
                <w:rFonts w:ascii="Arial" w:hAnsi="Arial" w:cs="Arial"/>
                <w:sz w:val="16"/>
                <w:szCs w:val="16"/>
              </w:rPr>
              <w:br/>
              <w:t>(i) Adherence to maximal inhaled therapy, including high dose inhaled corticosteroid (ICS) plus long</w:t>
            </w:r>
            <w:r>
              <w:rPr>
                <w:rFonts w:ascii="Arial" w:hAnsi="Arial" w:cs="Arial"/>
                <w:sz w:val="16"/>
                <w:szCs w:val="16"/>
              </w:rPr>
              <w:noBreakHyphen/>
            </w:r>
            <w:r w:rsidRPr="00E106BD">
              <w:rPr>
                <w:rFonts w:ascii="Arial" w:hAnsi="Arial" w:cs="Arial"/>
                <w:sz w:val="16"/>
                <w:szCs w:val="16"/>
              </w:rPr>
              <w:t>acting beta</w:t>
            </w:r>
            <w:r>
              <w:rPr>
                <w:rFonts w:ascii="Arial" w:hAnsi="Arial" w:cs="Arial"/>
                <w:sz w:val="16"/>
                <w:szCs w:val="16"/>
              </w:rPr>
              <w:noBreakHyphen/>
            </w:r>
            <w:r w:rsidRPr="00E106BD">
              <w:rPr>
                <w:rFonts w:ascii="Arial" w:hAnsi="Arial" w:cs="Arial"/>
                <w:sz w:val="16"/>
                <w:szCs w:val="16"/>
              </w:rPr>
              <w:t>2 agonist (LABA) therapy for at least 12 months, unless contraindicated or not tolerated;</w:t>
            </w:r>
            <w:r w:rsidRPr="00E106BD">
              <w:rPr>
                <w:rFonts w:ascii="Arial" w:hAnsi="Arial" w:cs="Arial"/>
                <w:sz w:val="16"/>
                <w:szCs w:val="16"/>
              </w:rPr>
              <w:br/>
              <w:t>AND</w:t>
            </w:r>
            <w:r w:rsidRPr="00E106BD">
              <w:rPr>
                <w:rFonts w:ascii="Arial" w:hAnsi="Arial" w:cs="Arial"/>
                <w:sz w:val="16"/>
                <w:szCs w:val="16"/>
              </w:rPr>
              <w:br/>
              <w:t>(ii) treatment with oral corticosteroids, either daily oral corticosteroids for at least 6 weeks, OR a cumulative dose of oral corticosteroids of at least 500 mg prednisolone equivalent in the previous 12 months, unless contraindicated or not tolerated.</w:t>
            </w:r>
            <w:r w:rsidRPr="00E106BD">
              <w:rPr>
                <w:rFonts w:ascii="Arial" w:hAnsi="Arial" w:cs="Arial"/>
                <w:sz w:val="16"/>
                <w:szCs w:val="16"/>
              </w:rPr>
              <w:br/>
              <w:t>If the requirement for treatment with optimised asthma therapy cannot be met because of contraindications according to the relevant TGA</w:t>
            </w:r>
            <w:r>
              <w:rPr>
                <w:rFonts w:ascii="Arial" w:hAnsi="Arial" w:cs="Arial"/>
                <w:sz w:val="16"/>
                <w:szCs w:val="16"/>
              </w:rPr>
              <w:noBreakHyphen/>
            </w:r>
            <w:r w:rsidRPr="00E106BD">
              <w:rPr>
                <w:rFonts w:ascii="Arial" w:hAnsi="Arial" w:cs="Arial"/>
                <w:sz w:val="16"/>
                <w:szCs w:val="16"/>
              </w:rPr>
              <w:t>approved Product Information and/or intolerances of a severity necessitating permanent treatment withdrawal, details of the contraindication and/or intolerance must be provided in the Authority application.</w:t>
            </w:r>
            <w:r w:rsidRPr="00E106BD">
              <w:rPr>
                <w:rFonts w:ascii="Arial" w:hAnsi="Arial" w:cs="Arial"/>
                <w:sz w:val="16"/>
                <w:szCs w:val="16"/>
              </w:rPr>
              <w:br/>
              <w:t>The following initiation criteria indicate failure to achieve adequate control and must be demonstrated in all patients at the time of the application:</w:t>
            </w:r>
            <w:r w:rsidRPr="00E106BD">
              <w:rPr>
                <w:rFonts w:ascii="Arial" w:hAnsi="Arial" w:cs="Arial"/>
                <w:sz w:val="16"/>
                <w:szCs w:val="16"/>
              </w:rPr>
              <w:br/>
              <w:t>(a) an Asthma Control Questionnaire (ACQ</w:t>
            </w:r>
            <w:r>
              <w:rPr>
                <w:rFonts w:ascii="Arial" w:hAnsi="Arial" w:cs="Arial"/>
                <w:sz w:val="16"/>
                <w:szCs w:val="16"/>
              </w:rPr>
              <w:noBreakHyphen/>
            </w:r>
            <w:r w:rsidRPr="00E106BD">
              <w:rPr>
                <w:rFonts w:ascii="Arial" w:hAnsi="Arial" w:cs="Arial"/>
                <w:sz w:val="16"/>
                <w:szCs w:val="16"/>
              </w:rPr>
              <w:t>5) score of at least 2.0, as assessed in the previous month, AND</w:t>
            </w:r>
            <w:r w:rsidRPr="00E106BD">
              <w:rPr>
                <w:rFonts w:ascii="Arial" w:hAnsi="Arial" w:cs="Arial"/>
                <w:sz w:val="16"/>
                <w:szCs w:val="16"/>
              </w:rPr>
              <w:b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E106BD">
              <w:rPr>
                <w:rFonts w:ascii="Arial" w:hAnsi="Arial" w:cs="Arial"/>
                <w:sz w:val="16"/>
                <w:szCs w:val="16"/>
              </w:rPr>
              <w:br/>
              <w:t>The Asthma Control Questionnaire (5 item version) assessment of the patient</w:t>
            </w:r>
            <w:r w:rsidR="00A653CA">
              <w:rPr>
                <w:rFonts w:ascii="Arial" w:hAnsi="Arial" w:cs="Arial"/>
                <w:sz w:val="16"/>
                <w:szCs w:val="16"/>
              </w:rPr>
              <w:t>’</w:t>
            </w:r>
            <w:r w:rsidRPr="00E106BD">
              <w:rPr>
                <w:rFonts w:ascii="Arial" w:hAnsi="Arial" w:cs="Arial"/>
                <w:sz w:val="16"/>
                <w:szCs w:val="16"/>
              </w:rPr>
              <w:t>s response to this initial course of treatment, and the assessment of oral corticosteroid dose, should be made at around 28 weeks after the first PBS</w:t>
            </w:r>
            <w:r>
              <w:rPr>
                <w:rFonts w:ascii="Arial" w:hAnsi="Arial" w:cs="Arial"/>
                <w:sz w:val="16"/>
                <w:szCs w:val="16"/>
              </w:rPr>
              <w:noBreakHyphen/>
            </w:r>
            <w:r w:rsidRPr="00E106BD">
              <w:rPr>
                <w:rFonts w:ascii="Arial" w:hAnsi="Arial" w:cs="Arial"/>
                <w:sz w:val="16"/>
                <w:szCs w:val="16"/>
              </w:rPr>
              <w:t>subsidised dose of this drug under this restriction so that there is adequate time for a response to be demonstrated and for the application for the first continuing therapy to be processed.</w:t>
            </w:r>
            <w:r w:rsidRPr="00E106BD">
              <w:rPr>
                <w:rFonts w:ascii="Arial" w:hAnsi="Arial" w:cs="Arial"/>
                <w:sz w:val="16"/>
                <w:szCs w:val="16"/>
              </w:rPr>
              <w:br/>
              <w:t>This assessment, which will be used to determine eligibility for the first continuing treatment, should be submitted within 4 weeks of the date of assessment, and no later than 2 weeks prior to the patient completing their current treatment course, to avoid an interruption to supply.</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the same treatment cycle.</w:t>
            </w:r>
            <w:r w:rsidRPr="00E106BD">
              <w:rPr>
                <w:rFonts w:ascii="Arial" w:hAnsi="Arial" w:cs="Arial"/>
                <w:sz w:val="16"/>
                <w:szCs w:val="16"/>
              </w:rPr>
              <w:br/>
              <w:t>A treatment break in PBS</w:t>
            </w:r>
            <w:r>
              <w:rPr>
                <w:rFonts w:ascii="Arial" w:hAnsi="Arial" w:cs="Arial"/>
                <w:sz w:val="16"/>
                <w:szCs w:val="16"/>
              </w:rPr>
              <w:noBreakHyphen/>
            </w:r>
            <w:r w:rsidRPr="00E106BD">
              <w:rPr>
                <w:rFonts w:ascii="Arial" w:hAnsi="Arial" w:cs="Arial"/>
                <w:sz w:val="16"/>
                <w:szCs w:val="16"/>
              </w:rPr>
              <w:t>subsidised biological medicine therapy of at least 12 months must be observed in a patient who has either failed to achieve or sustain a response to treatment with 3 biological medicines within the same treatment cycle.</w:t>
            </w:r>
            <w:r w:rsidRPr="00E106BD">
              <w:rPr>
                <w:rFonts w:ascii="Arial" w:hAnsi="Arial" w:cs="Arial"/>
                <w:sz w:val="16"/>
                <w:szCs w:val="16"/>
              </w:rPr>
              <w:br/>
              <w:t>The length of the break in therapy is measured from the date the most recent treatment with a PBS</w:t>
            </w:r>
            <w:r>
              <w:rPr>
                <w:rFonts w:ascii="Arial" w:hAnsi="Arial" w:cs="Arial"/>
                <w:sz w:val="16"/>
                <w:szCs w:val="16"/>
              </w:rPr>
              <w:noBreakHyphen/>
            </w:r>
            <w:r w:rsidRPr="00E106BD">
              <w:rPr>
                <w:rFonts w:ascii="Arial" w:hAnsi="Arial" w:cs="Arial"/>
                <w:sz w:val="16"/>
                <w:szCs w:val="16"/>
              </w:rPr>
              <w:t>subsidised biological medicine was administered until the date of the first application for recommencement of treatment with a biological medicine under the new treatment cycle.</w:t>
            </w:r>
            <w:r w:rsidRPr="00E106BD">
              <w:rPr>
                <w:rFonts w:ascii="Arial" w:hAnsi="Arial" w:cs="Arial"/>
                <w:sz w:val="16"/>
                <w:szCs w:val="16"/>
              </w:rPr>
              <w:br/>
              <w:t>There is no limit to the number of treatment cycles that a patient may undertake in their lifetime.</w:t>
            </w:r>
            <w:r w:rsidRPr="00E106BD">
              <w:rPr>
                <w:rFonts w:ascii="Arial" w:hAnsi="Arial" w:cs="Arial"/>
                <w:sz w:val="16"/>
                <w:szCs w:val="16"/>
              </w:rPr>
              <w:br/>
              <w:t>A multidisciplinary severe asthma clinic team comprises of:</w:t>
            </w:r>
            <w:r w:rsidRPr="00E106BD">
              <w:rPr>
                <w:rFonts w:ascii="Arial" w:hAnsi="Arial" w:cs="Arial"/>
                <w:sz w:val="16"/>
                <w:szCs w:val="16"/>
              </w:rPr>
              <w:br/>
              <w:t>A respiratory physician; and</w:t>
            </w:r>
            <w:r w:rsidRPr="00E106BD">
              <w:rPr>
                <w:rFonts w:ascii="Arial" w:hAnsi="Arial" w:cs="Arial"/>
                <w:sz w:val="16"/>
                <w:szCs w:val="16"/>
              </w:rPr>
              <w:br/>
              <w:t>A pharmacist, nurse or asthma educator.</w:t>
            </w:r>
            <w:r w:rsidRPr="00E106BD">
              <w:rPr>
                <w:rFonts w:ascii="Arial" w:hAnsi="Arial" w:cs="Arial"/>
                <w:sz w:val="16"/>
                <w:szCs w:val="16"/>
              </w:rPr>
              <w:br/>
              <w:t>At the time of the authority application, medical practitioners should request up to 4 repeats to provide for an initial course of benralizumab sufficient for up to 32 weeks of therapy, at a dose of 30 mg every 4 weeks for the first three doses (weeks 0, 4, and 8) then 30 mg every eight weeks thereafter.</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Severe Eosinophilic Asthma Initial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details of prior optimised asthma drug therapy (date of commencement and duration of therapy); and</w:t>
            </w:r>
            <w:r w:rsidRPr="00E106BD">
              <w:rPr>
                <w:rFonts w:ascii="Arial" w:hAnsi="Arial" w:cs="Arial"/>
                <w:sz w:val="16"/>
                <w:szCs w:val="16"/>
              </w:rPr>
              <w:br/>
              <w:t>(ii) details of severe exacerbation/s experienced in the past 12 months while receiving optimised asthma therapy (date and treatment); and</w:t>
            </w:r>
            <w:r w:rsidRPr="00E106BD">
              <w:rPr>
                <w:rFonts w:ascii="Arial" w:hAnsi="Arial" w:cs="Arial"/>
                <w:sz w:val="16"/>
                <w:szCs w:val="16"/>
              </w:rPr>
              <w:br/>
              <w:t>(iii) the eosinophil count and date; and</w:t>
            </w:r>
            <w:r w:rsidRPr="00E106BD">
              <w:rPr>
                <w:rFonts w:ascii="Arial" w:hAnsi="Arial" w:cs="Arial"/>
                <w:sz w:val="16"/>
                <w:szCs w:val="16"/>
              </w:rPr>
              <w:br/>
              <w:t>(iv) Asthma Control Questionnaire (ACQ</w:t>
            </w:r>
            <w:r>
              <w:rPr>
                <w:rFonts w:ascii="Arial" w:hAnsi="Arial" w:cs="Arial"/>
                <w:sz w:val="16"/>
                <w:szCs w:val="16"/>
              </w:rPr>
              <w:noBreakHyphen/>
            </w:r>
            <w:r w:rsidRPr="00E106BD">
              <w:rPr>
                <w:rFonts w:ascii="Arial" w:hAnsi="Arial" w:cs="Arial"/>
                <w:sz w:val="16"/>
                <w:szCs w:val="16"/>
              </w:rPr>
              <w:t>5) score.</w:t>
            </w:r>
          </w:p>
        </w:tc>
        <w:tc>
          <w:tcPr>
            <w:tcW w:w="2552" w:type="dxa"/>
            <w:tcBorders>
              <w:bottom w:val="single" w:sz="4" w:space="0" w:color="auto"/>
            </w:tcBorders>
            <w:tcMar>
              <w:top w:w="28" w:type="dxa"/>
              <w:left w:w="28" w:type="dxa"/>
              <w:right w:w="57" w:type="dxa"/>
            </w:tcMar>
          </w:tcPr>
          <w:p w:rsidR="00F05C1E" w:rsidRPr="00E106BD" w:rsidRDefault="00F05C1E" w:rsidP="00ED1AE1">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Tr="008929EB">
        <w:tc>
          <w:tcPr>
            <w:tcW w:w="1729" w:type="dxa"/>
            <w:vMerge w:val="restart"/>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Bictegravir with emtricitabine with tenofovir alafenamide</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C4470</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w:t>
            </w:r>
          </w:p>
        </w:tc>
        <w:tc>
          <w:tcPr>
            <w:tcW w:w="2552" w:type="dxa"/>
            <w:tcBorders>
              <w:bottom w:val="single" w:sz="4" w:space="0" w:color="auto"/>
            </w:tcBorders>
            <w:tcMar>
              <w:top w:w="28" w:type="dxa"/>
              <w:left w:w="28" w:type="dxa"/>
              <w:right w:w="57" w:type="dxa"/>
            </w:tcMar>
          </w:tcPr>
          <w:p w:rsidR="00F05C1E" w:rsidRPr="00E106BD" w:rsidRDefault="00F05C1E" w:rsidP="00C45B21">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4470</w:t>
            </w:r>
          </w:p>
        </w:tc>
      </w:tr>
      <w:tr w:rsidR="00F05C1E" w:rsidRPr="00E106BD" w:rsidTr="008929EB">
        <w:tc>
          <w:tcPr>
            <w:tcW w:w="1729" w:type="dxa"/>
            <w:vMerge/>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C4522</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r w:rsidRPr="00E106BD">
              <w:rPr>
                <w:rFonts w:ascii="Arial" w:hAnsi="Arial" w:cs="Arial"/>
                <w:sz w:val="16"/>
                <w:szCs w:val="16"/>
              </w:rPr>
              <w:br/>
              <w:t>Patient must be antiretroviral treatment naive.</w:t>
            </w:r>
          </w:p>
        </w:tc>
        <w:tc>
          <w:tcPr>
            <w:tcW w:w="2552" w:type="dxa"/>
            <w:tcBorders>
              <w:bottom w:val="single" w:sz="4" w:space="0" w:color="auto"/>
            </w:tcBorders>
            <w:tcMar>
              <w:top w:w="28" w:type="dxa"/>
              <w:left w:w="28" w:type="dxa"/>
              <w:right w:w="57" w:type="dxa"/>
            </w:tcMar>
          </w:tcPr>
          <w:p w:rsidR="00F05C1E" w:rsidRPr="00E106BD" w:rsidRDefault="00F05C1E" w:rsidP="00C45B21">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4522</w:t>
            </w:r>
          </w:p>
        </w:tc>
      </w:tr>
      <w:tr w:rsidR="00F05C1E" w:rsidRPr="00E106BD"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3A13C5">
              <w:rPr>
                <w:rFonts w:ascii="Arial" w:hAnsi="Arial" w:cs="Arial"/>
                <w:sz w:val="16"/>
                <w:szCs w:val="16"/>
              </w:rPr>
              <w:t>Bosentan</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C10228</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Continuing treatment</w:t>
            </w:r>
            <w:r w:rsidRPr="003A13C5">
              <w:rPr>
                <w:rFonts w:ascii="Arial" w:hAnsi="Arial" w:cs="Arial"/>
                <w:sz w:val="16"/>
                <w:szCs w:val="16"/>
              </w:rPr>
              <w:br/>
              <w:t>Patient must have received their most recent course of PBS-subsidised treatment with this PAH agent for this condition;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sidR="00A653CA">
              <w:rPr>
                <w:rFonts w:ascii="Arial" w:hAnsi="Arial" w:cs="Arial"/>
                <w:sz w:val="16"/>
                <w:szCs w:val="16"/>
              </w:rPr>
              <w:t>‘</w:t>
            </w:r>
            <w:r w:rsidRPr="003A13C5">
              <w:rPr>
                <w:rFonts w:ascii="Arial" w:hAnsi="Arial" w:cs="Arial"/>
                <w:sz w:val="16"/>
                <w:szCs w:val="16"/>
              </w:rPr>
              <w:t>PAH agents</w:t>
            </w:r>
            <w:r w:rsidR="00A653CA">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tcMar>
              <w:top w:w="28" w:type="dxa"/>
              <w:left w:w="28" w:type="dxa"/>
              <w:right w:w="57" w:type="dxa"/>
            </w:tcMar>
          </w:tcPr>
          <w:p w:rsidR="00F05C1E" w:rsidRPr="00E106BD" w:rsidRDefault="00F05C1E" w:rsidP="00C45B21">
            <w:pPr>
              <w:keepNext/>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F05C1E" w:rsidRPr="00E106BD"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C10238</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Cessation of treatment (all patients)</w:t>
            </w:r>
            <w:r w:rsidRPr="003A13C5">
              <w:rPr>
                <w:rFonts w:ascii="Arial" w:hAnsi="Arial" w:cs="Arial"/>
                <w:sz w:val="16"/>
                <w:szCs w:val="16"/>
              </w:rPr>
              <w:br/>
              <w:t>Patient must be receiving PBS-subsidised treatment with this PAH agent; AND</w:t>
            </w:r>
            <w:r w:rsidRPr="003A13C5">
              <w:rPr>
                <w:rFonts w:ascii="Arial" w:hAnsi="Arial" w:cs="Arial"/>
                <w:sz w:val="16"/>
                <w:szCs w:val="16"/>
              </w:rPr>
              <w:br/>
              <w:t>The treatment must be for the purpose of gradual dose reduction prior to ceasing therapy.</w:t>
            </w:r>
            <w:r w:rsidRPr="003A13C5">
              <w:rPr>
                <w:rFonts w:ascii="Arial" w:hAnsi="Arial" w:cs="Arial"/>
                <w:sz w:val="16"/>
                <w:szCs w:val="16"/>
              </w:rPr>
              <w:br/>
              <w:t>The maximum quantity authorised will be limited to provide sufficient supply for 1 month of treatment. Treatment beyond 1 month will not be approved.</w:t>
            </w:r>
          </w:p>
        </w:tc>
        <w:tc>
          <w:tcPr>
            <w:tcW w:w="2552" w:type="dxa"/>
            <w:tcBorders>
              <w:bottom w:val="single" w:sz="4" w:space="0" w:color="auto"/>
            </w:tcBorders>
            <w:tcMar>
              <w:top w:w="28" w:type="dxa"/>
              <w:left w:w="28" w:type="dxa"/>
              <w:right w:w="57" w:type="dxa"/>
            </w:tcMar>
          </w:tcPr>
          <w:p w:rsidR="00F05C1E" w:rsidRPr="00E106BD" w:rsidRDefault="00F05C1E" w:rsidP="00C45B21">
            <w:pPr>
              <w:keepNext/>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F05C1E" w:rsidRPr="00E106BD"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C10286</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1 (new patients)</w:t>
            </w:r>
            <w:r w:rsidRPr="003A13C5">
              <w:rPr>
                <w:rFonts w:ascii="Arial" w:hAnsi="Arial" w:cs="Arial"/>
                <w:sz w:val="16"/>
                <w:szCs w:val="16"/>
              </w:rPr>
              <w:br/>
              <w:t>Patient must not have received prior PBS-subsidised treatment with a pulmonary arterial hypertension (PAH) agent; AND</w:t>
            </w:r>
            <w:r w:rsidRPr="003A13C5">
              <w:rPr>
                <w:rFonts w:ascii="Arial" w:hAnsi="Arial" w:cs="Arial"/>
                <w:sz w:val="16"/>
                <w:szCs w:val="16"/>
              </w:rPr>
              <w:br/>
              <w:t>Patient must have been assessed by a physician with expertise in the management of PAH; AND</w:t>
            </w:r>
            <w:r w:rsidRPr="003A13C5">
              <w:rPr>
                <w:rFonts w:ascii="Arial" w:hAnsi="Arial" w:cs="Arial"/>
                <w:sz w:val="16"/>
                <w:szCs w:val="16"/>
              </w:rPr>
              <w:br/>
              <w:t>Patient must have WHO Functional Class II PAH, or WHO Functional Class III PAH, or WHO Functional Class IV PAH;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sidR="00A653CA">
              <w:rPr>
                <w:rFonts w:ascii="Arial" w:hAnsi="Arial" w:cs="Arial"/>
                <w:sz w:val="16"/>
                <w:szCs w:val="16"/>
              </w:rPr>
              <w:t>‘</w:t>
            </w:r>
            <w:r w:rsidRPr="003A13C5">
              <w:rPr>
                <w:rFonts w:ascii="Arial" w:hAnsi="Arial" w:cs="Arial"/>
                <w:sz w:val="16"/>
                <w:szCs w:val="16"/>
              </w:rPr>
              <w:t>PAH agents</w:t>
            </w:r>
            <w:r w:rsidR="00A653CA">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PAH (WHO Group 1 pulmonary hypertension) is defined as follows:</w:t>
            </w:r>
            <w:r w:rsidRPr="003A13C5">
              <w:rPr>
                <w:rFonts w:ascii="Arial" w:hAnsi="Arial" w:cs="Arial"/>
                <w:sz w:val="16"/>
                <w:szCs w:val="16"/>
              </w:rPr>
              <w:br/>
              <w:t>(i) mean pulmonary artery pressure (mPAP) greater than or equal to 25 mmHg at rest and pulmonary artery wedge pressure (PAWP) less than or equal to 15 mmHg; or</w:t>
            </w:r>
            <w:r w:rsidRPr="003A13C5">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3A13C5">
              <w:rPr>
                <w:rFonts w:ascii="Arial" w:hAnsi="Arial" w:cs="Arial"/>
                <w:sz w:val="16"/>
                <w:szCs w:val="16"/>
              </w:rPr>
              <w:br/>
              <w:t>Applications for authorisation must be in writing and must include:</w:t>
            </w:r>
            <w:r w:rsidRPr="003A13C5">
              <w:rPr>
                <w:rFonts w:ascii="Arial" w:hAnsi="Arial" w:cs="Arial"/>
                <w:sz w:val="16"/>
                <w:szCs w:val="16"/>
              </w:rPr>
              <w:br/>
              <w:t>(1) two completed authority prescription forms; and</w:t>
            </w:r>
            <w:r w:rsidRPr="003A13C5">
              <w:rPr>
                <w:rFonts w:ascii="Arial" w:hAnsi="Arial" w:cs="Arial"/>
                <w:sz w:val="16"/>
                <w:szCs w:val="16"/>
              </w:rPr>
              <w:br/>
              <w:t>(2) a completed Pulmonary Arterial Hypertension PBS Authority Application - Supporting Information form which includes results from the three tests below, where available:</w:t>
            </w:r>
            <w:r w:rsidRPr="003A13C5">
              <w:rPr>
                <w:rFonts w:ascii="Arial" w:hAnsi="Arial" w:cs="Arial"/>
                <w:sz w:val="16"/>
                <w:szCs w:val="16"/>
              </w:rPr>
              <w:br/>
              <w:t>(i) RHC composite assessment; and</w:t>
            </w:r>
            <w:r w:rsidRPr="003A13C5">
              <w:rPr>
                <w:rFonts w:ascii="Arial" w:hAnsi="Arial" w:cs="Arial"/>
                <w:sz w:val="16"/>
                <w:szCs w:val="16"/>
              </w:rPr>
              <w:br/>
              <w:t>(ii) ECHO composite assessment; and</w:t>
            </w:r>
            <w:r w:rsidRPr="003A13C5">
              <w:rPr>
                <w:rFonts w:ascii="Arial" w:hAnsi="Arial" w:cs="Arial"/>
                <w:sz w:val="16"/>
                <w:szCs w:val="16"/>
              </w:rPr>
              <w:br/>
              <w:t>(iii) 6 Minute Walk Test (6MWT).</w:t>
            </w:r>
            <w:r w:rsidRPr="003A13C5">
              <w:rPr>
                <w:rFonts w:ascii="Arial"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3A13C5">
              <w:rPr>
                <w:rFonts w:ascii="Arial" w:hAnsi="Arial" w:cs="Arial"/>
                <w:sz w:val="16"/>
                <w:szCs w:val="16"/>
              </w:rPr>
              <w:br/>
              <w:t>(1) RHC plus ECHO composite assessments;</w:t>
            </w:r>
            <w:r w:rsidRPr="003A13C5">
              <w:rPr>
                <w:rFonts w:ascii="Arial" w:hAnsi="Arial" w:cs="Arial"/>
                <w:sz w:val="16"/>
                <w:szCs w:val="16"/>
              </w:rPr>
              <w:br/>
              <w:t>(2) RHC composite assessment plus 6MWT;</w:t>
            </w:r>
            <w:r w:rsidRPr="003A13C5">
              <w:rPr>
                <w:rFonts w:ascii="Arial" w:hAnsi="Arial" w:cs="Arial"/>
                <w:sz w:val="16"/>
                <w:szCs w:val="16"/>
              </w:rPr>
              <w:br/>
              <w:t>(3) RHC composite assessment only.</w:t>
            </w:r>
            <w:r w:rsidRPr="003A13C5">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hAnsi="Arial" w:cs="Arial"/>
                <w:sz w:val="16"/>
                <w:szCs w:val="16"/>
              </w:rPr>
              <w:br/>
              <w:t>(1) ECHO composite assessment plus 6MWT;</w:t>
            </w:r>
            <w:r w:rsidRPr="003A13C5">
              <w:rPr>
                <w:rFonts w:ascii="Arial" w:hAnsi="Arial" w:cs="Arial"/>
                <w:sz w:val="16"/>
                <w:szCs w:val="16"/>
              </w:rPr>
              <w:br/>
              <w:t>(2) ECHO composite assessment only.</w:t>
            </w:r>
            <w:r w:rsidRPr="003A13C5">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3A13C5">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3A13C5">
              <w:rPr>
                <w:rFonts w:ascii="Arial" w:hAnsi="Arial" w:cs="Arial"/>
                <w:sz w:val="16"/>
                <w:szCs w:val="16"/>
              </w:rPr>
              <w:br/>
              <w:t>The test results provided must not be more than 2 months old at the time of application.</w:t>
            </w:r>
            <w:r w:rsidRPr="003A13C5">
              <w:rPr>
                <w:rFonts w:ascii="Arial" w:hAnsi="Arial" w:cs="Arial"/>
                <w:sz w:val="16"/>
                <w:szCs w:val="16"/>
              </w:rPr>
              <w:br/>
              <w:t>Prescribers should request the first authority prescription of therapy with the 62.5 mg tablet strength, with the quantity for one month of treatment, based on the dosage recommendations in the TGA-approved Product Information. No repeats will be authorised for this prescription.</w:t>
            </w:r>
            <w:r w:rsidRPr="003A13C5">
              <w:rPr>
                <w:rFonts w:ascii="Arial" w:hAnsi="Arial" w:cs="Arial"/>
                <w:sz w:val="16"/>
                <w:szCs w:val="16"/>
              </w:rPr>
              <w:br/>
              <w:t>Prescribers should request the second authority prescription of therapy with either the 62.5 mg tablet or the 125 mg tablet strengths, with the quantity for one month of treatment, based on the dosage recommendations in the TGA-approved Product Information, and a maximum of 4 repeats.</w:t>
            </w:r>
          </w:p>
        </w:tc>
        <w:tc>
          <w:tcPr>
            <w:tcW w:w="2552" w:type="dxa"/>
            <w:tcBorders>
              <w:bottom w:val="single" w:sz="4" w:space="0" w:color="auto"/>
            </w:tcBorders>
            <w:tcMar>
              <w:top w:w="28" w:type="dxa"/>
              <w:left w:w="28" w:type="dxa"/>
              <w:right w:w="57" w:type="dxa"/>
            </w:tcMar>
          </w:tcPr>
          <w:p w:rsidR="00F05C1E" w:rsidRPr="00E106BD" w:rsidRDefault="00F05C1E" w:rsidP="00C45B21">
            <w:pPr>
              <w:keepNext/>
              <w:spacing w:line="240" w:lineRule="auto"/>
              <w:rPr>
                <w:rFonts w:ascii="Arial" w:hAnsi="Arial" w:cs="Arial"/>
                <w:sz w:val="16"/>
                <w:szCs w:val="16"/>
              </w:rPr>
            </w:pPr>
            <w:r w:rsidRPr="003A13C5">
              <w:rPr>
                <w:rFonts w:ascii="Arial" w:hAnsi="Arial" w:cs="Arial"/>
                <w:sz w:val="16"/>
                <w:szCs w:val="16"/>
              </w:rPr>
              <w:t>Compliance with Written Authority Required procedures</w:t>
            </w:r>
          </w:p>
        </w:tc>
      </w:tr>
      <w:tr w:rsidR="00F05C1E" w:rsidRPr="00E106BD"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C10305</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2 (change)</w:t>
            </w:r>
            <w:r w:rsidRPr="003A13C5">
              <w:rPr>
                <w:rFonts w:ascii="Arial" w:hAnsi="Arial" w:cs="Arial"/>
                <w:sz w:val="16"/>
                <w:szCs w:val="16"/>
              </w:rPr>
              <w:br/>
              <w:t>Patient must have documented WHO Functional Class II PAH, or WHO Functional Class III PAH, or WHO Functional Class IV PAH; AND</w:t>
            </w:r>
            <w:r w:rsidRPr="003A13C5">
              <w:rPr>
                <w:rFonts w:ascii="Arial" w:hAnsi="Arial" w:cs="Arial"/>
                <w:sz w:val="16"/>
                <w:szCs w:val="16"/>
              </w:rPr>
              <w:br/>
              <w:t>Patient must have had their most recent course of PBS-subsidised treatment for this condition with a PAH agent other than this agent;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sidR="00A653CA">
              <w:rPr>
                <w:rFonts w:ascii="Arial" w:hAnsi="Arial" w:cs="Arial"/>
                <w:sz w:val="16"/>
                <w:szCs w:val="16"/>
              </w:rPr>
              <w:t>‘</w:t>
            </w:r>
            <w:r w:rsidRPr="003A13C5">
              <w:rPr>
                <w:rFonts w:ascii="Arial" w:hAnsi="Arial" w:cs="Arial"/>
                <w:sz w:val="16"/>
                <w:szCs w:val="16"/>
              </w:rPr>
              <w:t>PAH agents</w:t>
            </w:r>
            <w:r w:rsidR="00A653CA">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sidR="00A653CA">
              <w:rPr>
                <w:rFonts w:ascii="Arial" w:hAnsi="Arial" w:cs="Arial"/>
                <w:sz w:val="16"/>
                <w:szCs w:val="16"/>
              </w:rPr>
              <w:t>’</w:t>
            </w:r>
            <w:r w:rsidRPr="003A13C5">
              <w:rPr>
                <w:rFonts w:ascii="Arial" w:hAnsi="Arial" w:cs="Arial"/>
                <w:sz w:val="16"/>
                <w:szCs w:val="16"/>
              </w:rPr>
              <w:t>s restriction, irrespective of the severity of their disease at the time the application to swap therapy is submitted.</w:t>
            </w:r>
            <w:r w:rsidRPr="003A13C5">
              <w:rPr>
                <w:rFonts w:ascii="Arial" w:hAnsi="Arial" w:cs="Arial"/>
                <w:sz w:val="16"/>
                <w:szCs w:val="16"/>
              </w:rPr>
              <w:br/>
              <w:t>Applications to swap between the 8 PAH agents must be made under the relevant initial treatment (monotherapy) restriction.</w:t>
            </w:r>
            <w:r w:rsidRPr="003A13C5">
              <w:rPr>
                <w:rFonts w:ascii="Arial" w:hAnsi="Arial" w:cs="Arial"/>
                <w:sz w:val="16"/>
                <w:szCs w:val="16"/>
              </w:rPr>
              <w:br/>
              <w:t>Prescribers should request the first authority prescription of therapy with the 62.5 mg tablet strength, with the quantity for one month of treatment, based on the dosage recommendations in the TGA-approved Product Information. No repeats will be authorised for this prescription.</w:t>
            </w:r>
            <w:r w:rsidRPr="003A13C5">
              <w:rPr>
                <w:rFonts w:ascii="Arial" w:hAnsi="Arial" w:cs="Arial"/>
                <w:sz w:val="16"/>
                <w:szCs w:val="16"/>
              </w:rPr>
              <w:br/>
              <w:t>Prescribers should request the second authority prescription of therapy with either the 62.5 mg tablet or the 125 mg tablet strengths, with the quantity for one month of treatment, based on the dosage recommendations in the TGA-approved Product Information, and a maximum of 4 repeats.</w:t>
            </w:r>
          </w:p>
        </w:tc>
        <w:tc>
          <w:tcPr>
            <w:tcW w:w="2552" w:type="dxa"/>
            <w:tcBorders>
              <w:bottom w:val="single" w:sz="4" w:space="0" w:color="auto"/>
            </w:tcBorders>
            <w:tcMar>
              <w:top w:w="28" w:type="dxa"/>
              <w:left w:w="28" w:type="dxa"/>
              <w:right w:w="57" w:type="dxa"/>
            </w:tcMar>
          </w:tcPr>
          <w:p w:rsidR="00F05C1E" w:rsidRPr="00E106BD" w:rsidRDefault="00F05C1E" w:rsidP="00C45B21">
            <w:pPr>
              <w:keepNext/>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802FC7" w:rsidRPr="00E106BD" w:rsidTr="00802FC7">
        <w:tc>
          <w:tcPr>
            <w:tcW w:w="1729" w:type="dxa"/>
            <w:tcMar>
              <w:top w:w="28" w:type="dxa"/>
              <w:left w:w="28" w:type="dxa"/>
            </w:tcMar>
          </w:tcPr>
          <w:p w:rsidR="00802FC7" w:rsidRPr="00E106BD" w:rsidDel="00AB48A9" w:rsidRDefault="00802FC7" w:rsidP="00802FC7">
            <w:pPr>
              <w:spacing w:after="60" w:line="240" w:lineRule="auto"/>
              <w:rPr>
                <w:rFonts w:ascii="Arial" w:hAnsi="Arial" w:cs="Arial"/>
                <w:sz w:val="16"/>
                <w:szCs w:val="16"/>
              </w:rPr>
            </w:pPr>
          </w:p>
        </w:tc>
        <w:tc>
          <w:tcPr>
            <w:tcW w:w="709" w:type="dxa"/>
            <w:tcMar>
              <w:top w:w="28" w:type="dxa"/>
              <w:left w:w="28" w:type="dxa"/>
            </w:tcMar>
          </w:tcPr>
          <w:p w:rsidR="00802FC7" w:rsidRPr="00E106BD" w:rsidRDefault="00802FC7" w:rsidP="00802FC7">
            <w:pPr>
              <w:spacing w:after="60" w:line="240" w:lineRule="auto"/>
              <w:rPr>
                <w:rFonts w:ascii="Arial" w:hAnsi="Arial" w:cs="Arial"/>
                <w:sz w:val="16"/>
                <w:szCs w:val="16"/>
              </w:rPr>
            </w:pPr>
            <w:r w:rsidRPr="00802FC7">
              <w:rPr>
                <w:rFonts w:ascii="Arial" w:hAnsi="Arial" w:cs="Arial"/>
                <w:sz w:val="16"/>
                <w:szCs w:val="16"/>
              </w:rPr>
              <w:t>C10722</w:t>
            </w:r>
          </w:p>
        </w:tc>
        <w:tc>
          <w:tcPr>
            <w:tcW w:w="709" w:type="dxa"/>
            <w:tcMar>
              <w:top w:w="28" w:type="dxa"/>
              <w:left w:w="28" w:type="dxa"/>
            </w:tcMar>
          </w:tcPr>
          <w:p w:rsidR="00802FC7" w:rsidRPr="00E106BD" w:rsidDel="00AB48A9" w:rsidRDefault="00802FC7" w:rsidP="00802FC7">
            <w:pPr>
              <w:spacing w:after="60" w:line="240" w:lineRule="auto"/>
              <w:rPr>
                <w:rFonts w:ascii="Arial" w:hAnsi="Arial" w:cs="Arial"/>
                <w:sz w:val="16"/>
                <w:szCs w:val="16"/>
              </w:rPr>
            </w:pPr>
          </w:p>
        </w:tc>
        <w:tc>
          <w:tcPr>
            <w:tcW w:w="7654" w:type="dxa"/>
            <w:tcMar>
              <w:top w:w="28" w:type="dxa"/>
              <w:left w:w="28" w:type="dxa"/>
            </w:tcMar>
          </w:tcPr>
          <w:p w:rsidR="00802FC7" w:rsidRPr="00E106BD" w:rsidRDefault="00802FC7" w:rsidP="00802FC7">
            <w:pPr>
              <w:spacing w:after="60" w:line="240" w:lineRule="auto"/>
              <w:rPr>
                <w:rFonts w:ascii="Arial" w:hAnsi="Arial" w:cs="Arial"/>
                <w:sz w:val="16"/>
                <w:szCs w:val="16"/>
              </w:rPr>
            </w:pPr>
            <w:r w:rsidRPr="00802FC7">
              <w:rPr>
                <w:rFonts w:ascii="Arial" w:hAnsi="Arial" w:cs="Arial"/>
                <w:sz w:val="16"/>
                <w:szCs w:val="16"/>
              </w:rPr>
              <w:t>Pulmonary arterial hypertension (PAH)</w:t>
            </w:r>
            <w:r w:rsidRPr="00802FC7">
              <w:rPr>
                <w:rFonts w:ascii="Arial" w:hAnsi="Arial" w:cs="Arial"/>
                <w:sz w:val="16"/>
                <w:szCs w:val="16"/>
              </w:rPr>
              <w:br/>
              <w:t>Initial 1 (dual therapy - previously untreated patients)</w:t>
            </w:r>
            <w:r w:rsidRPr="00802FC7">
              <w:rPr>
                <w:rFonts w:ascii="Arial" w:hAnsi="Arial" w:cs="Arial"/>
                <w:sz w:val="16"/>
                <w:szCs w:val="16"/>
              </w:rPr>
              <w:br/>
              <w:t>Patient must not have received prior PBS-subsidised treatment with a pulmonary arterial hypertension (PAH) agent; AND</w:t>
            </w:r>
            <w:r w:rsidRPr="00802FC7">
              <w:rPr>
                <w:rFonts w:ascii="Arial" w:hAnsi="Arial" w:cs="Arial"/>
                <w:sz w:val="16"/>
                <w:szCs w:val="16"/>
              </w:rPr>
              <w:br/>
              <w:t>Patient must have been assessed by a physician with expertise in the management of PAH; AND</w:t>
            </w:r>
            <w:r w:rsidRPr="00802FC7">
              <w:rPr>
                <w:rFonts w:ascii="Arial" w:hAnsi="Arial" w:cs="Arial"/>
                <w:sz w:val="16"/>
                <w:szCs w:val="16"/>
              </w:rPr>
              <w:br/>
              <w:t>Patient must currently have WHO Functional Class III PAH or WHO Functional Class IV PAH; AND</w:t>
            </w:r>
            <w:r w:rsidRPr="00802FC7">
              <w:rPr>
                <w:rFonts w:ascii="Arial" w:hAnsi="Arial" w:cs="Arial"/>
                <w:sz w:val="16"/>
                <w:szCs w:val="16"/>
              </w:rPr>
              <w:br/>
              <w:t>The treatment must be in combination with a PBS-subsidised phosphodiesterase-5 inhibitor (PDE-5i) for this condition.</w:t>
            </w:r>
            <w:r w:rsidRPr="00802FC7">
              <w:rPr>
                <w:rFonts w:ascii="Arial" w:hAnsi="Arial" w:cs="Arial"/>
                <w:sz w:val="16"/>
                <w:szCs w:val="16"/>
              </w:rPr>
              <w:br/>
              <w:t>The term 'PAH agents' refers to bosentan monohydrate, iloprost trometamol, epoprostenol sodium, sildenafil citrate, ambrisentan, tadalafil, macitentan, and riociguat.</w:t>
            </w:r>
            <w:r w:rsidRPr="00802FC7">
              <w:rPr>
                <w:rFonts w:ascii="Arial" w:hAnsi="Arial" w:cs="Arial"/>
                <w:sz w:val="16"/>
                <w:szCs w:val="16"/>
              </w:rPr>
              <w:br/>
              <w:t>For the purposes of PBS subsidy, dual therapy refers to combined use of an endothelin receptor antagonist (ERA) and a phosphodiesterase-5 inhibitor (PDE-5i).</w:t>
            </w:r>
            <w:r w:rsidRPr="00802FC7">
              <w:rPr>
                <w:rFonts w:ascii="Arial" w:hAnsi="Arial" w:cs="Arial"/>
                <w:sz w:val="16"/>
                <w:szCs w:val="16"/>
              </w:rPr>
              <w:br/>
              <w:t>(i) An ERA includes bosentan monohydrate, or macitentan.</w:t>
            </w:r>
            <w:r w:rsidRPr="00802FC7">
              <w:rPr>
                <w:rFonts w:ascii="Arial" w:hAnsi="Arial" w:cs="Arial"/>
                <w:sz w:val="16"/>
                <w:szCs w:val="16"/>
              </w:rPr>
              <w:br/>
              <w:t>(ii) A PDE-5i includes sildenafil citrate, or tadalafil.</w:t>
            </w:r>
            <w:r w:rsidRPr="00802FC7">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802FC7">
              <w:rPr>
                <w:rFonts w:ascii="Arial" w:hAnsi="Arial" w:cs="Arial"/>
                <w:sz w:val="16"/>
                <w:szCs w:val="16"/>
              </w:rPr>
              <w:br/>
              <w:t>PAH (WHO Group 1 pulmonary hypertension) is defined as follows:</w:t>
            </w:r>
            <w:r w:rsidRPr="00802FC7">
              <w:rPr>
                <w:rFonts w:ascii="Arial" w:hAnsi="Arial" w:cs="Arial"/>
                <w:sz w:val="16"/>
                <w:szCs w:val="16"/>
              </w:rPr>
              <w:br/>
              <w:t>(i) mean pulmonary artery pressure (mPAP) greater than or equal to 25 mmHg at rest and pulmonary artery wedge pressure (PAWP) less than or equal to 15 mmHg; or</w:t>
            </w:r>
            <w:r w:rsidRPr="00802FC7">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802FC7">
              <w:rPr>
                <w:rFonts w:ascii="Arial" w:hAnsi="Arial" w:cs="Arial"/>
                <w:sz w:val="16"/>
                <w:szCs w:val="16"/>
              </w:rPr>
              <w:br/>
              <w:t>Applications for authorisation must be in writing and must include:</w:t>
            </w:r>
            <w:r w:rsidRPr="00802FC7">
              <w:rPr>
                <w:rFonts w:ascii="Arial" w:hAnsi="Arial" w:cs="Arial"/>
                <w:sz w:val="16"/>
                <w:szCs w:val="16"/>
              </w:rPr>
              <w:br/>
              <w:t>(1) a completed authority prescription form; and</w:t>
            </w:r>
            <w:r w:rsidRPr="00802FC7">
              <w:rPr>
                <w:rFonts w:ascii="Arial" w:hAnsi="Arial" w:cs="Arial"/>
                <w:sz w:val="16"/>
                <w:szCs w:val="16"/>
              </w:rPr>
              <w:br/>
              <w:t>(2) a completed Pulmonary Arterial Hypertension PBS Authority Application - Supporting Information form which includes results from the three tests below, where available:</w:t>
            </w:r>
            <w:r w:rsidRPr="00802FC7">
              <w:rPr>
                <w:rFonts w:ascii="Arial" w:hAnsi="Arial" w:cs="Arial"/>
                <w:sz w:val="16"/>
                <w:szCs w:val="16"/>
              </w:rPr>
              <w:br/>
              <w:t>(i) RHC composite assessment; and</w:t>
            </w:r>
            <w:r w:rsidRPr="00802FC7">
              <w:rPr>
                <w:rFonts w:ascii="Arial" w:hAnsi="Arial" w:cs="Arial"/>
                <w:sz w:val="16"/>
                <w:szCs w:val="16"/>
              </w:rPr>
              <w:br/>
              <w:t>(ii) ECHO composite assessment; and</w:t>
            </w:r>
            <w:r w:rsidRPr="00802FC7">
              <w:rPr>
                <w:rFonts w:ascii="Arial" w:hAnsi="Arial" w:cs="Arial"/>
                <w:sz w:val="16"/>
                <w:szCs w:val="16"/>
              </w:rPr>
              <w:br/>
              <w:t>(iii) 6 Minute Walk Test (6MWT).</w:t>
            </w:r>
            <w:r w:rsidRPr="00802FC7">
              <w:rPr>
                <w:rFonts w:ascii="Arial"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802FC7">
              <w:rPr>
                <w:rFonts w:ascii="Arial" w:hAnsi="Arial" w:cs="Arial"/>
                <w:sz w:val="16"/>
                <w:szCs w:val="16"/>
              </w:rPr>
              <w:br/>
              <w:t>(1) RHC plus ECHO composite assessments;</w:t>
            </w:r>
            <w:r w:rsidRPr="00802FC7">
              <w:rPr>
                <w:rFonts w:ascii="Arial" w:hAnsi="Arial" w:cs="Arial"/>
                <w:sz w:val="16"/>
                <w:szCs w:val="16"/>
              </w:rPr>
              <w:br/>
              <w:t>(2) RHC composite assessment plus 6MWT;</w:t>
            </w:r>
            <w:r w:rsidRPr="00802FC7">
              <w:rPr>
                <w:rFonts w:ascii="Arial" w:hAnsi="Arial" w:cs="Arial"/>
                <w:sz w:val="16"/>
                <w:szCs w:val="16"/>
              </w:rPr>
              <w:br/>
              <w:t>(3) RHC composite assessment only.</w:t>
            </w:r>
            <w:r w:rsidRPr="00802FC7">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802FC7">
              <w:rPr>
                <w:rFonts w:ascii="Arial" w:hAnsi="Arial" w:cs="Arial"/>
                <w:sz w:val="16"/>
                <w:szCs w:val="16"/>
              </w:rPr>
              <w:br/>
              <w:t>(1) ECHO composite assessment plus 6MWT;</w:t>
            </w:r>
            <w:r w:rsidRPr="00802FC7">
              <w:rPr>
                <w:rFonts w:ascii="Arial" w:hAnsi="Arial" w:cs="Arial"/>
                <w:sz w:val="16"/>
                <w:szCs w:val="16"/>
              </w:rPr>
              <w:br/>
              <w:t>(2) ECHO composite assessment only.</w:t>
            </w:r>
            <w:r w:rsidRPr="00802FC7">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802FC7">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802FC7">
              <w:rPr>
                <w:rFonts w:ascii="Arial" w:hAnsi="Arial" w:cs="Arial"/>
                <w:sz w:val="16"/>
                <w:szCs w:val="16"/>
              </w:rPr>
              <w:br/>
              <w:t>The test results provided must not be more than 2 months old at the time of application.</w:t>
            </w:r>
            <w:r w:rsidRPr="00802FC7">
              <w:rPr>
                <w:rFonts w:ascii="Arial" w:hAnsi="Arial" w:cs="Arial"/>
                <w:sz w:val="16"/>
                <w:szCs w:val="16"/>
              </w:rPr>
              <w:br/>
              <w:t>If patients will be taking 62.5mg for the first month then 125 mg, prescribers should request the first authority prescription of therapy with the 62.5 mg tablet strength, with the quantity for one month of treatment, based on the dosage recommendations in the TGA-approved Product Information and no repeats.</w:t>
            </w:r>
            <w:r w:rsidRPr="00802FC7">
              <w:rPr>
                <w:rFonts w:ascii="Arial" w:hAnsi="Arial" w:cs="Arial"/>
                <w:sz w:val="16"/>
                <w:szCs w:val="16"/>
              </w:rPr>
              <w:br/>
              <w:t>Prescribers should request the second authority prescription of therapy with the 125 mg tablet strengths, with a quantity for one month of treatment, based on the dosage recommendations in the TGA-approved Product Information, and a maximum of 4 repeats.</w:t>
            </w:r>
            <w:r w:rsidRPr="00802FC7">
              <w:rPr>
                <w:rFonts w:ascii="Arial" w:hAnsi="Arial" w:cs="Arial"/>
                <w:sz w:val="16"/>
                <w:szCs w:val="16"/>
              </w:rPr>
              <w:br/>
              <w:t>If patients will be taking 62.5mg for longer than 1 month, prescribers should request the first authority prescription of therapy with the 62.5 mg tablet strength, with the quantity for one month of treatment and a maximum of 5 repeats based on the dosage recommendations in the TGA-approved Product Information.</w:t>
            </w:r>
          </w:p>
        </w:tc>
        <w:tc>
          <w:tcPr>
            <w:tcW w:w="2552" w:type="dxa"/>
            <w:tcMar>
              <w:top w:w="28" w:type="dxa"/>
              <w:left w:w="28" w:type="dxa"/>
              <w:right w:w="57" w:type="dxa"/>
            </w:tcMar>
          </w:tcPr>
          <w:p w:rsidR="00802FC7" w:rsidRPr="00E106BD" w:rsidRDefault="00802FC7" w:rsidP="00802FC7">
            <w:pPr>
              <w:spacing w:after="60" w:line="240" w:lineRule="auto"/>
              <w:rPr>
                <w:rFonts w:ascii="Arial" w:hAnsi="Arial" w:cs="Arial"/>
                <w:sz w:val="16"/>
                <w:szCs w:val="16"/>
              </w:rPr>
            </w:pPr>
            <w:r w:rsidRPr="00802FC7">
              <w:rPr>
                <w:rFonts w:ascii="Arial" w:hAnsi="Arial" w:cs="Arial"/>
                <w:sz w:val="16"/>
                <w:szCs w:val="16"/>
              </w:rPr>
              <w:t>Compliance with Written Authority Required procedures</w:t>
            </w:r>
          </w:p>
        </w:tc>
      </w:tr>
      <w:tr w:rsidR="00802FC7" w:rsidRPr="00E106BD" w:rsidTr="00802FC7">
        <w:tc>
          <w:tcPr>
            <w:tcW w:w="1729" w:type="dxa"/>
            <w:tcMar>
              <w:top w:w="28" w:type="dxa"/>
              <w:left w:w="28" w:type="dxa"/>
            </w:tcMar>
          </w:tcPr>
          <w:p w:rsidR="00802FC7" w:rsidRPr="00E106BD" w:rsidDel="00AB48A9" w:rsidRDefault="00802FC7" w:rsidP="00802FC7">
            <w:pPr>
              <w:spacing w:after="60" w:line="240" w:lineRule="auto"/>
              <w:rPr>
                <w:rFonts w:ascii="Arial" w:hAnsi="Arial" w:cs="Arial"/>
                <w:sz w:val="16"/>
                <w:szCs w:val="16"/>
              </w:rPr>
            </w:pPr>
          </w:p>
        </w:tc>
        <w:tc>
          <w:tcPr>
            <w:tcW w:w="709" w:type="dxa"/>
            <w:tcMar>
              <w:top w:w="28" w:type="dxa"/>
              <w:left w:w="28" w:type="dxa"/>
            </w:tcMar>
          </w:tcPr>
          <w:p w:rsidR="00802FC7" w:rsidRPr="00E106BD" w:rsidRDefault="00802FC7" w:rsidP="00802FC7">
            <w:pPr>
              <w:spacing w:after="60" w:line="240" w:lineRule="auto"/>
              <w:rPr>
                <w:rFonts w:ascii="Arial" w:hAnsi="Arial" w:cs="Arial"/>
                <w:sz w:val="16"/>
                <w:szCs w:val="16"/>
              </w:rPr>
            </w:pPr>
            <w:r w:rsidRPr="00802FC7">
              <w:rPr>
                <w:rFonts w:ascii="Arial" w:hAnsi="Arial" w:cs="Arial"/>
                <w:sz w:val="16"/>
                <w:szCs w:val="16"/>
              </w:rPr>
              <w:t>C10724</w:t>
            </w:r>
          </w:p>
        </w:tc>
        <w:tc>
          <w:tcPr>
            <w:tcW w:w="709" w:type="dxa"/>
            <w:tcMar>
              <w:top w:w="28" w:type="dxa"/>
              <w:left w:w="28" w:type="dxa"/>
            </w:tcMar>
          </w:tcPr>
          <w:p w:rsidR="00802FC7" w:rsidRPr="00E106BD" w:rsidDel="00AB48A9" w:rsidRDefault="00802FC7" w:rsidP="00802FC7">
            <w:pPr>
              <w:spacing w:after="60" w:line="240" w:lineRule="auto"/>
              <w:rPr>
                <w:rFonts w:ascii="Arial" w:hAnsi="Arial" w:cs="Arial"/>
                <w:sz w:val="16"/>
                <w:szCs w:val="16"/>
              </w:rPr>
            </w:pPr>
          </w:p>
        </w:tc>
        <w:tc>
          <w:tcPr>
            <w:tcW w:w="7654" w:type="dxa"/>
            <w:tcMar>
              <w:top w:w="28" w:type="dxa"/>
              <w:left w:w="28" w:type="dxa"/>
            </w:tcMar>
          </w:tcPr>
          <w:p w:rsidR="00802FC7" w:rsidRPr="00E106BD" w:rsidRDefault="00802FC7" w:rsidP="00802FC7">
            <w:pPr>
              <w:spacing w:after="60" w:line="240" w:lineRule="auto"/>
              <w:rPr>
                <w:rFonts w:ascii="Arial" w:hAnsi="Arial" w:cs="Arial"/>
                <w:sz w:val="16"/>
                <w:szCs w:val="16"/>
              </w:rPr>
            </w:pPr>
            <w:r w:rsidRPr="00802FC7">
              <w:rPr>
                <w:rFonts w:ascii="Arial" w:hAnsi="Arial" w:cs="Arial"/>
                <w:sz w:val="16"/>
                <w:szCs w:val="16"/>
              </w:rPr>
              <w:t>Pulmonary arterial hypertension (PAH)</w:t>
            </w:r>
            <w:r w:rsidRPr="00802FC7">
              <w:rPr>
                <w:rFonts w:ascii="Arial" w:hAnsi="Arial" w:cs="Arial"/>
                <w:sz w:val="16"/>
                <w:szCs w:val="16"/>
              </w:rPr>
              <w:br/>
              <w:t>Initial 2 (dual therapy - previously treated patients)</w:t>
            </w:r>
            <w:r w:rsidRPr="00802FC7">
              <w:rPr>
                <w:rFonts w:ascii="Arial" w:hAnsi="Arial" w:cs="Arial"/>
                <w:sz w:val="16"/>
                <w:szCs w:val="16"/>
              </w:rPr>
              <w:br/>
              <w:t>Patient must have documented WHO Functional Class III PAH or WHO Functional Class IV PAH; AND</w:t>
            </w:r>
            <w:r w:rsidRPr="00802FC7">
              <w:rPr>
                <w:rFonts w:ascii="Arial" w:hAnsi="Arial" w:cs="Arial"/>
                <w:sz w:val="16"/>
                <w:szCs w:val="16"/>
              </w:rPr>
              <w:br/>
              <w:t>Patient must have documented a failure to achieve or maintain WHO Functional Class II status with prior PBS-subsidised monotherapy treatment with a phosphodiesterase-5 inhibitor (PDE-5i) for this condition; AND</w:t>
            </w:r>
            <w:r w:rsidRPr="00802FC7">
              <w:rPr>
                <w:rFonts w:ascii="Arial" w:hAnsi="Arial" w:cs="Arial"/>
                <w:sz w:val="16"/>
                <w:szCs w:val="16"/>
              </w:rPr>
              <w:br/>
              <w:t>The treatment must be in combination with the PBS-subsidised PDE-5i for this condition.</w:t>
            </w:r>
            <w:r w:rsidRPr="00802FC7">
              <w:rPr>
                <w:rFonts w:ascii="Arial" w:hAnsi="Arial" w:cs="Arial"/>
                <w:sz w:val="16"/>
                <w:szCs w:val="16"/>
              </w:rPr>
              <w:br/>
              <w:t>The term 'PAH agents' refers to bosentan monohydrate, iloprost trometamol, epoprostenol sodium, sildenafil citrate, ambrisentan, tadalafil, macitentan, and riociguat.</w:t>
            </w:r>
            <w:r w:rsidRPr="00802FC7">
              <w:rPr>
                <w:rFonts w:ascii="Arial" w:hAnsi="Arial" w:cs="Arial"/>
                <w:sz w:val="16"/>
                <w:szCs w:val="16"/>
              </w:rPr>
              <w:br/>
              <w:t>For the purposes of PBS subsidy, dual therapy refers to combined use of an endothelin receptor antagonist (ERA) and a phosphodiesterase-5 inhibitor (PDE-5i).</w:t>
            </w:r>
            <w:r w:rsidRPr="00802FC7">
              <w:rPr>
                <w:rFonts w:ascii="Arial" w:hAnsi="Arial" w:cs="Arial"/>
                <w:sz w:val="16"/>
                <w:szCs w:val="16"/>
              </w:rPr>
              <w:br/>
              <w:t>(i) An ERA includes bosentan monohydrate, or macitentan.</w:t>
            </w:r>
            <w:r w:rsidRPr="00802FC7">
              <w:rPr>
                <w:rFonts w:ascii="Arial" w:hAnsi="Arial" w:cs="Arial"/>
                <w:sz w:val="16"/>
                <w:szCs w:val="16"/>
              </w:rPr>
              <w:br/>
              <w:t>(ii) A PDE-5i includes sildenafil citrate, or tadalafil.</w:t>
            </w:r>
            <w:r w:rsidRPr="00802FC7">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802FC7">
              <w:rPr>
                <w:rFonts w:ascii="Arial" w:hAnsi="Arial" w:cs="Arial"/>
                <w:sz w:val="16"/>
                <w:szCs w:val="16"/>
              </w:rPr>
              <w:br/>
              <w:t>PAH (WHO Group 1 pulmonary hypertension) is defined as follows:</w:t>
            </w:r>
            <w:r w:rsidRPr="00802FC7">
              <w:rPr>
                <w:rFonts w:ascii="Arial" w:hAnsi="Arial" w:cs="Arial"/>
                <w:sz w:val="16"/>
                <w:szCs w:val="16"/>
              </w:rPr>
              <w:br/>
              <w:t>(i) mean pulmonary artery pressure (mPAP) greater than or equal to 25 mmHg at rest and pulmonary artery wedge pressure (PAWP) less than or equal to 15 mmHg; or</w:t>
            </w:r>
            <w:r w:rsidRPr="00802FC7">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802FC7">
              <w:rPr>
                <w:rFonts w:ascii="Arial" w:hAnsi="Arial" w:cs="Arial"/>
                <w:sz w:val="16"/>
                <w:szCs w:val="16"/>
              </w:rPr>
              <w:br/>
              <w:t>The results and date of the RHC, ECHO and 6 MWT as applicable must be included in the patient's medical record. Where a RHC cannot be performed on clinical grounds, the written confirmation of the reasons why must also be included in the patient's medical record.</w:t>
            </w:r>
            <w:r w:rsidRPr="00802FC7">
              <w:rPr>
                <w:rFonts w:ascii="Arial" w:hAnsi="Arial" w:cs="Arial"/>
                <w:sz w:val="16"/>
                <w:szCs w:val="16"/>
              </w:rPr>
              <w:br/>
              <w:t>If patients will be taking 62.5mg for the first month then 125 mg, prescribers should request the first authority prescription of therapy with the 62.5 mg tablet strength, with the quantity for one month of treatment, based on the dosage recommendations in the TGA-approved Product Information and no repeats.</w:t>
            </w:r>
            <w:r w:rsidRPr="00802FC7">
              <w:rPr>
                <w:rFonts w:ascii="Arial" w:hAnsi="Arial" w:cs="Arial"/>
                <w:sz w:val="16"/>
                <w:szCs w:val="16"/>
              </w:rPr>
              <w:br/>
              <w:t>Prescribers should request the second authority prescription of therapy with the 125 mg tablet strengths, with a quantity for one month of treatment, based on the dosage recommendations in the TGA-approved Product Information, and a maximum of 4 repeats.</w:t>
            </w:r>
            <w:r w:rsidRPr="00802FC7">
              <w:rPr>
                <w:rFonts w:ascii="Arial" w:hAnsi="Arial" w:cs="Arial"/>
                <w:sz w:val="16"/>
                <w:szCs w:val="16"/>
              </w:rPr>
              <w:br/>
              <w:t>If patients will be taking 62.5mg for longer than 1 month, prescribers should request the first authority prescription of therapy with the 62.5 mg tablet strength, with the quantity for one month of treatment and a maximum of 5 repeats based on the dosage recommendations in the TGA-approved Product Information.</w:t>
            </w:r>
          </w:p>
        </w:tc>
        <w:tc>
          <w:tcPr>
            <w:tcW w:w="2552" w:type="dxa"/>
            <w:tcMar>
              <w:top w:w="28" w:type="dxa"/>
              <w:left w:w="28" w:type="dxa"/>
              <w:right w:w="57" w:type="dxa"/>
            </w:tcMar>
          </w:tcPr>
          <w:p w:rsidR="00802FC7" w:rsidRPr="00E106BD" w:rsidRDefault="00802FC7" w:rsidP="00802FC7">
            <w:pPr>
              <w:spacing w:after="60" w:line="240" w:lineRule="auto"/>
              <w:rPr>
                <w:rFonts w:ascii="Arial" w:hAnsi="Arial" w:cs="Arial"/>
                <w:sz w:val="16"/>
                <w:szCs w:val="16"/>
              </w:rPr>
            </w:pPr>
            <w:r w:rsidRPr="00802FC7">
              <w:rPr>
                <w:rFonts w:ascii="Arial" w:hAnsi="Arial" w:cs="Arial"/>
                <w:sz w:val="16"/>
                <w:szCs w:val="16"/>
              </w:rPr>
              <w:t>Compliance with Authority Required procedures</w:t>
            </w:r>
          </w:p>
        </w:tc>
      </w:tr>
      <w:tr w:rsidR="00802FC7" w:rsidRPr="00E106BD" w:rsidTr="00802FC7">
        <w:tc>
          <w:tcPr>
            <w:tcW w:w="1729" w:type="dxa"/>
            <w:tcMar>
              <w:top w:w="28" w:type="dxa"/>
              <w:left w:w="28" w:type="dxa"/>
            </w:tcMar>
          </w:tcPr>
          <w:p w:rsidR="00802FC7" w:rsidRPr="00E106BD" w:rsidDel="00AB48A9" w:rsidRDefault="00802FC7" w:rsidP="00802FC7">
            <w:pPr>
              <w:spacing w:after="60" w:line="240" w:lineRule="auto"/>
              <w:rPr>
                <w:rFonts w:ascii="Arial" w:hAnsi="Arial" w:cs="Arial"/>
                <w:sz w:val="16"/>
                <w:szCs w:val="16"/>
              </w:rPr>
            </w:pPr>
          </w:p>
        </w:tc>
        <w:tc>
          <w:tcPr>
            <w:tcW w:w="709" w:type="dxa"/>
            <w:tcMar>
              <w:top w:w="28" w:type="dxa"/>
              <w:left w:w="28" w:type="dxa"/>
            </w:tcMar>
          </w:tcPr>
          <w:p w:rsidR="00802FC7" w:rsidRPr="00E106BD" w:rsidRDefault="00802FC7" w:rsidP="00802FC7">
            <w:pPr>
              <w:spacing w:after="60" w:line="240" w:lineRule="auto"/>
              <w:rPr>
                <w:rFonts w:ascii="Arial" w:hAnsi="Arial" w:cs="Arial"/>
                <w:sz w:val="16"/>
                <w:szCs w:val="16"/>
              </w:rPr>
            </w:pPr>
            <w:r w:rsidRPr="00802FC7">
              <w:rPr>
                <w:rFonts w:ascii="Arial" w:hAnsi="Arial" w:cs="Arial"/>
                <w:sz w:val="16"/>
                <w:szCs w:val="16"/>
              </w:rPr>
              <w:t>C10725</w:t>
            </w:r>
          </w:p>
        </w:tc>
        <w:tc>
          <w:tcPr>
            <w:tcW w:w="709" w:type="dxa"/>
            <w:tcMar>
              <w:top w:w="28" w:type="dxa"/>
              <w:left w:w="28" w:type="dxa"/>
            </w:tcMar>
          </w:tcPr>
          <w:p w:rsidR="00802FC7" w:rsidRPr="00E106BD" w:rsidDel="00AB48A9" w:rsidRDefault="00802FC7" w:rsidP="00802FC7">
            <w:pPr>
              <w:spacing w:after="60" w:line="240" w:lineRule="auto"/>
              <w:rPr>
                <w:rFonts w:ascii="Arial" w:hAnsi="Arial" w:cs="Arial"/>
                <w:sz w:val="16"/>
                <w:szCs w:val="16"/>
              </w:rPr>
            </w:pPr>
          </w:p>
        </w:tc>
        <w:tc>
          <w:tcPr>
            <w:tcW w:w="7654" w:type="dxa"/>
            <w:tcMar>
              <w:top w:w="28" w:type="dxa"/>
              <w:left w:w="28" w:type="dxa"/>
            </w:tcMar>
          </w:tcPr>
          <w:p w:rsidR="00802FC7" w:rsidRPr="00E106BD" w:rsidRDefault="00802FC7" w:rsidP="00802FC7">
            <w:pPr>
              <w:spacing w:after="60" w:line="240" w:lineRule="auto"/>
              <w:rPr>
                <w:rFonts w:ascii="Arial" w:hAnsi="Arial" w:cs="Arial"/>
                <w:sz w:val="16"/>
                <w:szCs w:val="16"/>
              </w:rPr>
            </w:pPr>
            <w:r w:rsidRPr="00802FC7">
              <w:rPr>
                <w:rFonts w:ascii="Arial" w:hAnsi="Arial" w:cs="Arial"/>
                <w:sz w:val="16"/>
                <w:szCs w:val="16"/>
              </w:rPr>
              <w:t>Pulmonary arterial hypertension (PAH)</w:t>
            </w:r>
            <w:r w:rsidRPr="00802FC7">
              <w:rPr>
                <w:rFonts w:ascii="Arial" w:hAnsi="Arial" w:cs="Arial"/>
                <w:sz w:val="16"/>
                <w:szCs w:val="16"/>
              </w:rPr>
              <w:br/>
              <w:t>Grandfathered patients (dual therapy)</w:t>
            </w:r>
            <w:r w:rsidRPr="00802FC7">
              <w:rPr>
                <w:rFonts w:ascii="Arial" w:hAnsi="Arial" w:cs="Arial"/>
                <w:sz w:val="16"/>
                <w:szCs w:val="16"/>
              </w:rPr>
              <w:br/>
              <w:t>Patient must be receiving dual therapy with this non PBS-subsidised pulmonary arterial hypertension (PAH) agent and a non PBS-subsidised phosphodiesterase-5 inhibitor (PDE-5i) for this condition prior to 1 October 2020; AND</w:t>
            </w:r>
            <w:r w:rsidRPr="00802FC7">
              <w:rPr>
                <w:rFonts w:ascii="Arial" w:hAnsi="Arial" w:cs="Arial"/>
                <w:sz w:val="16"/>
                <w:szCs w:val="16"/>
              </w:rPr>
              <w:br/>
              <w:t>Patient must have been assessed by a physician with expertise in the management of PAH; AND</w:t>
            </w:r>
            <w:r w:rsidRPr="00802FC7">
              <w:rPr>
                <w:rFonts w:ascii="Arial" w:hAnsi="Arial" w:cs="Arial"/>
                <w:sz w:val="16"/>
                <w:szCs w:val="16"/>
              </w:rPr>
              <w:br/>
              <w:t>Patient must have documented WHO Functional Class III PAH or WHO Functional Class IV PAH.</w:t>
            </w:r>
            <w:r w:rsidRPr="00802FC7">
              <w:rPr>
                <w:rFonts w:ascii="Arial" w:hAnsi="Arial" w:cs="Arial"/>
                <w:sz w:val="16"/>
                <w:szCs w:val="16"/>
              </w:rPr>
              <w:br/>
              <w:t>The term 'PAH agents' refers to bosentan monohydrate, iloprost trometamol, epoprostenol sodium, sildenafil citrate, ambrisentan, tadalafil, macitentan, and riociguat.</w:t>
            </w:r>
            <w:r w:rsidRPr="00802FC7">
              <w:rPr>
                <w:rFonts w:ascii="Arial" w:hAnsi="Arial" w:cs="Arial"/>
                <w:sz w:val="16"/>
                <w:szCs w:val="16"/>
              </w:rPr>
              <w:br/>
              <w:t>For the purposes of PBS subsidy, dual therapy refers to combined use of an endothelin receptor antagonist (ERA) and a phosphodiesterase-5 inhibitor (PDE-5i).</w:t>
            </w:r>
            <w:r w:rsidRPr="00802FC7">
              <w:rPr>
                <w:rFonts w:ascii="Arial" w:hAnsi="Arial" w:cs="Arial"/>
                <w:sz w:val="16"/>
                <w:szCs w:val="16"/>
              </w:rPr>
              <w:br/>
              <w:t>(i) An ERA includes bosentan monohydrate, or macitentan.</w:t>
            </w:r>
            <w:r w:rsidRPr="00802FC7">
              <w:rPr>
                <w:rFonts w:ascii="Arial" w:hAnsi="Arial" w:cs="Arial"/>
                <w:sz w:val="16"/>
                <w:szCs w:val="16"/>
              </w:rPr>
              <w:br/>
              <w:t>(ii) A PDE-5i includes sildenafil citrate, or tadalafil.</w:t>
            </w:r>
            <w:r w:rsidRPr="00802FC7">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802FC7">
              <w:rPr>
                <w:rFonts w:ascii="Arial" w:hAnsi="Arial" w:cs="Arial"/>
                <w:sz w:val="16"/>
                <w:szCs w:val="16"/>
              </w:rPr>
              <w:br/>
              <w:t>PAH (WHO Group 1 pulmonary hypertension) is defined as follows:</w:t>
            </w:r>
            <w:r w:rsidRPr="00802FC7">
              <w:rPr>
                <w:rFonts w:ascii="Arial" w:hAnsi="Arial" w:cs="Arial"/>
                <w:sz w:val="16"/>
                <w:szCs w:val="16"/>
              </w:rPr>
              <w:br/>
              <w:t>(i) mean pulmonary artery pressure (mPAP) greater than or equal to 25 mmHg at rest and pulmonary artery wedge pressure (PAWP) less than or equal to 15 mmHg; or</w:t>
            </w:r>
            <w:r w:rsidRPr="00802FC7">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802FC7">
              <w:rPr>
                <w:rFonts w:ascii="Arial" w:hAnsi="Arial" w:cs="Arial"/>
                <w:sz w:val="16"/>
                <w:szCs w:val="16"/>
              </w:rPr>
              <w:br/>
              <w:t>Applications for authorisation must be in writing and must include:</w:t>
            </w:r>
            <w:r w:rsidRPr="00802FC7">
              <w:rPr>
                <w:rFonts w:ascii="Arial" w:hAnsi="Arial" w:cs="Arial"/>
                <w:sz w:val="16"/>
                <w:szCs w:val="16"/>
              </w:rPr>
              <w:br/>
              <w:t>(1) a completed authority prescription form; and</w:t>
            </w:r>
            <w:r w:rsidRPr="00802FC7">
              <w:rPr>
                <w:rFonts w:ascii="Arial" w:hAnsi="Arial" w:cs="Arial"/>
                <w:sz w:val="16"/>
                <w:szCs w:val="16"/>
              </w:rPr>
              <w:br/>
              <w:t>(2) a completed Pulmonary Arterial Hypertension PBS Authority Application - Supporting Information form which includes results from the three tests below, where available:</w:t>
            </w:r>
            <w:r w:rsidRPr="00802FC7">
              <w:rPr>
                <w:rFonts w:ascii="Arial" w:hAnsi="Arial" w:cs="Arial"/>
                <w:sz w:val="16"/>
                <w:szCs w:val="16"/>
              </w:rPr>
              <w:br/>
              <w:t>(i) RHC composite assessment; and</w:t>
            </w:r>
            <w:r w:rsidRPr="00802FC7">
              <w:rPr>
                <w:rFonts w:ascii="Arial" w:hAnsi="Arial" w:cs="Arial"/>
                <w:sz w:val="16"/>
                <w:szCs w:val="16"/>
              </w:rPr>
              <w:br/>
              <w:t>(ii) ECHO composite assessment; and</w:t>
            </w:r>
            <w:r w:rsidRPr="00802FC7">
              <w:rPr>
                <w:rFonts w:ascii="Arial" w:hAnsi="Arial" w:cs="Arial"/>
                <w:sz w:val="16"/>
                <w:szCs w:val="16"/>
              </w:rPr>
              <w:br/>
              <w:t>(iii) 6 Minute Walk Test (6MWT).</w:t>
            </w:r>
            <w:r w:rsidRPr="00802FC7">
              <w:rPr>
                <w:rFonts w:ascii="Arial" w:hAnsi="Arial" w:cs="Arial"/>
                <w:sz w:val="16"/>
                <w:szCs w:val="16"/>
              </w:rPr>
              <w:br/>
              <w:t>Where it was not possible to perform all 3 tests on clinical grounds, the following list outlines the preferred test combination, in descending order, for the purposes of initiation of PBS-subsidised treatment:</w:t>
            </w:r>
            <w:r w:rsidRPr="00802FC7">
              <w:rPr>
                <w:rFonts w:ascii="Arial" w:hAnsi="Arial" w:cs="Arial"/>
                <w:sz w:val="16"/>
                <w:szCs w:val="16"/>
              </w:rPr>
              <w:br/>
              <w:t>(1) RHC plus ECHO composite assessments;</w:t>
            </w:r>
            <w:r w:rsidRPr="00802FC7">
              <w:rPr>
                <w:rFonts w:ascii="Arial" w:hAnsi="Arial" w:cs="Arial"/>
                <w:sz w:val="16"/>
                <w:szCs w:val="16"/>
              </w:rPr>
              <w:br/>
              <w:t>(2) RHC composite assessment plus 6MWT;</w:t>
            </w:r>
            <w:r w:rsidRPr="00802FC7">
              <w:rPr>
                <w:rFonts w:ascii="Arial" w:hAnsi="Arial" w:cs="Arial"/>
                <w:sz w:val="16"/>
                <w:szCs w:val="16"/>
              </w:rPr>
              <w:br/>
              <w:t>(3) RHC composite assessment only.</w:t>
            </w:r>
            <w:r w:rsidRPr="00802FC7">
              <w:rPr>
                <w:rFonts w:ascii="Arial" w:hAnsi="Arial" w:cs="Arial"/>
                <w:sz w:val="16"/>
                <w:szCs w:val="16"/>
              </w:rPr>
              <w:br/>
              <w:t>In circumstances where a RHC could not be performed on clinical grounds, applications may be submitted for consideration based on the results of the following test combinations, which are listed in descending order of preference:</w:t>
            </w:r>
            <w:r w:rsidRPr="00802FC7">
              <w:rPr>
                <w:rFonts w:ascii="Arial" w:hAnsi="Arial" w:cs="Arial"/>
                <w:sz w:val="16"/>
                <w:szCs w:val="16"/>
              </w:rPr>
              <w:br/>
              <w:t>(1) ECHO composite assessment plus 6MWT;</w:t>
            </w:r>
            <w:r w:rsidRPr="00802FC7">
              <w:rPr>
                <w:rFonts w:ascii="Arial" w:hAnsi="Arial" w:cs="Arial"/>
                <w:sz w:val="16"/>
                <w:szCs w:val="16"/>
              </w:rPr>
              <w:br/>
              <w:t>(2) ECHO composite assessment only.</w:t>
            </w:r>
            <w:r w:rsidRPr="00802FC7">
              <w:rPr>
                <w:rFonts w:ascii="Arial" w:hAnsi="Arial" w:cs="Arial"/>
                <w:sz w:val="16"/>
                <w:szCs w:val="16"/>
              </w:rPr>
              <w:br/>
              <w:t>Where fewer than 3 tests were able to be performed on clinical grounds, a patient specific reason outlining why the particular test(s) could not be conducted must be provided with the authority application.</w:t>
            </w:r>
            <w:r w:rsidRPr="00802FC7">
              <w:rPr>
                <w:rFonts w:ascii="Arial" w:hAnsi="Arial" w:cs="Arial"/>
                <w:sz w:val="16"/>
                <w:szCs w:val="16"/>
              </w:rPr>
              <w:br/>
              <w:t>Where a RHC could not be performed on clinical grounds, confirmation of the reason(s) must be provided with the authority application by a second PAH physician or cardiologist with expertise in the management of PAH.</w:t>
            </w:r>
            <w:r w:rsidRPr="00802FC7">
              <w:rPr>
                <w:rFonts w:ascii="Arial" w:hAnsi="Arial" w:cs="Arial"/>
                <w:sz w:val="16"/>
                <w:szCs w:val="16"/>
              </w:rPr>
              <w:br/>
              <w:t>A patient may qualify for PBS-subsidised treatment under this restriction once only. For continuing PBS-subsidised treatment, a Grandfathered patient must qualify under the Continuing treatment criteria for dual therapy for this condition.</w:t>
            </w:r>
            <w:r w:rsidRPr="00802FC7">
              <w:rPr>
                <w:rFonts w:ascii="Arial" w:hAnsi="Arial" w:cs="Arial"/>
                <w:sz w:val="16"/>
                <w:szCs w:val="16"/>
              </w:rPr>
              <w:br/>
              <w:t>The maximum quantity authorised will be limited to provide sufficient supply for 1 month of treatment, based on the dosage recommendations in the TGA-approved Product Information.</w:t>
            </w:r>
            <w:r w:rsidRPr="00802FC7">
              <w:rPr>
                <w:rFonts w:ascii="Arial" w:hAnsi="Arial" w:cs="Arial"/>
                <w:sz w:val="16"/>
                <w:szCs w:val="16"/>
              </w:rPr>
              <w:br/>
              <w:t>A maximum of 5 repeats may be requested.</w:t>
            </w:r>
          </w:p>
        </w:tc>
        <w:tc>
          <w:tcPr>
            <w:tcW w:w="2552" w:type="dxa"/>
            <w:tcMar>
              <w:top w:w="28" w:type="dxa"/>
              <w:left w:w="28" w:type="dxa"/>
              <w:right w:w="57" w:type="dxa"/>
            </w:tcMar>
          </w:tcPr>
          <w:p w:rsidR="00802FC7" w:rsidRPr="00E106BD" w:rsidRDefault="00802FC7" w:rsidP="00802FC7">
            <w:pPr>
              <w:spacing w:after="60" w:line="240" w:lineRule="auto"/>
              <w:rPr>
                <w:rFonts w:ascii="Arial" w:hAnsi="Arial" w:cs="Arial"/>
                <w:sz w:val="16"/>
                <w:szCs w:val="16"/>
              </w:rPr>
            </w:pPr>
            <w:r w:rsidRPr="00802FC7">
              <w:rPr>
                <w:rFonts w:ascii="Arial" w:hAnsi="Arial" w:cs="Arial"/>
                <w:sz w:val="16"/>
                <w:szCs w:val="16"/>
              </w:rPr>
              <w:t>Compliance with Written Authority Required procedures</w:t>
            </w:r>
          </w:p>
        </w:tc>
      </w:tr>
      <w:tr w:rsidR="00802FC7" w:rsidRPr="00E106BD" w:rsidTr="00802FC7">
        <w:tc>
          <w:tcPr>
            <w:tcW w:w="1729" w:type="dxa"/>
            <w:tcMar>
              <w:top w:w="28" w:type="dxa"/>
              <w:left w:w="28" w:type="dxa"/>
            </w:tcMar>
          </w:tcPr>
          <w:p w:rsidR="00802FC7" w:rsidRPr="00E106BD" w:rsidDel="00AB48A9" w:rsidRDefault="00802FC7" w:rsidP="00802FC7">
            <w:pPr>
              <w:spacing w:after="60" w:line="240" w:lineRule="auto"/>
              <w:rPr>
                <w:rFonts w:ascii="Arial" w:hAnsi="Arial" w:cs="Arial"/>
                <w:sz w:val="16"/>
                <w:szCs w:val="16"/>
              </w:rPr>
            </w:pPr>
          </w:p>
        </w:tc>
        <w:tc>
          <w:tcPr>
            <w:tcW w:w="709" w:type="dxa"/>
            <w:tcMar>
              <w:top w:w="28" w:type="dxa"/>
              <w:left w:w="28" w:type="dxa"/>
            </w:tcMar>
          </w:tcPr>
          <w:p w:rsidR="00802FC7" w:rsidRPr="00E106BD" w:rsidRDefault="00802FC7" w:rsidP="00802FC7">
            <w:pPr>
              <w:spacing w:after="60" w:line="240" w:lineRule="auto"/>
              <w:rPr>
                <w:rFonts w:ascii="Arial" w:hAnsi="Arial" w:cs="Arial"/>
                <w:sz w:val="16"/>
                <w:szCs w:val="16"/>
              </w:rPr>
            </w:pPr>
            <w:r w:rsidRPr="00802FC7">
              <w:rPr>
                <w:rFonts w:ascii="Arial" w:hAnsi="Arial" w:cs="Arial"/>
                <w:sz w:val="16"/>
                <w:szCs w:val="16"/>
              </w:rPr>
              <w:t>C10728</w:t>
            </w:r>
          </w:p>
        </w:tc>
        <w:tc>
          <w:tcPr>
            <w:tcW w:w="709" w:type="dxa"/>
            <w:tcMar>
              <w:top w:w="28" w:type="dxa"/>
              <w:left w:w="28" w:type="dxa"/>
            </w:tcMar>
          </w:tcPr>
          <w:p w:rsidR="00802FC7" w:rsidRPr="00E106BD" w:rsidDel="00AB48A9" w:rsidRDefault="00802FC7" w:rsidP="00802FC7">
            <w:pPr>
              <w:spacing w:after="60" w:line="240" w:lineRule="auto"/>
              <w:rPr>
                <w:rFonts w:ascii="Arial" w:hAnsi="Arial" w:cs="Arial"/>
                <w:sz w:val="16"/>
                <w:szCs w:val="16"/>
              </w:rPr>
            </w:pPr>
          </w:p>
        </w:tc>
        <w:tc>
          <w:tcPr>
            <w:tcW w:w="7654" w:type="dxa"/>
            <w:tcMar>
              <w:top w:w="28" w:type="dxa"/>
              <w:left w:w="28" w:type="dxa"/>
            </w:tcMar>
          </w:tcPr>
          <w:p w:rsidR="00802FC7" w:rsidRPr="00E106BD" w:rsidRDefault="00802FC7" w:rsidP="00802FC7">
            <w:pPr>
              <w:spacing w:after="60" w:line="240" w:lineRule="auto"/>
              <w:rPr>
                <w:rFonts w:ascii="Arial" w:hAnsi="Arial" w:cs="Arial"/>
                <w:sz w:val="16"/>
                <w:szCs w:val="16"/>
              </w:rPr>
            </w:pPr>
            <w:r w:rsidRPr="00802FC7">
              <w:rPr>
                <w:rFonts w:ascii="Arial" w:hAnsi="Arial" w:cs="Arial"/>
                <w:sz w:val="16"/>
                <w:szCs w:val="16"/>
              </w:rPr>
              <w:t>Pulmonary arterial hypertension (PAH)</w:t>
            </w:r>
            <w:r w:rsidRPr="00802FC7">
              <w:rPr>
                <w:rFonts w:ascii="Arial" w:hAnsi="Arial" w:cs="Arial"/>
                <w:sz w:val="16"/>
                <w:szCs w:val="16"/>
              </w:rPr>
              <w:br/>
              <w:t>Continuing treatment (dual therapy)</w:t>
            </w:r>
            <w:r w:rsidRPr="00802FC7">
              <w:rPr>
                <w:rFonts w:ascii="Arial" w:hAnsi="Arial" w:cs="Arial"/>
                <w:sz w:val="16"/>
                <w:szCs w:val="16"/>
              </w:rPr>
              <w:br/>
              <w:t>Patient must have received their most recent course of PBS-subsidised dual therapy with this PAH agent and a phosphodiesterase-5 inhibitor (PDE-5i) for this condition.</w:t>
            </w:r>
            <w:r w:rsidRPr="00802FC7">
              <w:rPr>
                <w:rFonts w:ascii="Arial" w:hAnsi="Arial" w:cs="Arial"/>
                <w:sz w:val="16"/>
                <w:szCs w:val="16"/>
              </w:rPr>
              <w:br/>
              <w:t>The term 'PAH agents' refers to bosentan monohydrate, iloprost trometamol, epoprostenol sodium, sildenafil citrate, ambrisentan, tadalafil, macitentan, and riociguat.</w:t>
            </w:r>
            <w:r w:rsidRPr="00802FC7">
              <w:rPr>
                <w:rFonts w:ascii="Arial" w:hAnsi="Arial" w:cs="Arial"/>
                <w:sz w:val="16"/>
                <w:szCs w:val="16"/>
              </w:rPr>
              <w:br/>
              <w:t>For the purposes of PBS subsidy, dual therapy refers to combined use of an endothelin receptor antagonist (ERA) and a phosphodiesterase-5 inhibitor (PDE-5i).</w:t>
            </w:r>
            <w:r w:rsidRPr="00802FC7">
              <w:rPr>
                <w:rFonts w:ascii="Arial" w:hAnsi="Arial" w:cs="Arial"/>
                <w:sz w:val="16"/>
                <w:szCs w:val="16"/>
              </w:rPr>
              <w:br/>
              <w:t>(i) An ERA includes bosentan monohydrate, or macitentan.</w:t>
            </w:r>
            <w:r w:rsidRPr="00802FC7">
              <w:rPr>
                <w:rFonts w:ascii="Arial" w:hAnsi="Arial" w:cs="Arial"/>
                <w:sz w:val="16"/>
                <w:szCs w:val="16"/>
              </w:rPr>
              <w:br/>
              <w:t>(ii) A PDE-5i includes sildenafil citrate, or tadalafil.</w:t>
            </w:r>
            <w:r w:rsidRPr="00802FC7">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802FC7">
              <w:rPr>
                <w:rFonts w:ascii="Arial" w:hAnsi="Arial" w:cs="Arial"/>
                <w:sz w:val="16"/>
                <w:szCs w:val="16"/>
              </w:rPr>
              <w:br/>
              <w:t>The maximum quantity authorised will be limited to provide sufficient supply for 1 month of treatment, based on the dosage recommendations in the TGA-approved Product Information.</w:t>
            </w:r>
            <w:r w:rsidRPr="00802FC7">
              <w:rPr>
                <w:rFonts w:ascii="Arial" w:hAnsi="Arial" w:cs="Arial"/>
                <w:sz w:val="16"/>
                <w:szCs w:val="16"/>
              </w:rPr>
              <w:br/>
              <w:t>A maximum of 5 repeats may be requested.</w:t>
            </w:r>
          </w:p>
        </w:tc>
        <w:tc>
          <w:tcPr>
            <w:tcW w:w="2552" w:type="dxa"/>
            <w:tcMar>
              <w:top w:w="28" w:type="dxa"/>
              <w:left w:w="28" w:type="dxa"/>
              <w:right w:w="57" w:type="dxa"/>
            </w:tcMar>
          </w:tcPr>
          <w:p w:rsidR="00802FC7" w:rsidRPr="00E106BD" w:rsidRDefault="00802FC7" w:rsidP="00802FC7">
            <w:pPr>
              <w:spacing w:after="60" w:line="240" w:lineRule="auto"/>
              <w:rPr>
                <w:rFonts w:ascii="Arial" w:hAnsi="Arial" w:cs="Arial"/>
                <w:sz w:val="16"/>
                <w:szCs w:val="16"/>
              </w:rPr>
            </w:pPr>
            <w:r w:rsidRPr="00802FC7">
              <w:rPr>
                <w:rFonts w:ascii="Arial" w:hAnsi="Arial" w:cs="Arial"/>
                <w:sz w:val="16"/>
                <w:szCs w:val="16"/>
              </w:rPr>
              <w:t>Compliance with Authority Required procedures</w:t>
            </w:r>
          </w:p>
        </w:tc>
      </w:tr>
      <w:tr w:rsidR="00802FC7" w:rsidRPr="00E106BD" w:rsidTr="00802FC7">
        <w:tc>
          <w:tcPr>
            <w:tcW w:w="1729" w:type="dxa"/>
            <w:tcMar>
              <w:top w:w="28" w:type="dxa"/>
              <w:left w:w="28" w:type="dxa"/>
            </w:tcMar>
          </w:tcPr>
          <w:p w:rsidR="00802FC7" w:rsidRPr="00E106BD" w:rsidDel="00AB48A9" w:rsidRDefault="00802FC7" w:rsidP="00802FC7">
            <w:pPr>
              <w:spacing w:after="60" w:line="240" w:lineRule="auto"/>
              <w:rPr>
                <w:rFonts w:ascii="Arial" w:hAnsi="Arial" w:cs="Arial"/>
                <w:sz w:val="16"/>
                <w:szCs w:val="16"/>
              </w:rPr>
            </w:pPr>
          </w:p>
        </w:tc>
        <w:tc>
          <w:tcPr>
            <w:tcW w:w="709" w:type="dxa"/>
            <w:tcMar>
              <w:top w:w="28" w:type="dxa"/>
              <w:left w:w="28" w:type="dxa"/>
            </w:tcMar>
          </w:tcPr>
          <w:p w:rsidR="00802FC7" w:rsidRPr="00E106BD" w:rsidRDefault="00802FC7" w:rsidP="00802FC7">
            <w:pPr>
              <w:spacing w:after="60" w:line="240" w:lineRule="auto"/>
              <w:rPr>
                <w:rFonts w:ascii="Arial" w:hAnsi="Arial" w:cs="Arial"/>
                <w:sz w:val="16"/>
                <w:szCs w:val="16"/>
              </w:rPr>
            </w:pPr>
            <w:r w:rsidRPr="00802FC7">
              <w:rPr>
                <w:rFonts w:ascii="Arial" w:hAnsi="Arial" w:cs="Arial"/>
                <w:sz w:val="16"/>
                <w:szCs w:val="16"/>
              </w:rPr>
              <w:t>C10795</w:t>
            </w:r>
          </w:p>
        </w:tc>
        <w:tc>
          <w:tcPr>
            <w:tcW w:w="709" w:type="dxa"/>
            <w:tcMar>
              <w:top w:w="28" w:type="dxa"/>
              <w:left w:w="28" w:type="dxa"/>
            </w:tcMar>
          </w:tcPr>
          <w:p w:rsidR="00802FC7" w:rsidRPr="00E106BD" w:rsidDel="00AB48A9" w:rsidRDefault="00802FC7" w:rsidP="00802FC7">
            <w:pPr>
              <w:spacing w:after="60" w:line="240" w:lineRule="auto"/>
              <w:rPr>
                <w:rFonts w:ascii="Arial" w:hAnsi="Arial" w:cs="Arial"/>
                <w:sz w:val="16"/>
                <w:szCs w:val="16"/>
              </w:rPr>
            </w:pPr>
          </w:p>
        </w:tc>
        <w:tc>
          <w:tcPr>
            <w:tcW w:w="7654" w:type="dxa"/>
            <w:tcMar>
              <w:top w:w="28" w:type="dxa"/>
              <w:left w:w="28" w:type="dxa"/>
            </w:tcMar>
          </w:tcPr>
          <w:p w:rsidR="00802FC7" w:rsidRPr="00E106BD" w:rsidRDefault="00802FC7" w:rsidP="00802FC7">
            <w:pPr>
              <w:spacing w:after="60" w:line="240" w:lineRule="auto"/>
              <w:rPr>
                <w:rFonts w:ascii="Arial" w:hAnsi="Arial" w:cs="Arial"/>
                <w:sz w:val="16"/>
                <w:szCs w:val="16"/>
              </w:rPr>
            </w:pPr>
            <w:r w:rsidRPr="00802FC7">
              <w:rPr>
                <w:rFonts w:ascii="Arial" w:hAnsi="Arial" w:cs="Arial"/>
                <w:sz w:val="16"/>
                <w:szCs w:val="16"/>
              </w:rPr>
              <w:t>Pulmonary arterial hypertension (PAH)</w:t>
            </w:r>
            <w:r w:rsidRPr="00802FC7">
              <w:rPr>
                <w:rFonts w:ascii="Arial" w:hAnsi="Arial" w:cs="Arial"/>
                <w:sz w:val="16"/>
                <w:szCs w:val="16"/>
              </w:rPr>
              <w:br/>
              <w:t>Initial 3 (dual therapy - change)</w:t>
            </w:r>
            <w:r w:rsidRPr="00802FC7">
              <w:rPr>
                <w:rFonts w:ascii="Arial" w:hAnsi="Arial" w:cs="Arial"/>
                <w:sz w:val="16"/>
                <w:szCs w:val="16"/>
              </w:rPr>
              <w:br/>
              <w:t>Patient must have had their most recent course of PBS-subsidised dual therapy with a phosphodiesterase-5 inhibitor (PDE-5i) and an endothelin receptor antagonist (ERA) other than this agent for this condition.</w:t>
            </w:r>
            <w:r w:rsidRPr="00802FC7">
              <w:rPr>
                <w:rFonts w:ascii="Arial" w:hAnsi="Arial" w:cs="Arial"/>
                <w:sz w:val="16"/>
                <w:szCs w:val="16"/>
              </w:rPr>
              <w:br/>
              <w:t>The term 'PAH agents' refers to bosentan monohydrate, iloprost trometamol, epoprostenol sodium, sildenafil citrate, ambrisentan, tadalafil, macitentan, and riociguat.</w:t>
            </w:r>
            <w:r w:rsidRPr="00802FC7">
              <w:rPr>
                <w:rFonts w:ascii="Arial" w:hAnsi="Arial" w:cs="Arial"/>
                <w:sz w:val="16"/>
                <w:szCs w:val="16"/>
              </w:rPr>
              <w:br/>
              <w:t>For the purposes of PBS subsidy, dual therapy refers to combined use of an endothelin receptor antagonist (ERA) and a phosphodiesterase-5 inhibitor (PDE-5i).</w:t>
            </w:r>
            <w:r w:rsidRPr="00802FC7">
              <w:rPr>
                <w:rFonts w:ascii="Arial" w:hAnsi="Arial" w:cs="Arial"/>
                <w:sz w:val="16"/>
                <w:szCs w:val="16"/>
              </w:rPr>
              <w:br/>
              <w:t>(i) An ERA includes bosentan monohydrate, or macitentan.</w:t>
            </w:r>
            <w:r w:rsidRPr="00802FC7">
              <w:rPr>
                <w:rFonts w:ascii="Arial" w:hAnsi="Arial" w:cs="Arial"/>
                <w:sz w:val="16"/>
                <w:szCs w:val="16"/>
              </w:rPr>
              <w:br/>
              <w:t>(ii) A PDE-5i includes sildenafil citrate, or tadalafil.</w:t>
            </w:r>
            <w:r w:rsidRPr="00802FC7">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802FC7">
              <w:rPr>
                <w:rFonts w:ascii="Arial" w:hAnsi="Arial" w:cs="Arial"/>
                <w:sz w:val="16"/>
                <w:szCs w:val="16"/>
              </w:rPr>
              <w:br/>
              <w:t>Swapping between PAH agents: Patients can access PAH agents through the PBS according to the relevant restrictions.</w:t>
            </w:r>
            <w:r w:rsidRPr="00802FC7">
              <w:rPr>
                <w:rFonts w:ascii="Arial" w:hAnsi="Arial" w:cs="Arial"/>
                <w:sz w:val="16"/>
                <w:szCs w:val="16"/>
              </w:rPr>
              <w:br/>
              <w:t>Once patients are approved dual therapy with a PAH agent from the PDE-5i class; or a PAH agent from the ERA class, they may swap between PAH agents within the same class. This means that patients may commence treatment with another PAH agent in the same class, subject to that agent's restriction, irrespective of the severity of their disease at the time the application to swap therapy is submitted.</w:t>
            </w:r>
            <w:r w:rsidRPr="00802FC7">
              <w:rPr>
                <w:rFonts w:ascii="Arial" w:hAnsi="Arial" w:cs="Arial"/>
                <w:sz w:val="16"/>
                <w:szCs w:val="16"/>
              </w:rPr>
              <w:br/>
              <w:t>Applications to swap within a PAH agent class must be made under the relevant initial treatment restriction.</w:t>
            </w:r>
            <w:r w:rsidRPr="00802FC7">
              <w:rPr>
                <w:rFonts w:ascii="Arial" w:hAnsi="Arial" w:cs="Arial"/>
                <w:sz w:val="16"/>
                <w:szCs w:val="16"/>
              </w:rPr>
              <w:br/>
              <w:t>If patients will be taking 62.5mg for the first month then 125 mg, prescribers should request the first authority prescription of therapy with the 62.5 mg tablet strength, with the quantity for one month of treatment, based on the dosage recommendations in the TGA-approved Product Information and no repeats.</w:t>
            </w:r>
            <w:r w:rsidRPr="00802FC7">
              <w:rPr>
                <w:rFonts w:ascii="Arial" w:hAnsi="Arial" w:cs="Arial"/>
                <w:sz w:val="16"/>
                <w:szCs w:val="16"/>
              </w:rPr>
              <w:br/>
              <w:t>Prescribers should request the second authority prescription of therapy with the 125 mg tablet strengths, with a quantity for one month of treatment, based on the dosage recommendations in the TGA-approved Product Information, and a maximum of 4 repeats.</w:t>
            </w:r>
            <w:r w:rsidRPr="00802FC7">
              <w:rPr>
                <w:rFonts w:ascii="Arial" w:hAnsi="Arial" w:cs="Arial"/>
                <w:sz w:val="16"/>
                <w:szCs w:val="16"/>
              </w:rPr>
              <w:br/>
              <w:t>If patients will be taking 62.5mg for longer than 1 month, prescribers should request the first authority prescription of therapy with the 62.5 mg tablet strength, with the quantity for one month of treatment and a maximum of 5 repeats based on the dosage recommendations in the TGA-approved Product Information.</w:t>
            </w:r>
          </w:p>
        </w:tc>
        <w:tc>
          <w:tcPr>
            <w:tcW w:w="2552" w:type="dxa"/>
            <w:tcMar>
              <w:top w:w="28" w:type="dxa"/>
              <w:left w:w="28" w:type="dxa"/>
              <w:right w:w="57" w:type="dxa"/>
            </w:tcMar>
          </w:tcPr>
          <w:p w:rsidR="00802FC7" w:rsidRPr="00E106BD" w:rsidRDefault="00802FC7" w:rsidP="00802FC7">
            <w:pPr>
              <w:spacing w:after="60" w:line="240" w:lineRule="auto"/>
              <w:rPr>
                <w:rFonts w:ascii="Arial" w:hAnsi="Arial" w:cs="Arial"/>
                <w:sz w:val="16"/>
                <w:szCs w:val="16"/>
              </w:rPr>
            </w:pPr>
            <w:r w:rsidRPr="00802FC7">
              <w:rPr>
                <w:rFonts w:ascii="Arial" w:hAnsi="Arial" w:cs="Arial"/>
                <w:sz w:val="16"/>
                <w:szCs w:val="16"/>
              </w:rPr>
              <w:t>Compliance with Authority Required procedures</w:t>
            </w:r>
          </w:p>
        </w:tc>
      </w:tr>
      <w:tr w:rsidR="00F05C1E" w:rsidRPr="00E106BD" w:rsidDel="007348A4"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bookmarkStart w:id="93" w:name="CU_51201894"/>
            <w:bookmarkStart w:id="94" w:name="CU_52204398"/>
            <w:bookmarkStart w:id="95" w:name="CU_54207927"/>
            <w:bookmarkEnd w:id="93"/>
            <w:bookmarkEnd w:id="94"/>
            <w:bookmarkEnd w:id="95"/>
            <w:r w:rsidRPr="00E106BD">
              <w:rPr>
                <w:rFonts w:ascii="Arial" w:hAnsi="Arial" w:cs="Arial"/>
                <w:sz w:val="16"/>
                <w:szCs w:val="16"/>
              </w:rPr>
              <w:t>Ciclosporin</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C6628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Management of transplant rejection</w:t>
            </w:r>
          </w:p>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The treatment must be used by organ or tissue transplant recipients.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6628</w:t>
            </w:r>
          </w:p>
        </w:tc>
      </w:tr>
      <w:tr w:rsidR="00F05C1E" w:rsidRPr="00E106BD" w:rsidDel="007348A4"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C6631</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Nephrotic syndrome</w:t>
            </w:r>
          </w:p>
          <w:p w:rsidR="00F05C1E" w:rsidRPr="00E106BD" w:rsidRDefault="00F05C1E" w:rsidP="00881477">
            <w:pPr>
              <w:spacing w:after="60"/>
              <w:rPr>
                <w:rFonts w:ascii="Arial" w:hAnsi="Arial" w:cs="Arial"/>
                <w:sz w:val="16"/>
                <w:szCs w:val="16"/>
              </w:rPr>
            </w:pPr>
            <w:r w:rsidRPr="00E106BD">
              <w:rPr>
                <w:rFonts w:ascii="Arial" w:hAnsi="Arial" w:cs="Arial"/>
                <w:sz w:val="16"/>
                <w:szCs w:val="16"/>
              </w:rPr>
              <w:t>Management (initiation, stabilisation and review of therapy)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prior treatment with steroids and cytostatic drugs; OR</w:t>
            </w:r>
            <w:r w:rsidRPr="00E106BD">
              <w:rPr>
                <w:rFonts w:ascii="Arial" w:hAnsi="Arial" w:cs="Arial"/>
                <w:sz w:val="16"/>
                <w:szCs w:val="16"/>
              </w:rPr>
              <w:br/>
              <w:t>Patient must be intolerant to treatment with steroids and cytostatic drugs; OR</w:t>
            </w:r>
            <w:r w:rsidRPr="00E106BD">
              <w:rPr>
                <w:rFonts w:ascii="Arial" w:hAnsi="Arial" w:cs="Arial"/>
                <w:sz w:val="16"/>
                <w:szCs w:val="16"/>
              </w:rPr>
              <w:br/>
              <w:t>The condition must be considered inappropriate for treatment with steroids and cytostatic drugs; AND</w:t>
            </w:r>
            <w:r w:rsidRPr="00E106BD">
              <w:rPr>
                <w:rFonts w:ascii="Arial" w:hAnsi="Arial" w:cs="Arial"/>
                <w:sz w:val="16"/>
                <w:szCs w:val="16"/>
              </w:rPr>
              <w:br/>
              <w:t>Patient must not have renal impairment.</w:t>
            </w:r>
            <w:r w:rsidRPr="00E106BD">
              <w:rPr>
                <w:rFonts w:ascii="Arial" w:hAnsi="Arial" w:cs="Arial"/>
                <w:sz w:val="16"/>
                <w:szCs w:val="16"/>
              </w:rPr>
              <w:br/>
              <w:t>Must be treated by a nephrologist.</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6631</w:t>
            </w:r>
          </w:p>
        </w:tc>
      </w:tr>
      <w:tr w:rsidR="00F05C1E" w:rsidRPr="00E106BD" w:rsidDel="007348A4"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C6638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Management (initiation, stabilisation and review of therapy)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have been ineffective to prior treatment with classical slow</w:t>
            </w:r>
            <w:r>
              <w:rPr>
                <w:rFonts w:ascii="Arial" w:hAnsi="Arial" w:cs="Arial"/>
                <w:sz w:val="16"/>
                <w:szCs w:val="16"/>
              </w:rPr>
              <w:noBreakHyphen/>
            </w:r>
            <w:r w:rsidRPr="00E106BD">
              <w:rPr>
                <w:rFonts w:ascii="Arial" w:hAnsi="Arial" w:cs="Arial"/>
                <w:sz w:val="16"/>
                <w:szCs w:val="16"/>
              </w:rPr>
              <w:t>acting anti</w:t>
            </w:r>
            <w:r>
              <w:rPr>
                <w:rFonts w:ascii="Arial" w:hAnsi="Arial" w:cs="Arial"/>
                <w:sz w:val="16"/>
                <w:szCs w:val="16"/>
              </w:rPr>
              <w:noBreakHyphen/>
            </w:r>
            <w:r w:rsidRPr="00E106BD">
              <w:rPr>
                <w:rFonts w:ascii="Arial" w:hAnsi="Arial" w:cs="Arial"/>
                <w:sz w:val="16"/>
                <w:szCs w:val="16"/>
              </w:rPr>
              <w:t>rheumatic agents (including methotrexate); OR</w:t>
            </w:r>
            <w:r w:rsidRPr="00E106BD">
              <w:rPr>
                <w:rFonts w:ascii="Arial" w:hAnsi="Arial" w:cs="Arial"/>
                <w:sz w:val="16"/>
                <w:szCs w:val="16"/>
              </w:rPr>
              <w:br/>
              <w:t>The condition must be considered inappropriate for treatment with slow</w:t>
            </w:r>
            <w:r>
              <w:rPr>
                <w:rFonts w:ascii="Arial" w:hAnsi="Arial" w:cs="Arial"/>
                <w:sz w:val="16"/>
                <w:szCs w:val="16"/>
              </w:rPr>
              <w:noBreakHyphen/>
            </w:r>
            <w:r w:rsidRPr="00E106BD">
              <w:rPr>
                <w:rFonts w:ascii="Arial" w:hAnsi="Arial" w:cs="Arial"/>
                <w:sz w:val="16"/>
                <w:szCs w:val="16"/>
              </w:rPr>
              <w:t>acting anti</w:t>
            </w:r>
            <w:r>
              <w:rPr>
                <w:rFonts w:ascii="Arial" w:hAnsi="Arial" w:cs="Arial"/>
                <w:sz w:val="16"/>
                <w:szCs w:val="16"/>
              </w:rPr>
              <w:noBreakHyphen/>
            </w:r>
            <w:r w:rsidRPr="00E106BD">
              <w:rPr>
                <w:rFonts w:ascii="Arial" w:hAnsi="Arial" w:cs="Arial"/>
                <w:sz w:val="16"/>
                <w:szCs w:val="16"/>
              </w:rPr>
              <w:t>rheumatic agents (including methotrexate).</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6638</w:t>
            </w:r>
          </w:p>
        </w:tc>
      </w:tr>
      <w:tr w:rsidR="00F05C1E" w:rsidRPr="00E106BD" w:rsidDel="007348A4"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C6643</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Management of transplant rejection</w:t>
            </w:r>
          </w:p>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Management (initiation, stabilisation and review of therapy)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had an organ or tissue transplantation;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6643</w:t>
            </w:r>
          </w:p>
        </w:tc>
      </w:tr>
      <w:tr w:rsidR="00F05C1E" w:rsidRPr="00E106BD" w:rsidDel="007348A4"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C6660</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atopic dermatitis</w:t>
            </w:r>
          </w:p>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Management (initiation, stabilisation and review of therapy)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Must be treated by a dermatologist; OR</w:t>
            </w:r>
            <w:r w:rsidRPr="00E106BD">
              <w:rPr>
                <w:rFonts w:ascii="Arial" w:hAnsi="Arial" w:cs="Arial"/>
                <w:sz w:val="16"/>
                <w:szCs w:val="16"/>
              </w:rPr>
              <w:br/>
              <w:t>Must be treated by a clinical immunologist.</w:t>
            </w:r>
            <w:r w:rsidRPr="00E106BD">
              <w:rPr>
                <w:rFonts w:ascii="Arial" w:hAnsi="Arial" w:cs="Arial"/>
                <w:sz w:val="16"/>
                <w:szCs w:val="16"/>
              </w:rPr>
              <w:br/>
              <w:t>The condition must be ineffective to other systemic therapies; OR</w:t>
            </w:r>
            <w:r w:rsidRPr="00E106BD">
              <w:rPr>
                <w:rFonts w:ascii="Arial" w:hAnsi="Arial" w:cs="Arial"/>
                <w:sz w:val="16"/>
                <w:szCs w:val="16"/>
              </w:rPr>
              <w:br/>
              <w:t>The condition must be inappropriate for other systemic therapies.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6660</w:t>
            </w:r>
          </w:p>
        </w:tc>
      </w:tr>
      <w:tr w:rsidR="00F05C1E" w:rsidRPr="00E106BD" w:rsidDel="007348A4"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C6676</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psoriasis</w:t>
            </w:r>
          </w:p>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Management (initiation, stabilisation and review of therapy)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ineffective to other systemic therapies; OR</w:t>
            </w:r>
            <w:r w:rsidRPr="00E106BD">
              <w:rPr>
                <w:rFonts w:ascii="Arial" w:hAnsi="Arial" w:cs="Arial"/>
                <w:sz w:val="16"/>
                <w:szCs w:val="16"/>
              </w:rPr>
              <w:br/>
              <w:t>The condition must be inappropriate for other systemic therapies; AND</w:t>
            </w:r>
            <w:r w:rsidRPr="00E106BD">
              <w:rPr>
                <w:rFonts w:ascii="Arial" w:hAnsi="Arial" w:cs="Arial"/>
                <w:sz w:val="16"/>
                <w:szCs w:val="16"/>
              </w:rPr>
              <w:br/>
              <w:t>The condition must have caused significant interference with quality of life.</w:t>
            </w:r>
            <w:r w:rsidRPr="00E106BD">
              <w:rPr>
                <w:rFonts w:ascii="Arial" w:hAnsi="Arial" w:cs="Arial"/>
                <w:sz w:val="16"/>
                <w:szCs w:val="16"/>
              </w:rPr>
              <w:br/>
              <w:t>Must be treated by a dermatologist.</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6676</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C9694</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Nephrotic syndrome</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have failed prior treatment with steroids and cytostatic drugs; OR</w:t>
            </w:r>
            <w:r w:rsidRPr="00E106BD">
              <w:rPr>
                <w:rFonts w:ascii="Arial" w:hAnsi="Arial" w:cs="Arial"/>
                <w:sz w:val="16"/>
                <w:szCs w:val="16"/>
              </w:rPr>
              <w:br/>
              <w:t>Patient must be intolerant to treatment with steroids and cytostatic drugs; OR</w:t>
            </w:r>
            <w:r w:rsidRPr="00E106BD">
              <w:rPr>
                <w:rFonts w:ascii="Arial" w:hAnsi="Arial" w:cs="Arial"/>
                <w:sz w:val="16"/>
                <w:szCs w:val="16"/>
              </w:rPr>
              <w:br/>
              <w:t>The condition must be considered inappropriate for treatment with steroids and cytostatic drugs; AND</w:t>
            </w:r>
            <w:r w:rsidRPr="00E106BD">
              <w:rPr>
                <w:rFonts w:ascii="Arial" w:hAnsi="Arial" w:cs="Arial"/>
                <w:sz w:val="16"/>
                <w:szCs w:val="16"/>
              </w:rPr>
              <w:br/>
              <w:t>Patient must not have renal impairment.</w:t>
            </w:r>
            <w:r w:rsidRPr="00E106BD">
              <w:rPr>
                <w:rFonts w:ascii="Arial" w:hAnsi="Arial" w:cs="Arial"/>
                <w:sz w:val="16"/>
                <w:szCs w:val="16"/>
              </w:rPr>
              <w:br/>
              <w:t>Must be treated by a nephrologist.</w:t>
            </w:r>
          </w:p>
        </w:tc>
        <w:tc>
          <w:tcPr>
            <w:tcW w:w="2552" w:type="dxa"/>
            <w:tcMar>
              <w:top w:w="28" w:type="dxa"/>
              <w:left w:w="28" w:type="dxa"/>
              <w:right w:w="57" w:type="dxa"/>
            </w:tcMar>
          </w:tcPr>
          <w:p w:rsidR="00F05C1E" w:rsidRPr="00E106BD" w:rsidDel="00AB48A9" w:rsidRDefault="00F05C1E" w:rsidP="00F876F8">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9694</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C9695</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Severe atopic dermatitis</w:t>
            </w:r>
            <w:r w:rsidRPr="00E106BD">
              <w:rPr>
                <w:rFonts w:ascii="Arial" w:hAnsi="Arial" w:cs="Arial"/>
                <w:sz w:val="16"/>
                <w:szCs w:val="16"/>
              </w:rPr>
              <w:br/>
              <w:t>Management (initiation, stabilisation and review of therapy)</w:t>
            </w:r>
            <w:r w:rsidRPr="00E106BD">
              <w:rPr>
                <w:rFonts w:ascii="Arial" w:hAnsi="Arial" w:cs="Arial"/>
                <w:sz w:val="16"/>
                <w:szCs w:val="16"/>
              </w:rPr>
              <w:br/>
              <w:t>Must be treated by a dermatologist; OR</w:t>
            </w:r>
            <w:r w:rsidRPr="00E106BD">
              <w:rPr>
                <w:rFonts w:ascii="Arial" w:hAnsi="Arial" w:cs="Arial"/>
                <w:sz w:val="16"/>
                <w:szCs w:val="16"/>
              </w:rPr>
              <w:br/>
              <w:t>Must be treated by a clinical immunologists.</w:t>
            </w:r>
            <w:r w:rsidRPr="00E106BD">
              <w:rPr>
                <w:rFonts w:ascii="Arial" w:hAnsi="Arial" w:cs="Arial"/>
                <w:sz w:val="16"/>
                <w:szCs w:val="16"/>
              </w:rPr>
              <w:br/>
              <w:t>The condition must be ineffective to other systemic therapies; OR</w:t>
            </w:r>
            <w:r w:rsidRPr="00E106BD">
              <w:rPr>
                <w:rFonts w:ascii="Arial" w:hAnsi="Arial" w:cs="Arial"/>
                <w:sz w:val="16"/>
                <w:szCs w:val="16"/>
              </w:rPr>
              <w:br/>
              <w:t>The condition must be inappropriate for other systemic therapies.</w:t>
            </w:r>
          </w:p>
        </w:tc>
        <w:tc>
          <w:tcPr>
            <w:tcW w:w="2552" w:type="dxa"/>
            <w:tcMar>
              <w:top w:w="28" w:type="dxa"/>
              <w:left w:w="28" w:type="dxa"/>
              <w:right w:w="57" w:type="dxa"/>
            </w:tcMar>
          </w:tcPr>
          <w:p w:rsidR="00F05C1E" w:rsidRPr="00E106BD" w:rsidDel="00AB48A9" w:rsidRDefault="00F05C1E"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9695</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C9742</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Management (initiation, stabilisation and review of therapy)</w:t>
            </w:r>
            <w:r w:rsidRPr="00E106BD">
              <w:rPr>
                <w:rFonts w:ascii="Arial" w:hAnsi="Arial" w:cs="Arial"/>
                <w:sz w:val="16"/>
                <w:szCs w:val="16"/>
              </w:rPr>
              <w:br/>
              <w:t>The condition must have been ineffective to prior treatment with classical slow</w:t>
            </w:r>
            <w:r>
              <w:rPr>
                <w:rFonts w:ascii="Arial" w:hAnsi="Arial" w:cs="Arial"/>
                <w:sz w:val="16"/>
                <w:szCs w:val="16"/>
              </w:rPr>
              <w:noBreakHyphen/>
            </w:r>
            <w:r w:rsidRPr="00E106BD">
              <w:rPr>
                <w:rFonts w:ascii="Arial" w:hAnsi="Arial" w:cs="Arial"/>
                <w:sz w:val="16"/>
                <w:szCs w:val="16"/>
              </w:rPr>
              <w:t>acting anti</w:t>
            </w:r>
            <w:r>
              <w:rPr>
                <w:rFonts w:ascii="Arial" w:hAnsi="Arial" w:cs="Arial"/>
                <w:sz w:val="16"/>
                <w:szCs w:val="16"/>
              </w:rPr>
              <w:noBreakHyphen/>
            </w:r>
            <w:r w:rsidRPr="00E106BD">
              <w:rPr>
                <w:rFonts w:ascii="Arial" w:hAnsi="Arial" w:cs="Arial"/>
                <w:sz w:val="16"/>
                <w:szCs w:val="16"/>
              </w:rPr>
              <w:t>rheumatic agents (including methotrexate); OR</w:t>
            </w:r>
            <w:r w:rsidRPr="00E106BD">
              <w:rPr>
                <w:rFonts w:ascii="Arial" w:hAnsi="Arial" w:cs="Arial"/>
                <w:sz w:val="16"/>
                <w:szCs w:val="16"/>
              </w:rPr>
              <w:br/>
              <w:t>The condition must be considered inappropriate for treatment with slow</w:t>
            </w:r>
            <w:r>
              <w:rPr>
                <w:rFonts w:ascii="Arial" w:hAnsi="Arial" w:cs="Arial"/>
                <w:sz w:val="16"/>
                <w:szCs w:val="16"/>
              </w:rPr>
              <w:noBreakHyphen/>
            </w:r>
            <w:r w:rsidRPr="00E106BD">
              <w:rPr>
                <w:rFonts w:ascii="Arial" w:hAnsi="Arial" w:cs="Arial"/>
                <w:sz w:val="16"/>
                <w:szCs w:val="16"/>
              </w:rPr>
              <w:t>acting anti</w:t>
            </w:r>
            <w:r>
              <w:rPr>
                <w:rFonts w:ascii="Arial" w:hAnsi="Arial" w:cs="Arial"/>
                <w:sz w:val="16"/>
                <w:szCs w:val="16"/>
              </w:rPr>
              <w:noBreakHyphen/>
            </w:r>
            <w:r w:rsidRPr="00E106BD">
              <w:rPr>
                <w:rFonts w:ascii="Arial" w:hAnsi="Arial" w:cs="Arial"/>
                <w:sz w:val="16"/>
                <w:szCs w:val="16"/>
              </w:rPr>
              <w:t>rheumatic agents (including methotrexate).</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w:t>
            </w:r>
          </w:p>
        </w:tc>
        <w:tc>
          <w:tcPr>
            <w:tcW w:w="2552" w:type="dxa"/>
            <w:tcMar>
              <w:top w:w="28" w:type="dxa"/>
              <w:left w:w="28" w:type="dxa"/>
              <w:right w:w="57" w:type="dxa"/>
            </w:tcMar>
          </w:tcPr>
          <w:p w:rsidR="00F05C1E" w:rsidRPr="00E106BD" w:rsidDel="00AB48A9" w:rsidRDefault="00F05C1E"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9742</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C9763</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Severe psoriasis</w:t>
            </w:r>
            <w:r w:rsidRPr="00E106BD">
              <w:rPr>
                <w:rFonts w:ascii="Arial" w:hAnsi="Arial" w:cs="Arial"/>
                <w:sz w:val="16"/>
                <w:szCs w:val="16"/>
              </w:rPr>
              <w:br/>
              <w:t>Management (initiation, stabilisation and review of therapy)</w:t>
            </w:r>
            <w:r w:rsidRPr="00E106BD">
              <w:rPr>
                <w:rFonts w:ascii="Arial" w:hAnsi="Arial" w:cs="Arial"/>
                <w:sz w:val="16"/>
                <w:szCs w:val="16"/>
              </w:rPr>
              <w:br/>
              <w:t>The condition must be ineffective to other systemic therapies; OR</w:t>
            </w:r>
            <w:r w:rsidRPr="00E106BD">
              <w:rPr>
                <w:rFonts w:ascii="Arial" w:hAnsi="Arial" w:cs="Arial"/>
                <w:sz w:val="16"/>
                <w:szCs w:val="16"/>
              </w:rPr>
              <w:br/>
              <w:t>The condition must be inappropriate for other systemic therapies; AND</w:t>
            </w:r>
            <w:r w:rsidRPr="00E106BD">
              <w:rPr>
                <w:rFonts w:ascii="Arial" w:hAnsi="Arial" w:cs="Arial"/>
                <w:sz w:val="16"/>
                <w:szCs w:val="16"/>
              </w:rPr>
              <w:br/>
              <w:t>The condition must have caused significant interference with quality of life.</w:t>
            </w:r>
            <w:r w:rsidRPr="00E106BD">
              <w:rPr>
                <w:rFonts w:ascii="Arial" w:hAnsi="Arial" w:cs="Arial"/>
                <w:sz w:val="16"/>
                <w:szCs w:val="16"/>
              </w:rPr>
              <w:br/>
              <w:t>Must be treated by a dermatologist.</w:t>
            </w:r>
          </w:p>
        </w:tc>
        <w:tc>
          <w:tcPr>
            <w:tcW w:w="2552" w:type="dxa"/>
            <w:tcMar>
              <w:top w:w="28" w:type="dxa"/>
              <w:left w:w="28" w:type="dxa"/>
              <w:right w:w="57" w:type="dxa"/>
            </w:tcMar>
          </w:tcPr>
          <w:p w:rsidR="00F05C1E" w:rsidRPr="00E106BD" w:rsidDel="00AB48A9" w:rsidRDefault="00F05C1E"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9763</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C9764</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Management of transplant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have had an organ or tissue transplantation;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05C1E" w:rsidRPr="00E106BD" w:rsidDel="00AB48A9" w:rsidRDefault="00F05C1E"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9764</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C9831</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Management of transplant rejection</w:t>
            </w:r>
            <w:r w:rsidRPr="00E106BD">
              <w:rPr>
                <w:rFonts w:ascii="Arial" w:hAnsi="Arial" w:cs="Arial"/>
                <w:sz w:val="16"/>
                <w:szCs w:val="16"/>
              </w:rPr>
              <w:br/>
              <w:t>The treatment must be used by organ or tissue transplant recipients.</w:t>
            </w:r>
          </w:p>
        </w:tc>
        <w:tc>
          <w:tcPr>
            <w:tcW w:w="2552" w:type="dxa"/>
            <w:tcMar>
              <w:top w:w="28" w:type="dxa"/>
              <w:left w:w="28" w:type="dxa"/>
              <w:right w:w="57" w:type="dxa"/>
            </w:tcMar>
          </w:tcPr>
          <w:p w:rsidR="00F05C1E" w:rsidRPr="00E106BD" w:rsidDel="00AB48A9" w:rsidRDefault="00F05C1E"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9831</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Cinacalcet</w:t>
            </w: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C10063</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Secondary hyperparathyroidism</w:t>
            </w:r>
            <w:r w:rsidRPr="00E106BD">
              <w:rPr>
                <w:rFonts w:ascii="Arial" w:hAnsi="Arial" w:cs="Arial"/>
                <w:sz w:val="16"/>
                <w:szCs w:val="16"/>
              </w:rPr>
              <w:br/>
              <w:t>Continuing treatment</w:t>
            </w:r>
            <w:r w:rsidRPr="00E106BD">
              <w:rPr>
                <w:rFonts w:ascii="Arial" w:hAnsi="Arial" w:cs="Arial"/>
                <w:sz w:val="16"/>
                <w:szCs w:val="16"/>
              </w:rPr>
              <w:br/>
              <w:t>Must be treated by a nephrologist.</w:t>
            </w:r>
            <w:r w:rsidRPr="00E106BD">
              <w:rPr>
                <w:rFonts w:ascii="Arial" w:hAnsi="Arial" w:cs="Arial"/>
                <w:sz w:val="16"/>
                <w:szCs w:val="16"/>
              </w:rPr>
              <w:br/>
              <w:t>Patient must have chronic kidney disease; AND</w:t>
            </w:r>
            <w:r w:rsidRPr="00E106BD">
              <w:rPr>
                <w:rFonts w:ascii="Arial" w:hAnsi="Arial" w:cs="Arial"/>
                <w:sz w:val="16"/>
                <w:szCs w:val="16"/>
              </w:rPr>
              <w:br/>
              <w:t>Patient must be on dialysis;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During the maintenance phase, iPTH should be monitored quarterly (measured at least 12 hours post dose) and dose adjusted as necessary to maintain an appropriate iPTH concentration.</w:t>
            </w:r>
            <w:r w:rsidRPr="00E106BD">
              <w:rPr>
                <w:rFonts w:ascii="Arial" w:hAnsi="Arial" w:cs="Arial"/>
                <w:sz w:val="16"/>
                <w:szCs w:val="16"/>
              </w:rPr>
              <w:br/>
              <w:t>During the maintenance phase, prescribers should request approval to allow sufficient supply for 4 weeks treatment up to a maximum of 6 months supply, with doses between 30 and 180 mg per day according to the patient</w:t>
            </w:r>
            <w:r w:rsidR="00A653CA">
              <w:rPr>
                <w:rFonts w:ascii="Arial" w:hAnsi="Arial" w:cs="Arial"/>
                <w:sz w:val="16"/>
                <w:szCs w:val="16"/>
              </w:rPr>
              <w:t>’</w:t>
            </w:r>
            <w:r w:rsidRPr="00E106BD">
              <w:rPr>
                <w:rFonts w:ascii="Arial" w:hAnsi="Arial" w:cs="Arial"/>
                <w:sz w:val="16"/>
                <w:szCs w:val="16"/>
              </w:rPr>
              <w:t>s response and tolerability.</w:t>
            </w:r>
          </w:p>
        </w:tc>
        <w:tc>
          <w:tcPr>
            <w:tcW w:w="2552" w:type="dxa"/>
            <w:tcMar>
              <w:top w:w="28" w:type="dxa"/>
              <w:left w:w="28" w:type="dxa"/>
              <w:right w:w="57" w:type="dxa"/>
            </w:tcMar>
          </w:tcPr>
          <w:p w:rsidR="00F05C1E" w:rsidRPr="00E106BD" w:rsidRDefault="00F05C1E" w:rsidP="00193EDF">
            <w:pPr>
              <w:keepNext/>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10063</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C10067</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Secondary hyperparathyroidism</w:t>
            </w:r>
            <w:r w:rsidRPr="00E106BD">
              <w:rPr>
                <w:rFonts w:ascii="Arial" w:hAnsi="Arial" w:cs="Arial"/>
                <w:sz w:val="16"/>
                <w:szCs w:val="16"/>
              </w:rPr>
              <w:br/>
              <w:t>Continuing treatment</w:t>
            </w:r>
            <w:r w:rsidRPr="00E106BD">
              <w:rPr>
                <w:rFonts w:ascii="Arial" w:hAnsi="Arial" w:cs="Arial"/>
                <w:sz w:val="16"/>
                <w:szCs w:val="16"/>
              </w:rPr>
              <w:br/>
              <w:t>Must be treated by a nephrologist.</w:t>
            </w:r>
            <w:r w:rsidRPr="00E106BD">
              <w:rPr>
                <w:rFonts w:ascii="Arial" w:hAnsi="Arial" w:cs="Arial"/>
                <w:sz w:val="16"/>
                <w:szCs w:val="16"/>
              </w:rPr>
              <w:br/>
              <w:t>Patient must have chronic kidney disease; AND</w:t>
            </w:r>
            <w:r w:rsidRPr="00E106BD">
              <w:rPr>
                <w:rFonts w:ascii="Arial" w:hAnsi="Arial" w:cs="Arial"/>
                <w:sz w:val="16"/>
                <w:szCs w:val="16"/>
              </w:rPr>
              <w:br/>
              <w:t>Patient must be on dialysis;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During the maintenance phase, iPTH should be monitored quarterly (measured at least 12 hours post dose) and dose adjusted as necessary to maintain an appropriate iPTH concentration.</w:t>
            </w:r>
            <w:r w:rsidRPr="00E106BD">
              <w:rPr>
                <w:rFonts w:ascii="Arial" w:hAnsi="Arial" w:cs="Arial"/>
                <w:sz w:val="16"/>
                <w:szCs w:val="16"/>
              </w:rPr>
              <w:br/>
              <w:t>During the maintenance phase, prescribers should request approval to allow sufficient supply for 4 weeks treatment up to a maximum of 6 months supply, with doses between 30 and 180 mg per day according to the patient</w:t>
            </w:r>
            <w:r w:rsidR="00A653CA">
              <w:rPr>
                <w:rFonts w:ascii="Arial" w:hAnsi="Arial" w:cs="Arial"/>
                <w:sz w:val="16"/>
                <w:szCs w:val="16"/>
              </w:rPr>
              <w:t>’</w:t>
            </w:r>
            <w:r w:rsidRPr="00E106BD">
              <w:rPr>
                <w:rFonts w:ascii="Arial" w:hAnsi="Arial" w:cs="Arial"/>
                <w:sz w:val="16"/>
                <w:szCs w:val="16"/>
              </w:rPr>
              <w:t>s response and tolerability.</w:t>
            </w:r>
          </w:p>
        </w:tc>
        <w:tc>
          <w:tcPr>
            <w:tcW w:w="2552" w:type="dxa"/>
            <w:tcMar>
              <w:top w:w="28" w:type="dxa"/>
              <w:left w:w="28" w:type="dxa"/>
              <w:right w:w="57" w:type="dxa"/>
            </w:tcMar>
          </w:tcPr>
          <w:p w:rsidR="00F05C1E" w:rsidRPr="00E106BD" w:rsidRDefault="00F05C1E" w:rsidP="00193EDF">
            <w:pPr>
              <w:keepNext/>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10067</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C10073</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Secondary hyperparathyroidism</w:t>
            </w:r>
            <w:r w:rsidRPr="00E106BD">
              <w:rPr>
                <w:rFonts w:ascii="Arial" w:hAnsi="Arial" w:cs="Arial"/>
                <w:sz w:val="16"/>
                <w:szCs w:val="16"/>
              </w:rPr>
              <w:br/>
              <w:t>Initial treatment</w:t>
            </w:r>
            <w:r w:rsidRPr="00E106BD">
              <w:rPr>
                <w:rFonts w:ascii="Arial" w:hAnsi="Arial" w:cs="Arial"/>
                <w:sz w:val="16"/>
                <w:szCs w:val="16"/>
              </w:rPr>
              <w:br/>
              <w:t>Must be treated by a nephrologist.</w:t>
            </w:r>
            <w:r w:rsidRPr="00E106BD">
              <w:rPr>
                <w:rFonts w:ascii="Arial" w:hAnsi="Arial" w:cs="Arial"/>
                <w:sz w:val="16"/>
                <w:szCs w:val="16"/>
              </w:rPr>
              <w:br/>
              <w:t>Patient must have chronic kidney disease; AND</w:t>
            </w:r>
            <w:r w:rsidRPr="00E106BD">
              <w:rPr>
                <w:rFonts w:ascii="Arial" w:hAnsi="Arial" w:cs="Arial"/>
                <w:sz w:val="16"/>
                <w:szCs w:val="16"/>
              </w:rPr>
              <w:br/>
              <w:t>Patient must be on dialysis; AND</w:t>
            </w:r>
            <w:r w:rsidRPr="00E106BD">
              <w:rPr>
                <w:rFonts w:ascii="Arial" w:hAnsi="Arial" w:cs="Arial"/>
                <w:sz w:val="16"/>
                <w:szCs w:val="16"/>
              </w:rPr>
              <w:br/>
              <w:t>Patient must have failed to respond to conventional therapy; AND</w:t>
            </w:r>
            <w:r w:rsidRPr="00E106BD">
              <w:rPr>
                <w:rFonts w:ascii="Arial" w:hAnsi="Arial" w:cs="Arial"/>
                <w:sz w:val="16"/>
                <w:szCs w:val="16"/>
              </w:rPr>
              <w:br/>
              <w:t>Patient must have sustained hyperparathyroidism with iPTH of at least 50 pmol per L; OR</w:t>
            </w:r>
            <w:r w:rsidRPr="00E106BD">
              <w:rPr>
                <w:rFonts w:ascii="Arial" w:hAnsi="Arial" w:cs="Arial"/>
                <w:sz w:val="16"/>
                <w:szCs w:val="16"/>
              </w:rPr>
              <w:br/>
              <w:t>Patient must have sustained hyperparathyroidism with iPTH of at least 15 pmol per L and less than 50 pmol per L and an (adjusted) serum calcium concentration at least 2.6 mmol per L.</w:t>
            </w:r>
            <w:r w:rsidRPr="00E106BD">
              <w:rPr>
                <w:rFonts w:ascii="Arial" w:hAnsi="Arial" w:cs="Arial"/>
                <w:sz w:val="16"/>
                <w:szCs w:val="16"/>
              </w:rPr>
              <w:br/>
              <w:t>During the titration phase, intact PTH (iPTH) should be monitored 4 weekly (measured at least 12 hours post dose) and dose titrated until an appropriate iPTH concentration is achieved.</w:t>
            </w:r>
            <w:r w:rsidRPr="00E106BD">
              <w:rPr>
                <w:rFonts w:ascii="Arial" w:hAnsi="Arial" w:cs="Arial"/>
                <w:sz w:val="16"/>
                <w:szCs w:val="16"/>
              </w:rPr>
              <w:br/>
              <w:t>During the titration phase, prescribers should request approval to allow sufficient supply for 4 weeks treatment at a time, with doses between 30 and 180 mg per day according to the patient</w:t>
            </w:r>
            <w:r w:rsidR="00A653CA">
              <w:rPr>
                <w:rFonts w:ascii="Arial" w:hAnsi="Arial" w:cs="Arial"/>
                <w:sz w:val="16"/>
                <w:szCs w:val="16"/>
              </w:rPr>
              <w:t>’</w:t>
            </w:r>
            <w:r w:rsidRPr="00E106BD">
              <w:rPr>
                <w:rFonts w:ascii="Arial" w:hAnsi="Arial" w:cs="Arial"/>
                <w:sz w:val="16"/>
                <w:szCs w:val="16"/>
              </w:rPr>
              <w:t>s response and tolerability.</w:t>
            </w:r>
          </w:p>
        </w:tc>
        <w:tc>
          <w:tcPr>
            <w:tcW w:w="2552" w:type="dxa"/>
            <w:tcMar>
              <w:top w:w="28" w:type="dxa"/>
              <w:left w:w="28" w:type="dxa"/>
              <w:right w:w="57" w:type="dxa"/>
            </w:tcMar>
          </w:tcPr>
          <w:p w:rsidR="00F05C1E" w:rsidRPr="00E106BD" w:rsidRDefault="00F05C1E" w:rsidP="00193EDF">
            <w:pPr>
              <w:keepNext/>
              <w:spacing w:after="60" w:line="240" w:lineRule="auto"/>
              <w:rPr>
                <w:rFonts w:ascii="Arial" w:hAnsi="Arial" w:cs="Arial"/>
                <w:sz w:val="16"/>
                <w:szCs w:val="16"/>
              </w:rPr>
            </w:pPr>
            <w:r w:rsidRPr="00E106BD">
              <w:rPr>
                <w:rFonts w:ascii="Arial" w:hAnsi="Arial" w:cs="Arial"/>
                <w:sz w:val="16"/>
                <w:szCs w:val="16"/>
              </w:rPr>
              <w:t>Compliance with Authority Required procedures</w:t>
            </w:r>
          </w:p>
        </w:tc>
      </w:tr>
      <w:tr w:rsidR="00503DA9" w:rsidRPr="00E857B4" w:rsidDel="00503DA9" w:rsidTr="008929EB">
        <w:tc>
          <w:tcPr>
            <w:tcW w:w="1729" w:type="dxa"/>
            <w:tcBorders>
              <w:bottom w:val="single" w:sz="4" w:space="0" w:color="auto"/>
            </w:tcBorders>
            <w:tcMar>
              <w:top w:w="28" w:type="dxa"/>
              <w:left w:w="28" w:type="dxa"/>
            </w:tcMar>
          </w:tcPr>
          <w:p w:rsidR="00503DA9" w:rsidRPr="00332E33" w:rsidDel="00503DA9" w:rsidRDefault="00332E33" w:rsidP="00881477">
            <w:pPr>
              <w:spacing w:line="240" w:lineRule="auto"/>
              <w:rPr>
                <w:rFonts w:ascii="Arial" w:hAnsi="Arial" w:cs="Arial"/>
                <w:sz w:val="16"/>
                <w:szCs w:val="16"/>
              </w:rPr>
            </w:pPr>
            <w:bookmarkStart w:id="96" w:name="CU_55210392"/>
            <w:bookmarkStart w:id="97" w:name="CU_56215953"/>
            <w:bookmarkStart w:id="98" w:name="CU_58227432"/>
            <w:bookmarkStart w:id="99" w:name="CU_59228199"/>
            <w:bookmarkStart w:id="100" w:name="CU_64234815"/>
            <w:bookmarkEnd w:id="96"/>
            <w:bookmarkEnd w:id="97"/>
            <w:bookmarkEnd w:id="98"/>
            <w:bookmarkEnd w:id="99"/>
            <w:bookmarkEnd w:id="100"/>
            <w:r>
              <w:rPr>
                <w:rFonts w:ascii="Arial" w:hAnsi="Arial" w:cs="Arial"/>
                <w:sz w:val="16"/>
                <w:szCs w:val="16"/>
              </w:rPr>
              <w:t>Clozapine</w:t>
            </w:r>
          </w:p>
        </w:tc>
        <w:tc>
          <w:tcPr>
            <w:tcW w:w="709" w:type="dxa"/>
            <w:tcBorders>
              <w:bottom w:val="single" w:sz="4" w:space="0" w:color="auto"/>
            </w:tcBorders>
            <w:tcMar>
              <w:top w:w="28" w:type="dxa"/>
              <w:left w:w="28" w:type="dxa"/>
            </w:tcMar>
          </w:tcPr>
          <w:p w:rsidR="00503DA9" w:rsidRPr="00E857B4" w:rsidDel="00503DA9" w:rsidRDefault="00503DA9" w:rsidP="00881477">
            <w:pPr>
              <w:spacing w:line="240" w:lineRule="auto"/>
              <w:rPr>
                <w:rFonts w:ascii="Arial" w:hAnsi="Arial" w:cs="Arial"/>
                <w:sz w:val="16"/>
                <w:szCs w:val="16"/>
              </w:rPr>
            </w:pPr>
            <w:r w:rsidRPr="00065707">
              <w:rPr>
                <w:rFonts w:ascii="Arial" w:hAnsi="Arial" w:cs="Arial"/>
                <w:sz w:val="16"/>
                <w:szCs w:val="16"/>
              </w:rPr>
              <w:t>C4998</w:t>
            </w:r>
          </w:p>
        </w:tc>
        <w:tc>
          <w:tcPr>
            <w:tcW w:w="709" w:type="dxa"/>
            <w:tcBorders>
              <w:bottom w:val="single" w:sz="4" w:space="0" w:color="auto"/>
            </w:tcBorders>
            <w:tcMar>
              <w:top w:w="28" w:type="dxa"/>
              <w:left w:w="28" w:type="dxa"/>
            </w:tcMar>
          </w:tcPr>
          <w:p w:rsidR="00503DA9" w:rsidRPr="00E857B4" w:rsidDel="00503DA9" w:rsidRDefault="00503DA9"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503DA9" w:rsidRPr="00E857B4" w:rsidDel="00503DA9" w:rsidRDefault="00503DA9" w:rsidP="00881477">
            <w:pPr>
              <w:spacing w:line="240" w:lineRule="auto"/>
              <w:rPr>
                <w:rFonts w:ascii="Arial" w:hAnsi="Arial" w:cs="Arial"/>
                <w:sz w:val="16"/>
                <w:szCs w:val="16"/>
              </w:rPr>
            </w:pPr>
            <w:r w:rsidRPr="00065707">
              <w:rPr>
                <w:rFonts w:ascii="Arial" w:hAnsi="Arial" w:cs="Arial"/>
                <w:sz w:val="16"/>
                <w:szCs w:val="16"/>
              </w:rPr>
              <w:t>Schizophrenia</w:t>
            </w:r>
            <w:r w:rsidRPr="00065707">
              <w:rPr>
                <w:rFonts w:ascii="Arial" w:hAnsi="Arial" w:cs="Arial"/>
                <w:sz w:val="16"/>
                <w:szCs w:val="16"/>
              </w:rPr>
              <w:br/>
              <w:t>Continuing treatment</w:t>
            </w:r>
            <w:r w:rsidRPr="00065707">
              <w:rPr>
                <w:rFonts w:ascii="Arial" w:hAnsi="Arial" w:cs="Arial"/>
                <w:sz w:val="16"/>
                <w:szCs w:val="16"/>
              </w:rPr>
              <w:br/>
              <w:t>Must be treated by a psychiatrist; OR</w:t>
            </w:r>
            <w:r w:rsidRPr="00065707">
              <w:rPr>
                <w:rFonts w:ascii="Arial" w:hAnsi="Arial" w:cs="Arial"/>
                <w:sz w:val="16"/>
                <w:szCs w:val="16"/>
              </w:rPr>
              <w:br/>
              <w:t>Must be treated by an authorised medical practitioner, with the agreement of the treating psychiatrist.</w:t>
            </w:r>
            <w:r w:rsidRPr="00065707">
              <w:rPr>
                <w:rFonts w:ascii="Arial" w:hAnsi="Arial" w:cs="Arial"/>
                <w:sz w:val="16"/>
                <w:szCs w:val="16"/>
              </w:rPr>
              <w:br/>
              <w:t>Patient must have previously received PBS-subsidised therapy with this drug for this condition; AND</w:t>
            </w:r>
            <w:r w:rsidRPr="00065707">
              <w:rPr>
                <w:rFonts w:ascii="Arial" w:hAnsi="Arial" w:cs="Arial"/>
                <w:sz w:val="16"/>
                <w:szCs w:val="16"/>
              </w:rPr>
              <w:br/>
              <w:t>Patient must have completed at least 18 weeks therapy; AND</w:t>
            </w:r>
            <w:r w:rsidRPr="00065707">
              <w:rPr>
                <w:rFonts w:ascii="Arial" w:hAnsi="Arial" w:cs="Arial"/>
                <w:sz w:val="16"/>
                <w:szCs w:val="16"/>
              </w:rPr>
              <w:br/>
              <w:t>Patient must be on a clozapine dosage considered stable by a treating psychiatrist; AND</w:t>
            </w:r>
            <w:r w:rsidRPr="00065707">
              <w:rPr>
                <w:rFonts w:ascii="Arial" w:hAnsi="Arial" w:cs="Arial"/>
                <w:sz w:val="16"/>
                <w:szCs w:val="16"/>
              </w:rPr>
              <w:br/>
              <w:t>The treatment must be under the supervision and direction of a psychiatrist reviewing the patient at regular intervals.</w:t>
            </w:r>
            <w:r w:rsidRPr="00065707">
              <w:rPr>
                <w:rFonts w:ascii="Arial" w:hAnsi="Arial" w:cs="Arial"/>
                <w:sz w:val="16"/>
                <w:szCs w:val="16"/>
              </w:rPr>
              <w:br/>
              <w:t>A medical practitioner should request a quantity sufficient for up to one month</w:t>
            </w:r>
            <w:r w:rsidR="00A653CA">
              <w:rPr>
                <w:rFonts w:ascii="Arial" w:hAnsi="Arial" w:cs="Arial"/>
                <w:sz w:val="16"/>
                <w:szCs w:val="16"/>
              </w:rPr>
              <w:t>’</w:t>
            </w:r>
            <w:r w:rsidRPr="00065707">
              <w:rPr>
                <w:rFonts w:ascii="Arial" w:hAnsi="Arial" w:cs="Arial"/>
                <w:sz w:val="16"/>
                <w:szCs w:val="16"/>
              </w:rPr>
              <w:t>s supply. Up to 5 repeats will be authorised.</w:t>
            </w:r>
          </w:p>
        </w:tc>
        <w:tc>
          <w:tcPr>
            <w:tcW w:w="2552" w:type="dxa"/>
            <w:tcBorders>
              <w:bottom w:val="single" w:sz="4" w:space="0" w:color="auto"/>
            </w:tcBorders>
            <w:tcMar>
              <w:top w:w="28" w:type="dxa"/>
              <w:left w:w="28" w:type="dxa"/>
              <w:right w:w="57" w:type="dxa"/>
            </w:tcMar>
          </w:tcPr>
          <w:p w:rsidR="00503DA9" w:rsidRPr="00E857B4" w:rsidDel="00503DA9" w:rsidRDefault="00503DA9" w:rsidP="00F774BF">
            <w:pPr>
              <w:spacing w:line="240" w:lineRule="auto"/>
              <w:rPr>
                <w:rFonts w:ascii="Arial" w:hAnsi="Arial" w:cs="Arial"/>
                <w:sz w:val="16"/>
                <w:szCs w:val="16"/>
              </w:rPr>
            </w:pPr>
            <w:r w:rsidRPr="00065707">
              <w:rPr>
                <w:rFonts w:ascii="Arial" w:hAnsi="Arial" w:cs="Arial"/>
                <w:sz w:val="16"/>
                <w:szCs w:val="16"/>
              </w:rPr>
              <w:t>Compliance with Authority Required procedures - Streamlined Authority Code 4998</w:t>
            </w:r>
          </w:p>
        </w:tc>
      </w:tr>
      <w:tr w:rsidR="00503DA9" w:rsidRPr="00E857B4" w:rsidDel="00503DA9" w:rsidTr="008929EB">
        <w:tc>
          <w:tcPr>
            <w:tcW w:w="1729" w:type="dxa"/>
            <w:tcBorders>
              <w:bottom w:val="single" w:sz="4" w:space="0" w:color="auto"/>
            </w:tcBorders>
            <w:tcMar>
              <w:top w:w="28" w:type="dxa"/>
              <w:left w:w="28" w:type="dxa"/>
            </w:tcMar>
          </w:tcPr>
          <w:p w:rsidR="00503DA9" w:rsidRPr="00E857B4" w:rsidDel="00503DA9" w:rsidRDefault="00503DA9"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503DA9" w:rsidRPr="00E857B4" w:rsidDel="00503DA9" w:rsidRDefault="00503DA9" w:rsidP="00881477">
            <w:pPr>
              <w:spacing w:line="240" w:lineRule="auto"/>
              <w:rPr>
                <w:rFonts w:ascii="Arial" w:hAnsi="Arial" w:cs="Arial"/>
                <w:sz w:val="16"/>
                <w:szCs w:val="16"/>
              </w:rPr>
            </w:pPr>
            <w:r w:rsidRPr="00065707">
              <w:rPr>
                <w:rFonts w:ascii="Arial" w:hAnsi="Arial" w:cs="Arial"/>
                <w:sz w:val="16"/>
                <w:szCs w:val="16"/>
              </w:rPr>
              <w:t>C5015</w:t>
            </w:r>
          </w:p>
        </w:tc>
        <w:tc>
          <w:tcPr>
            <w:tcW w:w="709" w:type="dxa"/>
            <w:tcBorders>
              <w:bottom w:val="single" w:sz="4" w:space="0" w:color="auto"/>
            </w:tcBorders>
            <w:tcMar>
              <w:top w:w="28" w:type="dxa"/>
              <w:left w:w="28" w:type="dxa"/>
            </w:tcMar>
          </w:tcPr>
          <w:p w:rsidR="00503DA9" w:rsidRPr="00E857B4" w:rsidDel="00503DA9" w:rsidRDefault="00503DA9"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503DA9" w:rsidRPr="00E857B4" w:rsidDel="00503DA9" w:rsidRDefault="00503DA9" w:rsidP="00881477">
            <w:pPr>
              <w:spacing w:line="240" w:lineRule="auto"/>
              <w:rPr>
                <w:rFonts w:ascii="Arial" w:hAnsi="Arial" w:cs="Arial"/>
                <w:sz w:val="16"/>
                <w:szCs w:val="16"/>
              </w:rPr>
            </w:pPr>
            <w:r w:rsidRPr="00065707">
              <w:rPr>
                <w:rFonts w:ascii="Arial" w:hAnsi="Arial" w:cs="Arial"/>
                <w:sz w:val="16"/>
                <w:szCs w:val="16"/>
              </w:rPr>
              <w:t>Schizophrenia</w:t>
            </w:r>
            <w:r w:rsidRPr="00065707">
              <w:rPr>
                <w:rFonts w:ascii="Arial" w:hAnsi="Arial" w:cs="Arial"/>
                <w:sz w:val="16"/>
                <w:szCs w:val="16"/>
              </w:rPr>
              <w:br/>
              <w:t>Initial treatment</w:t>
            </w:r>
            <w:r w:rsidRPr="00065707">
              <w:rPr>
                <w:rFonts w:ascii="Arial" w:hAnsi="Arial" w:cs="Arial"/>
                <w:sz w:val="16"/>
                <w:szCs w:val="16"/>
              </w:rPr>
              <w:br/>
              <w:t>Must be treated by a psychiatrist or in consultation with the psychiatrist affiliated with the hospital or specialised unit managing the patient.</w:t>
            </w:r>
            <w:r w:rsidRPr="00065707">
              <w:rPr>
                <w:rFonts w:ascii="Arial" w:hAnsi="Arial" w:cs="Arial"/>
                <w:sz w:val="16"/>
                <w:szCs w:val="16"/>
              </w:rPr>
              <w:br/>
              <w:t>Patient must be non-responsive to other neuroleptic agents; OR</w:t>
            </w:r>
            <w:r w:rsidRPr="00065707">
              <w:rPr>
                <w:rFonts w:ascii="Arial" w:hAnsi="Arial" w:cs="Arial"/>
                <w:sz w:val="16"/>
                <w:szCs w:val="16"/>
              </w:rPr>
              <w:br/>
              <w:t>Patient must be intolerant of other neuroleptic agents.</w:t>
            </w:r>
            <w:r w:rsidRPr="00065707">
              <w:rPr>
                <w:rFonts w:ascii="Arial" w:hAnsi="Arial" w:cs="Arial"/>
                <w:sz w:val="16"/>
                <w:szCs w:val="16"/>
              </w:rPr>
              <w:br/>
              <w:t>Patients must complete at least 18 weeks of initial treatment under this restriction before being able to qualify for treatment under the continuing restriction.</w:t>
            </w:r>
            <w:r w:rsidRPr="00065707">
              <w:rPr>
                <w:rFonts w:ascii="Arial" w:hAnsi="Arial" w:cs="Arial"/>
                <w:sz w:val="16"/>
                <w:szCs w:val="16"/>
              </w:rPr>
              <w:br/>
              <w:t>The name of the consulting psychiatrist should be included in the patient</w:t>
            </w:r>
            <w:r w:rsidR="00A653CA">
              <w:rPr>
                <w:rFonts w:ascii="Arial" w:hAnsi="Arial" w:cs="Arial"/>
                <w:sz w:val="16"/>
                <w:szCs w:val="16"/>
              </w:rPr>
              <w:t>’</w:t>
            </w:r>
            <w:r w:rsidRPr="00065707">
              <w:rPr>
                <w:rFonts w:ascii="Arial" w:hAnsi="Arial" w:cs="Arial"/>
                <w:sz w:val="16"/>
                <w:szCs w:val="16"/>
              </w:rPr>
              <w:t>s medical records.</w:t>
            </w:r>
            <w:r w:rsidRPr="00065707">
              <w:rPr>
                <w:rFonts w:ascii="Arial" w:hAnsi="Arial" w:cs="Arial"/>
                <w:sz w:val="16"/>
                <w:szCs w:val="16"/>
              </w:rPr>
              <w:br/>
              <w:t>A medical practitioner should request a quantity sufficient for up to one month</w:t>
            </w:r>
            <w:r w:rsidR="00A653CA">
              <w:rPr>
                <w:rFonts w:ascii="Arial" w:hAnsi="Arial" w:cs="Arial"/>
                <w:sz w:val="16"/>
                <w:szCs w:val="16"/>
              </w:rPr>
              <w:t>’</w:t>
            </w:r>
            <w:r w:rsidRPr="00065707">
              <w:rPr>
                <w:rFonts w:ascii="Arial" w:hAnsi="Arial" w:cs="Arial"/>
                <w:sz w:val="16"/>
                <w:szCs w:val="16"/>
              </w:rPr>
              <w:t>s supply. Up to 5 repeats will be authorised.</w:t>
            </w:r>
          </w:p>
        </w:tc>
        <w:tc>
          <w:tcPr>
            <w:tcW w:w="2552" w:type="dxa"/>
            <w:tcBorders>
              <w:bottom w:val="single" w:sz="4" w:space="0" w:color="auto"/>
            </w:tcBorders>
            <w:tcMar>
              <w:top w:w="28" w:type="dxa"/>
              <w:left w:w="28" w:type="dxa"/>
              <w:right w:w="57" w:type="dxa"/>
            </w:tcMar>
          </w:tcPr>
          <w:p w:rsidR="00503DA9" w:rsidRPr="00E857B4" w:rsidDel="00503DA9" w:rsidRDefault="00503DA9" w:rsidP="00F774BF">
            <w:pPr>
              <w:spacing w:line="240" w:lineRule="auto"/>
              <w:rPr>
                <w:rFonts w:ascii="Arial" w:hAnsi="Arial" w:cs="Arial"/>
                <w:sz w:val="16"/>
                <w:szCs w:val="16"/>
              </w:rPr>
            </w:pPr>
            <w:r w:rsidRPr="00065707">
              <w:rPr>
                <w:rFonts w:ascii="Arial" w:hAnsi="Arial" w:cs="Arial"/>
                <w:sz w:val="16"/>
                <w:szCs w:val="16"/>
              </w:rPr>
              <w:t>Compliance with Authority Required procedures - Streamlined Authority Code 5015</w:t>
            </w:r>
          </w:p>
        </w:tc>
      </w:tr>
      <w:tr w:rsidR="00F05C1E" w:rsidRPr="00E106BD" w:rsidDel="002D20DA" w:rsidTr="008929EB">
        <w:tc>
          <w:tcPr>
            <w:tcW w:w="1729" w:type="dxa"/>
            <w:tcBorders>
              <w:bottom w:val="single" w:sz="4" w:space="0" w:color="auto"/>
            </w:tcBorders>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C9490</w:t>
            </w:r>
          </w:p>
        </w:tc>
        <w:tc>
          <w:tcPr>
            <w:tcW w:w="709" w:type="dxa"/>
            <w:tcBorders>
              <w:bottom w:val="single" w:sz="4" w:space="0" w:color="auto"/>
            </w:tcBorders>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Schizophrenia</w:t>
            </w:r>
            <w:r w:rsidRPr="00E106BD">
              <w:rPr>
                <w:rFonts w:ascii="Arial" w:hAnsi="Arial" w:cs="Arial"/>
                <w:sz w:val="16"/>
                <w:szCs w:val="16"/>
              </w:rPr>
              <w:br/>
              <w:t>Initial treatment</w:t>
            </w:r>
            <w:r w:rsidRPr="00E106BD">
              <w:rPr>
                <w:rFonts w:ascii="Arial" w:hAnsi="Arial" w:cs="Arial"/>
                <w:sz w:val="16"/>
                <w:szCs w:val="16"/>
              </w:rPr>
              <w:br/>
              <w:t>Must be treated by a psychiatrist or in consultation with the psychiatrist affiliated with the hospital or specialised unit managing the patient.</w:t>
            </w:r>
            <w:r w:rsidRPr="00E106BD">
              <w:rPr>
                <w:rFonts w:ascii="Arial" w:hAnsi="Arial" w:cs="Arial"/>
                <w:sz w:val="16"/>
                <w:szCs w:val="16"/>
              </w:rPr>
              <w:br/>
              <w:t>Patient must be non</w:t>
            </w:r>
            <w:r>
              <w:rPr>
                <w:rFonts w:ascii="Arial" w:hAnsi="Arial" w:cs="Arial"/>
                <w:sz w:val="16"/>
                <w:szCs w:val="16"/>
              </w:rPr>
              <w:noBreakHyphen/>
            </w:r>
            <w:r w:rsidRPr="00E106BD">
              <w:rPr>
                <w:rFonts w:ascii="Arial" w:hAnsi="Arial" w:cs="Arial"/>
                <w:sz w:val="16"/>
                <w:szCs w:val="16"/>
              </w:rPr>
              <w:t>responsive to other neuroleptic agents; OR</w:t>
            </w:r>
            <w:r w:rsidRPr="00E106BD">
              <w:rPr>
                <w:rFonts w:ascii="Arial" w:hAnsi="Arial" w:cs="Arial"/>
                <w:sz w:val="16"/>
                <w:szCs w:val="16"/>
              </w:rPr>
              <w:br/>
              <w:t>Patient must be intolerant of other neuroleptic agents.</w:t>
            </w:r>
            <w:r w:rsidRPr="00E106BD">
              <w:rPr>
                <w:rFonts w:ascii="Arial" w:hAnsi="Arial" w:cs="Arial"/>
                <w:sz w:val="16"/>
                <w:szCs w:val="16"/>
              </w:rPr>
              <w:br/>
              <w:t>Patients must complete at least 18 weeks of initial treatment under this restriction before being able to qualify for treatment under the continuing restriction.</w:t>
            </w:r>
            <w:r w:rsidRPr="00E106BD">
              <w:rPr>
                <w:rFonts w:ascii="Arial" w:hAnsi="Arial" w:cs="Arial"/>
                <w:sz w:val="16"/>
                <w:szCs w:val="16"/>
              </w:rPr>
              <w:br/>
              <w:t>The name of the consulting psychiatrist should be included in the patient</w:t>
            </w:r>
            <w:r w:rsidR="00A653CA">
              <w:rPr>
                <w:rFonts w:ascii="Arial" w:hAnsi="Arial" w:cs="Arial"/>
                <w:sz w:val="16"/>
                <w:szCs w:val="16"/>
              </w:rPr>
              <w:t>’</w:t>
            </w:r>
            <w:r w:rsidRPr="00E106BD">
              <w:rPr>
                <w:rFonts w:ascii="Arial" w:hAnsi="Arial" w:cs="Arial"/>
                <w:sz w:val="16"/>
                <w:szCs w:val="16"/>
              </w:rPr>
              <w:t>s medical records.</w:t>
            </w:r>
            <w:r w:rsidRPr="00E106BD">
              <w:rPr>
                <w:rFonts w:ascii="Arial" w:hAnsi="Arial" w:cs="Arial"/>
                <w:sz w:val="16"/>
                <w:szCs w:val="16"/>
              </w:rPr>
              <w:br/>
              <w:t>A medical practitioner should request a quantity sufficient for up to one month</w:t>
            </w:r>
            <w:r w:rsidR="00A653CA">
              <w:rPr>
                <w:rFonts w:ascii="Arial" w:hAnsi="Arial" w:cs="Arial"/>
                <w:sz w:val="16"/>
                <w:szCs w:val="16"/>
              </w:rPr>
              <w:t>’</w:t>
            </w:r>
            <w:r w:rsidRPr="00E106BD">
              <w:rPr>
                <w:rFonts w:ascii="Arial" w:hAnsi="Arial" w:cs="Arial"/>
                <w:sz w:val="16"/>
                <w:szCs w:val="16"/>
              </w:rPr>
              <w:t>s supply. Up to 5 repeats will be authorised.</w:t>
            </w:r>
          </w:p>
        </w:tc>
        <w:tc>
          <w:tcPr>
            <w:tcW w:w="2552" w:type="dxa"/>
            <w:tcBorders>
              <w:bottom w:val="single" w:sz="4" w:space="0" w:color="auto"/>
            </w:tcBorders>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9490</w:t>
            </w:r>
          </w:p>
        </w:tc>
      </w:tr>
      <w:tr w:rsidR="00F05C1E" w:rsidRPr="00E106BD" w:rsidDel="00E02E18" w:rsidTr="008929EB">
        <w:trPr>
          <w:cantSplit/>
        </w:trPr>
        <w:tc>
          <w:tcPr>
            <w:tcW w:w="1729" w:type="dxa"/>
            <w:tcMar>
              <w:top w:w="28" w:type="dxa"/>
              <w:left w:w="28" w:type="dxa"/>
            </w:tcMar>
          </w:tcPr>
          <w:p w:rsidR="00F05C1E" w:rsidRPr="00E106BD" w:rsidDel="00E02E18" w:rsidRDefault="00F05C1E" w:rsidP="00881477">
            <w:pPr>
              <w:spacing w:line="240" w:lineRule="auto"/>
              <w:rPr>
                <w:rFonts w:ascii="Arial" w:hAnsi="Arial" w:cs="Arial"/>
                <w:sz w:val="16"/>
                <w:szCs w:val="16"/>
              </w:rPr>
            </w:pPr>
            <w:bookmarkStart w:id="101" w:name="CU_71237633"/>
            <w:bookmarkStart w:id="102" w:name="CU_79240660"/>
            <w:bookmarkEnd w:id="101"/>
            <w:bookmarkEnd w:id="102"/>
            <w:r w:rsidRPr="00E106BD">
              <w:rPr>
                <w:rFonts w:ascii="Arial" w:hAnsi="Arial" w:cs="Arial"/>
                <w:sz w:val="16"/>
                <w:szCs w:val="16"/>
              </w:rPr>
              <w:t>Darbepoetin Alfa</w:t>
            </w:r>
          </w:p>
        </w:tc>
        <w:tc>
          <w:tcPr>
            <w:tcW w:w="709" w:type="dxa"/>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C6294</w:t>
            </w:r>
          </w:p>
        </w:tc>
        <w:tc>
          <w:tcPr>
            <w:tcW w:w="709" w:type="dxa"/>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require transfusion;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a haemoglobin level of less than 100 g per L; AND</w:t>
            </w:r>
          </w:p>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Patient must have intrinsic renal disease, as assessed by a nephrologist.</w:t>
            </w:r>
          </w:p>
        </w:tc>
        <w:tc>
          <w:tcPr>
            <w:tcW w:w="2552" w:type="dxa"/>
            <w:tcMar>
              <w:top w:w="28" w:type="dxa"/>
              <w:left w:w="28" w:type="dxa"/>
              <w:right w:w="57" w:type="dxa"/>
            </w:tcMar>
          </w:tcPr>
          <w:p w:rsidR="00F05C1E" w:rsidRPr="00E106BD" w:rsidDel="00E02E18"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6294</w:t>
            </w:r>
          </w:p>
        </w:tc>
      </w:tr>
      <w:tr w:rsidR="00F05C1E" w:rsidRPr="00E106BD" w:rsidDel="00E02E18" w:rsidTr="008929EB">
        <w:trPr>
          <w:cantSplit/>
        </w:trPr>
        <w:tc>
          <w:tcPr>
            <w:tcW w:w="1729" w:type="dxa"/>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C9688</w:t>
            </w:r>
          </w:p>
        </w:tc>
        <w:tc>
          <w:tcPr>
            <w:tcW w:w="709" w:type="dxa"/>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9688</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Darunavir</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C4313</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Human immunodeficiency virus (HIV) infection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in addition to optimised background therapy,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in combination with other antiretroviral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co</w:t>
            </w:r>
            <w:r>
              <w:rPr>
                <w:rFonts w:ascii="Arial" w:hAnsi="Arial" w:cs="Arial"/>
                <w:sz w:val="16"/>
                <w:szCs w:val="16"/>
              </w:rPr>
              <w:noBreakHyphen/>
            </w:r>
            <w:r w:rsidRPr="00E106BD">
              <w:rPr>
                <w:rFonts w:ascii="Arial" w:hAnsi="Arial" w:cs="Arial"/>
                <w:sz w:val="16"/>
                <w:szCs w:val="16"/>
              </w:rPr>
              <w:t>administered with 100 mg ritonavir,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experienced virological failure or clinical failure or genotypic resistance after at least one antiretroviral regimen,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not have demonstrated darunavir resistance associated mutations detected on resistance testing.</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Virological failure is defined as a viral load greater than 400 copies per mL on two consecutive occasions, while clinical failure is linked to emerging signs and symptoms of progressing HIV infection or treatment</w:t>
            </w:r>
            <w:r>
              <w:rPr>
                <w:rFonts w:ascii="Arial" w:hAnsi="Arial" w:cs="Arial"/>
                <w:sz w:val="16"/>
                <w:szCs w:val="16"/>
              </w:rPr>
              <w:noBreakHyphen/>
            </w:r>
            <w:r w:rsidRPr="00E106BD">
              <w:rPr>
                <w:rFonts w:ascii="Arial" w:hAnsi="Arial" w:cs="Arial"/>
                <w:sz w:val="16"/>
                <w:szCs w:val="16"/>
              </w:rPr>
              <w:t>limiting toxicity.</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4313</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C5094</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Human immunodeficiency virus (HIV) infection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in addition to optimised background therapy,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in combination with other antiretroviral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co</w:t>
            </w:r>
            <w:r>
              <w:rPr>
                <w:rFonts w:ascii="Arial" w:hAnsi="Arial" w:cs="Arial"/>
                <w:sz w:val="16"/>
                <w:szCs w:val="16"/>
              </w:rPr>
              <w:noBreakHyphen/>
            </w:r>
            <w:r w:rsidRPr="00E106BD">
              <w:rPr>
                <w:rFonts w:ascii="Arial" w:hAnsi="Arial" w:cs="Arial"/>
                <w:sz w:val="16"/>
                <w:szCs w:val="16"/>
              </w:rPr>
              <w:t>administered with 100 mg ritonavir twice daily,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experienced virological failure or clinical failure or genotypic resistance after at least one antiretroviral regimen.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Virological failure is defined as a viral load greater than 400 copies per mL on two consecutive occasions, while clinical failure is linked to emerging signs and symptoms of progressing HIV infection or treatment</w:t>
            </w:r>
            <w:r>
              <w:rPr>
                <w:rFonts w:ascii="Arial" w:hAnsi="Arial" w:cs="Arial"/>
                <w:sz w:val="16"/>
                <w:szCs w:val="16"/>
              </w:rPr>
              <w:noBreakHyphen/>
            </w:r>
            <w:r w:rsidRPr="00E106BD">
              <w:rPr>
                <w:rFonts w:ascii="Arial" w:hAnsi="Arial" w:cs="Arial"/>
                <w:sz w:val="16"/>
                <w:szCs w:val="16"/>
              </w:rPr>
              <w:t>limiting toxicity.</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5094</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Darunavir with cobicistat</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C6377</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szCs w:val="16"/>
              </w:rPr>
            </w:pPr>
            <w:r w:rsidRPr="00E106BD">
              <w:rPr>
                <w:rFonts w:ascii="Arial" w:hAnsi="Arial" w:cs="Arial"/>
                <w:sz w:val="16"/>
                <w:szCs w:val="16"/>
              </w:rPr>
              <w:t>Human immunodeficiency virus (HIV) infection</w:t>
            </w:r>
          </w:p>
          <w:p w:rsidR="00F05C1E" w:rsidRPr="00E106BD" w:rsidRDefault="00F05C1E" w:rsidP="00881477">
            <w:pPr>
              <w:spacing w:line="240" w:lineRule="auto"/>
              <w:rPr>
                <w:szCs w:val="16"/>
              </w:rPr>
            </w:pPr>
            <w:r w:rsidRPr="00E106BD">
              <w:rPr>
                <w:rFonts w:ascii="Arial" w:hAnsi="Arial" w:cs="Arial"/>
                <w:sz w:val="16"/>
                <w:szCs w:val="16"/>
              </w:rPr>
              <w:t>The treatment must be in addition to optimised background therapy; AND</w:t>
            </w:r>
          </w:p>
          <w:p w:rsidR="00F05C1E" w:rsidRPr="00E106BD" w:rsidRDefault="00F05C1E" w:rsidP="00881477">
            <w:pPr>
              <w:spacing w:line="240" w:lineRule="auto"/>
              <w:rPr>
                <w:szCs w:val="16"/>
              </w:rPr>
            </w:pPr>
            <w:r w:rsidRPr="00E106BD">
              <w:rPr>
                <w:rFonts w:ascii="Arial" w:hAnsi="Arial" w:cs="Arial"/>
                <w:sz w:val="16"/>
                <w:szCs w:val="16"/>
              </w:rPr>
              <w:t>The treatment must be in combination with other antiretroviral agents; AND</w:t>
            </w:r>
          </w:p>
          <w:p w:rsidR="00F05C1E" w:rsidRPr="00E106BD" w:rsidRDefault="00F05C1E" w:rsidP="00881477">
            <w:pPr>
              <w:spacing w:line="240" w:lineRule="auto"/>
              <w:rPr>
                <w:szCs w:val="16"/>
              </w:rPr>
            </w:pPr>
            <w:r w:rsidRPr="00E106BD">
              <w:rPr>
                <w:rFonts w:ascii="Arial" w:hAnsi="Arial" w:cs="Arial"/>
                <w:sz w:val="16"/>
                <w:szCs w:val="16"/>
              </w:rPr>
              <w:t>The treatment must not be in combination with ritonavir; AND</w:t>
            </w:r>
          </w:p>
          <w:p w:rsidR="00F05C1E" w:rsidRPr="00E106BD" w:rsidRDefault="00F05C1E" w:rsidP="00881477">
            <w:pPr>
              <w:spacing w:line="240" w:lineRule="auto"/>
              <w:rPr>
                <w:szCs w:val="16"/>
              </w:rPr>
            </w:pPr>
            <w:r w:rsidRPr="00E106BD">
              <w:rPr>
                <w:rFonts w:ascii="Arial" w:hAnsi="Arial" w:cs="Arial"/>
                <w:sz w:val="16"/>
                <w:szCs w:val="16"/>
              </w:rPr>
              <w:t>Patient must have experienced virological failure or clinical failure or genotypic resistance after at least one antiretroviral regimen.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Virological failure is defined as a viral load greater than 400 copies per mL on two consecutive occasions, while clinical failure is linked to emerging signs and symptoms of progressing HIV infection or treatment</w:t>
            </w:r>
            <w:r>
              <w:rPr>
                <w:rFonts w:ascii="Arial" w:hAnsi="Arial" w:cs="Arial"/>
                <w:sz w:val="16"/>
                <w:szCs w:val="16"/>
              </w:rPr>
              <w:noBreakHyphen/>
            </w:r>
            <w:r w:rsidRPr="00E106BD">
              <w:rPr>
                <w:rFonts w:ascii="Arial" w:hAnsi="Arial" w:cs="Arial"/>
                <w:sz w:val="16"/>
                <w:szCs w:val="16"/>
              </w:rPr>
              <w:t>limiting toxicity.</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6377</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C6413</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szCs w:val="16"/>
              </w:rPr>
            </w:pPr>
            <w:r w:rsidRPr="00E106BD">
              <w:rPr>
                <w:rFonts w:ascii="Arial" w:hAnsi="Arial" w:cs="Arial"/>
                <w:sz w:val="16"/>
                <w:szCs w:val="16"/>
              </w:rPr>
              <w:t>Human immunodeficiency virus (HIV) infection</w:t>
            </w:r>
          </w:p>
          <w:p w:rsidR="00F05C1E" w:rsidRPr="00E106BD" w:rsidRDefault="00F05C1E" w:rsidP="00881477">
            <w:pPr>
              <w:spacing w:line="240" w:lineRule="auto"/>
              <w:rPr>
                <w:szCs w:val="16"/>
              </w:rPr>
            </w:pPr>
            <w:r w:rsidRPr="00E106BD">
              <w:rPr>
                <w:rFonts w:ascii="Arial" w:hAnsi="Arial" w:cs="Arial"/>
                <w:sz w:val="16"/>
                <w:szCs w:val="16"/>
              </w:rPr>
              <w:t>Initial treatment</w:t>
            </w:r>
          </w:p>
          <w:p w:rsidR="00F05C1E" w:rsidRPr="00E106BD" w:rsidRDefault="00F05C1E" w:rsidP="00881477">
            <w:pPr>
              <w:spacing w:line="240" w:lineRule="auto"/>
              <w:rPr>
                <w:szCs w:val="16"/>
              </w:rPr>
            </w:pPr>
            <w:r w:rsidRPr="00E106BD">
              <w:rPr>
                <w:rFonts w:ascii="Arial" w:hAnsi="Arial" w:cs="Arial"/>
                <w:sz w:val="16"/>
                <w:szCs w:val="16"/>
              </w:rPr>
              <w:t>Patient must be antiretroviral treatment naive; AND</w:t>
            </w:r>
          </w:p>
          <w:p w:rsidR="00F05C1E" w:rsidRPr="00E106BD" w:rsidRDefault="00F05C1E" w:rsidP="00881477">
            <w:pPr>
              <w:spacing w:line="240" w:lineRule="auto"/>
              <w:rPr>
                <w:szCs w:val="16"/>
              </w:rPr>
            </w:pPr>
            <w:r w:rsidRPr="00E106BD">
              <w:rPr>
                <w:rFonts w:ascii="Arial" w:hAnsi="Arial" w:cs="Arial"/>
                <w:sz w:val="16"/>
                <w:szCs w:val="16"/>
              </w:rPr>
              <w:t>The treatment must be in combination with other antiretroviral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not be in combination with ritonavir.</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6413</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C6428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szCs w:val="16"/>
              </w:rPr>
            </w:pPr>
            <w:r w:rsidRPr="00E106BD">
              <w:rPr>
                <w:rFonts w:ascii="Arial" w:hAnsi="Arial" w:cs="Arial"/>
                <w:sz w:val="16"/>
                <w:szCs w:val="16"/>
              </w:rPr>
              <w:t>Human immunodeficiency virus (HIV) infection</w:t>
            </w:r>
          </w:p>
          <w:p w:rsidR="00F05C1E" w:rsidRPr="00E106BD" w:rsidRDefault="00F05C1E" w:rsidP="00881477">
            <w:pPr>
              <w:spacing w:line="240" w:lineRule="auto"/>
              <w:rPr>
                <w:szCs w:val="16"/>
              </w:rPr>
            </w:pPr>
            <w:r w:rsidRPr="00E106BD">
              <w:rPr>
                <w:rFonts w:ascii="Arial" w:hAnsi="Arial" w:cs="Arial"/>
                <w:sz w:val="16"/>
                <w:szCs w:val="16"/>
              </w:rPr>
              <w:t>Continuing treatment</w:t>
            </w:r>
          </w:p>
          <w:p w:rsidR="00F05C1E" w:rsidRPr="00E106BD" w:rsidRDefault="00F05C1E" w:rsidP="00881477">
            <w:pPr>
              <w:spacing w:line="240" w:lineRule="auto"/>
              <w:rPr>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p>
          <w:p w:rsidR="00F05C1E" w:rsidRPr="00E106BD" w:rsidRDefault="00F05C1E" w:rsidP="00881477">
            <w:pPr>
              <w:spacing w:line="240" w:lineRule="auto"/>
              <w:rPr>
                <w:szCs w:val="16"/>
              </w:rPr>
            </w:pPr>
            <w:r w:rsidRPr="00E106BD">
              <w:rPr>
                <w:rFonts w:ascii="Arial" w:hAnsi="Arial" w:cs="Arial"/>
                <w:sz w:val="16"/>
                <w:szCs w:val="16"/>
              </w:rPr>
              <w:t>The treatment must be in combination with other antiretroviral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not be in combination with ritonavir.</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6428</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eastAsia="Arial" w:hAnsi="Arial" w:cs="Arial"/>
                <w:sz w:val="16"/>
                <w:szCs w:val="22"/>
                <w:lang w:eastAsia="zh-CN"/>
              </w:rPr>
              <w:t>Darunavir with cobicistat, emtricitabine and tenofovir alafenamide</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eastAsia="Arial" w:hAnsi="Arial" w:cs="Arial"/>
                <w:sz w:val="16"/>
                <w:szCs w:val="22"/>
                <w:lang w:eastAsia="zh-CN"/>
              </w:rPr>
              <w:t xml:space="preserve">C10317 </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pStyle w:val="mps3-data"/>
              <w:spacing w:before="0" w:after="0"/>
              <w:rPr>
                <w:rFonts w:eastAsia="Times New Roman"/>
                <w:szCs w:val="16"/>
                <w:lang w:eastAsia="en-US"/>
              </w:rPr>
            </w:pPr>
            <w:r w:rsidRPr="00E106BD">
              <w:t>HIV infection</w:t>
            </w:r>
            <w:r w:rsidRPr="00E106BD">
              <w:br/>
              <w:t>Continuing treatment</w:t>
            </w:r>
            <w:r w:rsidRPr="00E106BD">
              <w:br/>
              <w:t>Must be treated by a medical practitioner or an authorised nurse practitioner in consultation with a medical practitioner.</w:t>
            </w:r>
            <w:r w:rsidRPr="00E106BD">
              <w:br/>
              <w:t>Patient must have previously received PBS</w:t>
            </w:r>
            <w:r>
              <w:noBreakHyphen/>
            </w:r>
            <w:r w:rsidRPr="00E106BD">
              <w:t>subsidised therapy for HIV infection; AND</w:t>
            </w:r>
            <w:r w:rsidRPr="00E106BD">
              <w:br/>
              <w:t>The treatment must not be in combination with ritonavir.</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eastAsia="Arial" w:hAnsi="Arial" w:cs="Arial"/>
                <w:sz w:val="16"/>
                <w:szCs w:val="22"/>
                <w:lang w:eastAsia="zh-CN"/>
              </w:rPr>
              <w:t xml:space="preserve">Compliance with Authority Required procedures </w:t>
            </w:r>
            <w:r>
              <w:rPr>
                <w:rFonts w:ascii="Arial" w:eastAsia="Arial" w:hAnsi="Arial" w:cs="Arial"/>
                <w:sz w:val="16"/>
                <w:szCs w:val="22"/>
                <w:lang w:eastAsia="zh-CN"/>
              </w:rPr>
              <w:noBreakHyphen/>
            </w:r>
            <w:r w:rsidRPr="00E106BD">
              <w:rPr>
                <w:rFonts w:ascii="Arial" w:eastAsia="Arial" w:hAnsi="Arial" w:cs="Arial"/>
                <w:sz w:val="16"/>
                <w:szCs w:val="22"/>
                <w:lang w:eastAsia="zh-CN"/>
              </w:rPr>
              <w:t xml:space="preserve"> Streamlined Authority Code 10317</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eastAsia="Arial" w:hAnsi="Arial" w:cs="Arial"/>
                <w:sz w:val="16"/>
                <w:szCs w:val="22"/>
                <w:lang w:eastAsia="zh-CN"/>
              </w:rPr>
              <w:t>C10324</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pStyle w:val="mps3-data"/>
              <w:spacing w:before="0" w:after="0"/>
              <w:rPr>
                <w:rFonts w:eastAsia="Times New Roman"/>
                <w:szCs w:val="16"/>
                <w:lang w:eastAsia="en-US"/>
              </w:rPr>
            </w:pPr>
            <w:r w:rsidRPr="00E106BD">
              <w:t>HIV infection</w:t>
            </w:r>
            <w:r w:rsidRPr="00E106BD">
              <w:br/>
              <w:t>Initial treatment</w:t>
            </w:r>
            <w:r w:rsidRPr="00E106BD">
              <w:br/>
              <w:t>Must be treated by a medical practitioner or an authorised nurse practitioner in consultation with a medical practitioner.</w:t>
            </w:r>
            <w:r w:rsidRPr="00E106BD">
              <w:br/>
              <w:t>Patient must be antiretroviral treatment naive; OR</w:t>
            </w:r>
            <w:r w:rsidRPr="00E106BD">
              <w:br/>
              <w:t>Patient must have experienced virological failure or clinical failure or genotypic resistance after at least one antiretroviral regimen; AND</w:t>
            </w:r>
            <w:r w:rsidRPr="00E106BD">
              <w:br/>
              <w:t>The treatment must not be in combination with ritonavir.</w:t>
            </w:r>
            <w:r w:rsidRPr="00E106BD">
              <w:br/>
              <w:t>Virological failure is defined as a viral load greater than 400 copies per mL on two consecutive occasions, while clinical failure is linked to emerging signs and symptoms of progressing HIV infection or treatment</w:t>
            </w:r>
            <w:r>
              <w:noBreakHyphen/>
            </w:r>
            <w:r w:rsidRPr="00E106BD">
              <w:t>limiting toxicity.</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eastAsia="Arial" w:hAnsi="Arial" w:cs="Arial"/>
                <w:sz w:val="16"/>
                <w:szCs w:val="22"/>
                <w:lang w:eastAsia="zh-CN"/>
              </w:rPr>
              <w:t xml:space="preserve">Compliance with Authority Required procedures </w:t>
            </w:r>
            <w:r>
              <w:rPr>
                <w:rFonts w:ascii="Arial" w:eastAsia="Arial" w:hAnsi="Arial" w:cs="Arial"/>
                <w:sz w:val="16"/>
                <w:szCs w:val="22"/>
                <w:lang w:eastAsia="zh-CN"/>
              </w:rPr>
              <w:noBreakHyphen/>
            </w:r>
            <w:r w:rsidRPr="00E106BD">
              <w:rPr>
                <w:rFonts w:ascii="Arial" w:eastAsia="Arial" w:hAnsi="Arial" w:cs="Arial"/>
                <w:sz w:val="16"/>
                <w:szCs w:val="22"/>
                <w:lang w:eastAsia="zh-CN"/>
              </w:rPr>
              <w:t xml:space="preserve"> Streamlined Authority Code 10324</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Deferasirox</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C7374</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P7374</w:t>
            </w:r>
          </w:p>
        </w:tc>
        <w:tc>
          <w:tcPr>
            <w:tcW w:w="7654" w:type="dxa"/>
            <w:tcMar>
              <w:top w:w="28" w:type="dxa"/>
              <w:left w:w="28" w:type="dxa"/>
            </w:tcMar>
          </w:tcPr>
          <w:p w:rsidR="00F05C1E" w:rsidRPr="00E106BD" w:rsidRDefault="00F05C1E" w:rsidP="00881477">
            <w:pPr>
              <w:pStyle w:val="mps3-data"/>
              <w:spacing w:before="0" w:after="0"/>
              <w:rPr>
                <w:rFonts w:eastAsia="Times New Roman"/>
                <w:szCs w:val="16"/>
                <w:lang w:eastAsia="en-US"/>
              </w:rPr>
            </w:pPr>
            <w:r w:rsidRPr="00E106BD">
              <w:rPr>
                <w:rFonts w:eastAsia="Times New Roman"/>
                <w:szCs w:val="16"/>
                <w:lang w:eastAsia="en-US"/>
              </w:rPr>
              <w:t>Chronic iron overload</w:t>
            </w:r>
          </w:p>
          <w:p w:rsidR="00F05C1E" w:rsidRPr="00E106BD" w:rsidRDefault="00F05C1E" w:rsidP="00881477">
            <w:pPr>
              <w:pStyle w:val="mps3-data"/>
              <w:spacing w:before="0" w:after="0"/>
              <w:rPr>
                <w:rFonts w:eastAsia="Times New Roman"/>
                <w:szCs w:val="16"/>
                <w:lang w:eastAsia="en-US"/>
              </w:rPr>
            </w:pPr>
            <w:r w:rsidRPr="00E106BD">
              <w:rPr>
                <w:rFonts w:eastAsia="Times New Roman"/>
                <w:szCs w:val="16"/>
                <w:lang w:eastAsia="en-US"/>
              </w:rPr>
              <w:t>Initial treatment</w:t>
            </w:r>
          </w:p>
          <w:p w:rsidR="00F05C1E" w:rsidRPr="00E106BD" w:rsidRDefault="00F05C1E" w:rsidP="00881477">
            <w:pPr>
              <w:pStyle w:val="mps3-data"/>
              <w:spacing w:before="0" w:after="0"/>
              <w:rPr>
                <w:rFonts w:eastAsia="Times New Roman"/>
                <w:szCs w:val="16"/>
                <w:lang w:eastAsia="en-US"/>
              </w:rPr>
            </w:pPr>
            <w:r w:rsidRPr="00E106BD">
              <w:rPr>
                <w:rFonts w:eastAsia="Times New Roman"/>
                <w:szCs w:val="16"/>
                <w:lang w:eastAsia="en-US"/>
              </w:rPr>
              <w:t>Patient must not be transfusion dependent;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thalassaemia.</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C7375</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P7375</w:t>
            </w:r>
          </w:p>
        </w:tc>
        <w:tc>
          <w:tcPr>
            <w:tcW w:w="7654" w:type="dxa"/>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Chronic iron overload</w:t>
            </w:r>
          </w:p>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Initial treatment</w:t>
            </w:r>
          </w:p>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Patient must be transfusion dependent;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not have a malignant disorder of erythropoiesis.</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C7385</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P7385</w:t>
            </w:r>
          </w:p>
        </w:tc>
        <w:tc>
          <w:tcPr>
            <w:tcW w:w="7654" w:type="dxa"/>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Chronic iron overload</w:t>
            </w:r>
          </w:p>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Initial treatment</w:t>
            </w:r>
          </w:p>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Patient must be red blood cell transfusion dependent; AND</w:t>
            </w:r>
          </w:p>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Patient must have a serum ferritin level of greater than 1000 microgram/L; AND</w:t>
            </w:r>
          </w:p>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Patient must have a malignant disorder of haemopoiesis;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a median life expectancy exceeding five years.</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C8326</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P8326</w:t>
            </w:r>
          </w:p>
        </w:tc>
        <w:tc>
          <w:tcPr>
            <w:tcW w:w="7654" w:type="dxa"/>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Chronic iron overload</w:t>
            </w:r>
            <w:r w:rsidRPr="00E106BD">
              <w:rPr>
                <w:rFonts w:eastAsiaTheme="minorHAnsi"/>
                <w:szCs w:val="16"/>
                <w:lang w:eastAsia="en-US"/>
              </w:rPr>
              <w:br/>
              <w:t>Continuing treatment</w:t>
            </w:r>
            <w:r w:rsidRPr="00E106BD">
              <w:rPr>
                <w:rFonts w:eastAsiaTheme="minorHAnsi"/>
                <w:szCs w:val="16"/>
                <w:lang w:eastAsia="en-US"/>
              </w:rPr>
              <w:br/>
              <w:t>Patient must be red blood cell transfusion dependent; AND</w:t>
            </w:r>
            <w:r w:rsidRPr="00E106BD">
              <w:rPr>
                <w:rFonts w:eastAsiaTheme="minorHAnsi"/>
                <w:szCs w:val="16"/>
                <w:lang w:eastAsia="en-US"/>
              </w:rPr>
              <w:br/>
              <w:t>Patient must have a malignant disorder of haemopoieisis; AND</w:t>
            </w:r>
            <w:r w:rsidRPr="00E106BD">
              <w:rPr>
                <w:rFonts w:eastAsiaTheme="minorHAnsi"/>
                <w:szCs w:val="16"/>
                <w:lang w:eastAsia="en-US"/>
              </w:rPr>
              <w:br/>
              <w:t>Patient must have previously received PBS</w:t>
            </w:r>
            <w:r>
              <w:rPr>
                <w:rFonts w:eastAsiaTheme="minorHAnsi"/>
                <w:szCs w:val="16"/>
                <w:lang w:eastAsia="en-US"/>
              </w:rPr>
              <w:noBreakHyphen/>
            </w:r>
            <w:r w:rsidRPr="00E106BD">
              <w:rPr>
                <w:rFonts w:eastAsiaTheme="minorHAnsi"/>
                <w:szCs w:val="16"/>
                <w:lang w:eastAsia="en-US"/>
              </w:rPr>
              <w:t>subsidised therapy with deferasirox for this condition.</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8326</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C8328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P8328</w:t>
            </w:r>
          </w:p>
        </w:tc>
        <w:tc>
          <w:tcPr>
            <w:tcW w:w="7654" w:type="dxa"/>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Chronic iron overload</w:t>
            </w:r>
            <w:r w:rsidRPr="00E106BD">
              <w:rPr>
                <w:rFonts w:eastAsiaTheme="minorHAnsi"/>
                <w:szCs w:val="16"/>
                <w:lang w:eastAsia="en-US"/>
              </w:rPr>
              <w:br/>
              <w:t>Continuing treatment</w:t>
            </w:r>
            <w:r w:rsidRPr="00E106BD">
              <w:rPr>
                <w:rFonts w:eastAsiaTheme="minorHAnsi"/>
                <w:szCs w:val="16"/>
                <w:lang w:eastAsia="en-US"/>
              </w:rPr>
              <w:br/>
              <w:t>Patient must be transfusion dependent; AND</w:t>
            </w:r>
            <w:r w:rsidRPr="00E106BD">
              <w:rPr>
                <w:rFonts w:eastAsiaTheme="minorHAnsi"/>
                <w:szCs w:val="16"/>
                <w:lang w:eastAsia="en-US"/>
              </w:rPr>
              <w:br/>
              <w:t>Patient must not have a malignant disorder of erythropoiesis; AND</w:t>
            </w:r>
            <w:r w:rsidRPr="00E106BD">
              <w:rPr>
                <w:rFonts w:eastAsiaTheme="minorHAnsi"/>
                <w:szCs w:val="16"/>
                <w:lang w:eastAsia="en-US"/>
              </w:rPr>
              <w:br/>
              <w:t>Patient must have previously received PBS</w:t>
            </w:r>
            <w:r>
              <w:rPr>
                <w:rFonts w:eastAsiaTheme="minorHAnsi"/>
                <w:szCs w:val="16"/>
                <w:lang w:eastAsia="en-US"/>
              </w:rPr>
              <w:noBreakHyphen/>
            </w:r>
            <w:r w:rsidRPr="00E106BD">
              <w:rPr>
                <w:rFonts w:eastAsiaTheme="minorHAnsi"/>
                <w:szCs w:val="16"/>
                <w:lang w:eastAsia="en-US"/>
              </w:rPr>
              <w:t>subsidised therapy with deferasirox for this condition.</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8328</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C8329</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P8329</w:t>
            </w:r>
          </w:p>
        </w:tc>
        <w:tc>
          <w:tcPr>
            <w:tcW w:w="7654" w:type="dxa"/>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Chronic iron overload</w:t>
            </w:r>
            <w:r w:rsidRPr="00E106BD">
              <w:rPr>
                <w:rFonts w:eastAsiaTheme="minorHAnsi"/>
                <w:szCs w:val="16"/>
                <w:lang w:eastAsia="en-US"/>
              </w:rPr>
              <w:br/>
              <w:t>Continuing treatment</w:t>
            </w:r>
            <w:r w:rsidRPr="00E106BD">
              <w:rPr>
                <w:rFonts w:eastAsiaTheme="minorHAnsi"/>
                <w:szCs w:val="16"/>
                <w:lang w:eastAsia="en-US"/>
              </w:rPr>
              <w:br/>
              <w:t>Patient must not be transfusion dependent; AND</w:t>
            </w:r>
            <w:r w:rsidRPr="00E106BD">
              <w:rPr>
                <w:rFonts w:eastAsiaTheme="minorHAnsi"/>
                <w:szCs w:val="16"/>
                <w:lang w:eastAsia="en-US"/>
              </w:rPr>
              <w:br/>
              <w:t>The condition must be thalassaemia; AND</w:t>
            </w:r>
            <w:r w:rsidRPr="00E106BD">
              <w:rPr>
                <w:rFonts w:eastAsiaTheme="minorHAnsi"/>
                <w:szCs w:val="16"/>
                <w:lang w:eastAsia="en-US"/>
              </w:rPr>
              <w:br/>
              <w:t>Patient must have previously received PBS</w:t>
            </w:r>
            <w:r>
              <w:rPr>
                <w:rFonts w:eastAsiaTheme="minorHAnsi"/>
                <w:szCs w:val="16"/>
                <w:lang w:eastAsia="en-US"/>
              </w:rPr>
              <w:noBreakHyphen/>
            </w:r>
            <w:r w:rsidRPr="00E106BD">
              <w:rPr>
                <w:rFonts w:eastAsiaTheme="minorHAnsi"/>
                <w:szCs w:val="16"/>
                <w:lang w:eastAsia="en-US"/>
              </w:rPr>
              <w:t>subsidised therapy with deferasirox for this condition.</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8329</w:t>
            </w:r>
          </w:p>
        </w:tc>
      </w:tr>
      <w:tr w:rsidR="00F05C1E" w:rsidRPr="00E106BD" w:rsidDel="00FB1157" w:rsidTr="008929EB">
        <w:tc>
          <w:tcPr>
            <w:tcW w:w="1729" w:type="dxa"/>
            <w:tcMar>
              <w:top w:w="28" w:type="dxa"/>
              <w:left w:w="28" w:type="dxa"/>
            </w:tcMar>
          </w:tcPr>
          <w:p w:rsidR="00F05C1E" w:rsidRPr="00E106BD" w:rsidDel="00FB1157"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FB1157" w:rsidRDefault="00F05C1E" w:rsidP="00881477">
            <w:pPr>
              <w:spacing w:line="240" w:lineRule="auto"/>
              <w:rPr>
                <w:rFonts w:ascii="Arial" w:hAnsi="Arial" w:cs="Arial"/>
                <w:sz w:val="16"/>
                <w:szCs w:val="16"/>
              </w:rPr>
            </w:pPr>
            <w:r w:rsidRPr="00E106BD">
              <w:rPr>
                <w:rFonts w:ascii="Arial" w:hAnsi="Arial" w:cs="Arial"/>
                <w:sz w:val="16"/>
                <w:szCs w:val="16"/>
              </w:rPr>
              <w:t>C9222</w:t>
            </w:r>
          </w:p>
        </w:tc>
        <w:tc>
          <w:tcPr>
            <w:tcW w:w="709" w:type="dxa"/>
            <w:tcMar>
              <w:top w:w="28" w:type="dxa"/>
              <w:left w:w="28" w:type="dxa"/>
            </w:tcMar>
          </w:tcPr>
          <w:p w:rsidR="00F05C1E" w:rsidRPr="00E106BD" w:rsidDel="00FB1157" w:rsidRDefault="00F05C1E" w:rsidP="00881477">
            <w:pPr>
              <w:spacing w:line="240" w:lineRule="auto"/>
              <w:rPr>
                <w:rFonts w:ascii="Arial" w:hAnsi="Arial" w:cs="Arial"/>
                <w:sz w:val="16"/>
                <w:szCs w:val="16"/>
              </w:rPr>
            </w:pPr>
            <w:r w:rsidRPr="00E106BD">
              <w:rPr>
                <w:rFonts w:ascii="Arial" w:hAnsi="Arial" w:cs="Arial"/>
                <w:sz w:val="16"/>
                <w:szCs w:val="16"/>
              </w:rPr>
              <w:t>P9222</w:t>
            </w:r>
          </w:p>
        </w:tc>
        <w:tc>
          <w:tcPr>
            <w:tcW w:w="7654" w:type="dxa"/>
            <w:tcMar>
              <w:top w:w="28" w:type="dxa"/>
              <w:left w:w="28" w:type="dxa"/>
            </w:tcMar>
          </w:tcPr>
          <w:p w:rsidR="00F05C1E" w:rsidRPr="00E106BD" w:rsidDel="00FB1157" w:rsidRDefault="00F05C1E" w:rsidP="00881477">
            <w:pPr>
              <w:pStyle w:val="mps3-data"/>
              <w:spacing w:before="0" w:after="0"/>
              <w:rPr>
                <w:rFonts w:eastAsiaTheme="minorHAnsi"/>
                <w:szCs w:val="16"/>
                <w:lang w:eastAsia="en-US"/>
              </w:rPr>
            </w:pPr>
            <w:r w:rsidRPr="00E106BD">
              <w:rPr>
                <w:szCs w:val="16"/>
              </w:rPr>
              <w:t>Chronic iron overload</w:t>
            </w:r>
            <w:r w:rsidRPr="00E106BD">
              <w:rPr>
                <w:szCs w:val="16"/>
              </w:rPr>
              <w:br/>
              <w:t>Continuing treatment</w:t>
            </w:r>
            <w:r w:rsidRPr="00E106BD">
              <w:rPr>
                <w:szCs w:val="16"/>
              </w:rPr>
              <w:br/>
              <w:t>Patient must not be transfusion dependent; AND</w:t>
            </w:r>
            <w:r w:rsidRPr="00E106BD">
              <w:rPr>
                <w:szCs w:val="16"/>
              </w:rPr>
              <w:br/>
              <w:t>The condition must be thalassaemia; AND</w:t>
            </w:r>
            <w:r w:rsidRPr="00E106BD">
              <w:rPr>
                <w:szCs w:val="16"/>
              </w:rPr>
              <w:br/>
              <w:t>Patient must have previously received PBS</w:t>
            </w:r>
            <w:r>
              <w:rPr>
                <w:szCs w:val="16"/>
              </w:rPr>
              <w:noBreakHyphen/>
            </w:r>
            <w:r w:rsidRPr="00E106BD">
              <w:rPr>
                <w:szCs w:val="16"/>
              </w:rPr>
              <w:t>subsidised therapy with deferasirox for this condition.</w:t>
            </w:r>
          </w:p>
        </w:tc>
        <w:tc>
          <w:tcPr>
            <w:tcW w:w="2552" w:type="dxa"/>
            <w:tcMar>
              <w:top w:w="28" w:type="dxa"/>
              <w:left w:w="28" w:type="dxa"/>
              <w:right w:w="57" w:type="dxa"/>
            </w:tcMar>
          </w:tcPr>
          <w:p w:rsidR="00F05C1E" w:rsidRPr="00E106BD" w:rsidDel="00FB1157"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9222</w:t>
            </w:r>
          </w:p>
        </w:tc>
      </w:tr>
      <w:tr w:rsidR="00F05C1E" w:rsidRPr="00E106BD" w:rsidDel="00FB1157" w:rsidTr="008929EB">
        <w:tc>
          <w:tcPr>
            <w:tcW w:w="1729" w:type="dxa"/>
            <w:tcMar>
              <w:top w:w="28" w:type="dxa"/>
              <w:left w:w="28" w:type="dxa"/>
            </w:tcMar>
          </w:tcPr>
          <w:p w:rsidR="00F05C1E" w:rsidRPr="00E106BD" w:rsidDel="00FB1157"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FB1157" w:rsidRDefault="00F05C1E" w:rsidP="00881477">
            <w:pPr>
              <w:spacing w:line="240" w:lineRule="auto"/>
              <w:rPr>
                <w:rFonts w:ascii="Arial" w:hAnsi="Arial" w:cs="Arial"/>
                <w:sz w:val="16"/>
                <w:szCs w:val="16"/>
              </w:rPr>
            </w:pPr>
            <w:r w:rsidRPr="00E106BD">
              <w:rPr>
                <w:rFonts w:ascii="Arial" w:hAnsi="Arial" w:cs="Arial"/>
                <w:sz w:val="16"/>
                <w:szCs w:val="16"/>
              </w:rPr>
              <w:t>C9258</w:t>
            </w:r>
          </w:p>
        </w:tc>
        <w:tc>
          <w:tcPr>
            <w:tcW w:w="709" w:type="dxa"/>
            <w:tcMar>
              <w:top w:w="28" w:type="dxa"/>
              <w:left w:w="28" w:type="dxa"/>
            </w:tcMar>
          </w:tcPr>
          <w:p w:rsidR="00F05C1E" w:rsidRPr="00E106BD" w:rsidDel="00FB1157" w:rsidRDefault="00F05C1E" w:rsidP="00881477">
            <w:pPr>
              <w:spacing w:line="240" w:lineRule="auto"/>
              <w:rPr>
                <w:rFonts w:ascii="Arial" w:hAnsi="Arial" w:cs="Arial"/>
                <w:sz w:val="16"/>
                <w:szCs w:val="16"/>
              </w:rPr>
            </w:pPr>
            <w:r w:rsidRPr="00E106BD">
              <w:rPr>
                <w:rFonts w:ascii="Arial" w:hAnsi="Arial" w:cs="Arial"/>
                <w:sz w:val="16"/>
                <w:szCs w:val="16"/>
              </w:rPr>
              <w:t>P9258</w:t>
            </w:r>
          </w:p>
        </w:tc>
        <w:tc>
          <w:tcPr>
            <w:tcW w:w="7654" w:type="dxa"/>
            <w:tcMar>
              <w:top w:w="28" w:type="dxa"/>
              <w:left w:w="28" w:type="dxa"/>
            </w:tcMar>
          </w:tcPr>
          <w:p w:rsidR="00F05C1E" w:rsidRPr="00E106BD" w:rsidDel="00FB1157" w:rsidRDefault="00F05C1E" w:rsidP="00881477">
            <w:pPr>
              <w:pStyle w:val="mps3-data"/>
              <w:spacing w:before="0" w:after="0"/>
              <w:rPr>
                <w:rFonts w:eastAsiaTheme="minorHAnsi"/>
                <w:szCs w:val="16"/>
                <w:lang w:eastAsia="en-US"/>
              </w:rPr>
            </w:pPr>
            <w:r w:rsidRPr="00E106BD">
              <w:rPr>
                <w:szCs w:val="16"/>
              </w:rPr>
              <w:t>Chronic iron overload</w:t>
            </w:r>
            <w:r w:rsidRPr="00E106BD">
              <w:rPr>
                <w:szCs w:val="16"/>
              </w:rPr>
              <w:br/>
              <w:t>Continuing treatment</w:t>
            </w:r>
            <w:r w:rsidRPr="00E106BD">
              <w:rPr>
                <w:szCs w:val="16"/>
              </w:rPr>
              <w:br/>
              <w:t>Patient must be red blood cell transfusion dependent; AND</w:t>
            </w:r>
            <w:r w:rsidRPr="00E106BD">
              <w:rPr>
                <w:szCs w:val="16"/>
              </w:rPr>
              <w:br/>
              <w:t>Patient must have a malignant disorder of haemopoieisis; AND</w:t>
            </w:r>
            <w:r w:rsidRPr="00E106BD">
              <w:rPr>
                <w:szCs w:val="16"/>
              </w:rPr>
              <w:br/>
              <w:t>Patient must have previously received PBS</w:t>
            </w:r>
            <w:r>
              <w:rPr>
                <w:szCs w:val="16"/>
              </w:rPr>
              <w:noBreakHyphen/>
            </w:r>
            <w:r w:rsidRPr="00E106BD">
              <w:rPr>
                <w:szCs w:val="16"/>
              </w:rPr>
              <w:t>subsidised therapy with deferasirox for this condition.</w:t>
            </w:r>
          </w:p>
        </w:tc>
        <w:tc>
          <w:tcPr>
            <w:tcW w:w="2552" w:type="dxa"/>
            <w:tcMar>
              <w:top w:w="28" w:type="dxa"/>
              <w:left w:w="28" w:type="dxa"/>
              <w:right w:w="57" w:type="dxa"/>
            </w:tcMar>
          </w:tcPr>
          <w:p w:rsidR="00F05C1E" w:rsidRPr="00E106BD" w:rsidDel="00FB1157"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9258</w:t>
            </w:r>
          </w:p>
        </w:tc>
      </w:tr>
      <w:tr w:rsidR="00F05C1E" w:rsidRPr="00E106BD" w:rsidDel="00FB1157" w:rsidTr="008929EB">
        <w:tc>
          <w:tcPr>
            <w:tcW w:w="1729" w:type="dxa"/>
            <w:tcMar>
              <w:top w:w="28" w:type="dxa"/>
              <w:left w:w="28" w:type="dxa"/>
            </w:tcMar>
          </w:tcPr>
          <w:p w:rsidR="00F05C1E" w:rsidRPr="00E106BD" w:rsidDel="00FB1157"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FB1157" w:rsidRDefault="00F05C1E" w:rsidP="00881477">
            <w:pPr>
              <w:spacing w:line="240" w:lineRule="auto"/>
              <w:rPr>
                <w:rFonts w:ascii="Arial" w:hAnsi="Arial" w:cs="Arial"/>
                <w:sz w:val="16"/>
                <w:szCs w:val="16"/>
              </w:rPr>
            </w:pPr>
            <w:r w:rsidRPr="00E106BD">
              <w:rPr>
                <w:rFonts w:ascii="Arial" w:hAnsi="Arial" w:cs="Arial"/>
                <w:sz w:val="16"/>
                <w:szCs w:val="16"/>
              </w:rPr>
              <w:t>C9302</w:t>
            </w:r>
          </w:p>
        </w:tc>
        <w:tc>
          <w:tcPr>
            <w:tcW w:w="709" w:type="dxa"/>
            <w:tcMar>
              <w:top w:w="28" w:type="dxa"/>
              <w:left w:w="28" w:type="dxa"/>
            </w:tcMar>
          </w:tcPr>
          <w:p w:rsidR="00F05C1E" w:rsidRPr="00E106BD" w:rsidDel="00FB1157" w:rsidRDefault="00F05C1E" w:rsidP="00881477">
            <w:pPr>
              <w:spacing w:line="240" w:lineRule="auto"/>
              <w:rPr>
                <w:rFonts w:ascii="Arial" w:hAnsi="Arial" w:cs="Arial"/>
                <w:sz w:val="16"/>
                <w:szCs w:val="16"/>
              </w:rPr>
            </w:pPr>
            <w:r w:rsidRPr="00E106BD">
              <w:rPr>
                <w:rFonts w:ascii="Arial" w:hAnsi="Arial" w:cs="Arial"/>
                <w:sz w:val="16"/>
                <w:szCs w:val="16"/>
              </w:rPr>
              <w:t>P9302</w:t>
            </w:r>
          </w:p>
        </w:tc>
        <w:tc>
          <w:tcPr>
            <w:tcW w:w="7654" w:type="dxa"/>
            <w:tcMar>
              <w:top w:w="28" w:type="dxa"/>
              <w:left w:w="28" w:type="dxa"/>
            </w:tcMar>
          </w:tcPr>
          <w:p w:rsidR="00F05C1E" w:rsidRPr="00E106BD" w:rsidDel="00FB1157" w:rsidRDefault="00F05C1E" w:rsidP="00881477">
            <w:pPr>
              <w:pStyle w:val="mps3-data"/>
              <w:spacing w:before="0" w:after="0"/>
              <w:rPr>
                <w:rFonts w:eastAsiaTheme="minorHAnsi"/>
                <w:szCs w:val="16"/>
                <w:lang w:eastAsia="en-US"/>
              </w:rPr>
            </w:pPr>
            <w:r w:rsidRPr="00E106BD">
              <w:rPr>
                <w:szCs w:val="16"/>
              </w:rPr>
              <w:t>Chronic iron overload</w:t>
            </w:r>
            <w:r w:rsidRPr="00E106BD">
              <w:rPr>
                <w:szCs w:val="16"/>
              </w:rPr>
              <w:br/>
              <w:t>Continuing treatment</w:t>
            </w:r>
            <w:r w:rsidRPr="00E106BD">
              <w:rPr>
                <w:szCs w:val="16"/>
              </w:rPr>
              <w:br/>
              <w:t>Patient must be transfusion dependent; AND</w:t>
            </w:r>
            <w:r w:rsidRPr="00E106BD">
              <w:rPr>
                <w:szCs w:val="16"/>
              </w:rPr>
              <w:br/>
              <w:t>Patient must not have a malignant disorder of erythropoiesis; AND</w:t>
            </w:r>
            <w:r w:rsidRPr="00E106BD">
              <w:rPr>
                <w:szCs w:val="16"/>
              </w:rPr>
              <w:br/>
              <w:t>Patient must have previously received PBS</w:t>
            </w:r>
            <w:r>
              <w:rPr>
                <w:szCs w:val="16"/>
              </w:rPr>
              <w:noBreakHyphen/>
            </w:r>
            <w:r w:rsidRPr="00E106BD">
              <w:rPr>
                <w:szCs w:val="16"/>
              </w:rPr>
              <w:t>subsidised therapy with deferasirox for this condition.</w:t>
            </w:r>
          </w:p>
        </w:tc>
        <w:tc>
          <w:tcPr>
            <w:tcW w:w="2552" w:type="dxa"/>
            <w:tcMar>
              <w:top w:w="28" w:type="dxa"/>
              <w:left w:w="28" w:type="dxa"/>
              <w:right w:w="57" w:type="dxa"/>
            </w:tcMar>
          </w:tcPr>
          <w:p w:rsidR="00F05C1E" w:rsidRPr="00E106BD" w:rsidDel="00FB1157"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9302</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bookmarkStart w:id="103" w:name="CU_86243758"/>
            <w:bookmarkStart w:id="104" w:name="CU_91246766"/>
            <w:bookmarkEnd w:id="103"/>
            <w:bookmarkEnd w:id="104"/>
            <w:r w:rsidRPr="00E106BD">
              <w:rPr>
                <w:rFonts w:ascii="Arial" w:hAnsi="Arial" w:cs="Arial"/>
                <w:sz w:val="16"/>
                <w:szCs w:val="16"/>
              </w:rPr>
              <w:t>Deferiprone</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C6403</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Iron overload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thalassaemia major;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one in whom desferrioxamine therapy has proven ineffective.</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6403</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C6448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szCs w:val="16"/>
              </w:rPr>
            </w:pPr>
            <w:r w:rsidRPr="00E106BD">
              <w:rPr>
                <w:rFonts w:ascii="Arial" w:hAnsi="Arial" w:cs="Arial"/>
                <w:sz w:val="16"/>
                <w:szCs w:val="16"/>
              </w:rPr>
              <w:t>Iron overload</w:t>
            </w:r>
          </w:p>
          <w:p w:rsidR="00F05C1E" w:rsidRPr="00E106BD" w:rsidRDefault="00F05C1E" w:rsidP="00881477">
            <w:pPr>
              <w:spacing w:line="240" w:lineRule="auto"/>
              <w:rPr>
                <w:szCs w:val="16"/>
              </w:rPr>
            </w:pPr>
            <w:r w:rsidRPr="00E106BD">
              <w:rPr>
                <w:rFonts w:ascii="Arial" w:hAnsi="Arial" w:cs="Arial"/>
                <w:sz w:val="16"/>
                <w:szCs w:val="16"/>
              </w:rPr>
              <w:t>Patient must have thalassaemia major;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unable to take desferrioxamine therapy.</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6448</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C9228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Iron overload</w:t>
            </w:r>
            <w:r w:rsidRPr="00E106BD">
              <w:rPr>
                <w:szCs w:val="16"/>
              </w:rPr>
              <w:br/>
            </w:r>
            <w:r w:rsidRPr="00E106BD">
              <w:rPr>
                <w:rFonts w:ascii="Arial" w:hAnsi="Arial" w:cs="Arial"/>
                <w:sz w:val="16"/>
                <w:szCs w:val="16"/>
              </w:rPr>
              <w:t>Patient must have thalassaemia major; AND</w:t>
            </w:r>
            <w:r w:rsidRPr="00E106BD">
              <w:rPr>
                <w:szCs w:val="16"/>
              </w:rPr>
              <w:br/>
            </w:r>
            <w:r w:rsidRPr="00E106BD">
              <w:rPr>
                <w:rFonts w:ascii="Arial" w:hAnsi="Arial" w:cs="Arial"/>
                <w:sz w:val="16"/>
                <w:szCs w:val="16"/>
              </w:rPr>
              <w:t>Patient must be one in whom desferrioxamine therapy has proven ineffective.</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9228</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C9286</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Iron overload</w:t>
            </w:r>
            <w:r w:rsidRPr="00E106BD">
              <w:rPr>
                <w:szCs w:val="16"/>
              </w:rPr>
              <w:br/>
            </w:r>
            <w:r w:rsidRPr="00E106BD">
              <w:rPr>
                <w:rFonts w:ascii="Arial" w:hAnsi="Arial" w:cs="Arial"/>
                <w:sz w:val="16"/>
                <w:szCs w:val="16"/>
              </w:rPr>
              <w:t>Patient must have thalassaemia major; AND</w:t>
            </w:r>
            <w:r w:rsidRPr="00E106BD">
              <w:rPr>
                <w:szCs w:val="16"/>
              </w:rPr>
              <w:br/>
            </w:r>
            <w:r w:rsidRPr="00E106BD">
              <w:rPr>
                <w:rFonts w:ascii="Arial" w:hAnsi="Arial" w:cs="Arial"/>
                <w:sz w:val="16"/>
                <w:szCs w:val="16"/>
              </w:rPr>
              <w:t>Patient must be unable to take desferrioxamine therapy.</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9286</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C9590</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Iron overload</w:t>
            </w:r>
            <w:r w:rsidRPr="00E106BD">
              <w:rPr>
                <w:rFonts w:ascii="Arial" w:hAnsi="Arial" w:cs="Arial"/>
                <w:sz w:val="16"/>
                <w:szCs w:val="16"/>
              </w:rPr>
              <w:br/>
              <w:t>Patient must have thalassaemia major; AND</w:t>
            </w:r>
            <w:r w:rsidRPr="00E106BD">
              <w:rPr>
                <w:rFonts w:ascii="Arial" w:hAnsi="Arial" w:cs="Arial"/>
                <w:sz w:val="16"/>
                <w:szCs w:val="16"/>
              </w:rPr>
              <w:br/>
              <w:t>Patient must be one in whom desferrioxamine therapy has proven ineffective.</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9590</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C9623</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Iron overload</w:t>
            </w:r>
            <w:r w:rsidRPr="00E106BD">
              <w:rPr>
                <w:rFonts w:ascii="Arial" w:hAnsi="Arial" w:cs="Arial"/>
                <w:sz w:val="16"/>
                <w:szCs w:val="16"/>
              </w:rPr>
              <w:br/>
              <w:t>Patient must have thalassaemia major; AND</w:t>
            </w:r>
            <w:r w:rsidRPr="00E106BD">
              <w:rPr>
                <w:rFonts w:ascii="Arial" w:hAnsi="Arial" w:cs="Arial"/>
                <w:sz w:val="16"/>
                <w:szCs w:val="16"/>
              </w:rPr>
              <w:br/>
              <w:t>Patient must be unable to take desferrioxamine therapy.</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9623</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Desferrioxamine</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C6394</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szCs w:val="16"/>
              </w:rPr>
            </w:pPr>
            <w:r w:rsidRPr="00E106BD">
              <w:rPr>
                <w:rFonts w:ascii="Arial" w:hAnsi="Arial" w:cs="Arial"/>
                <w:sz w:val="16"/>
                <w:szCs w:val="16"/>
              </w:rPr>
              <w:t>Disorders of erythropoiesis</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associated with treatment</w:t>
            </w:r>
            <w:r>
              <w:rPr>
                <w:rFonts w:ascii="Arial" w:hAnsi="Arial" w:cs="Arial"/>
                <w:sz w:val="16"/>
                <w:szCs w:val="16"/>
              </w:rPr>
              <w:noBreakHyphen/>
            </w:r>
            <w:r w:rsidRPr="00E106BD">
              <w:rPr>
                <w:rFonts w:ascii="Arial" w:hAnsi="Arial" w:cs="Arial"/>
                <w:sz w:val="16"/>
                <w:szCs w:val="16"/>
              </w:rPr>
              <w:t>related chronic iron overload.</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6394</w:t>
            </w:r>
          </w:p>
        </w:tc>
      </w:tr>
      <w:tr w:rsidR="00F05C1E" w:rsidRPr="00E106BD" w:rsidDel="00FD7BD7" w:rsidTr="008929EB">
        <w:trPr>
          <w:cantSplit/>
        </w:trPr>
        <w:tc>
          <w:tcPr>
            <w:tcW w:w="1729" w:type="dxa"/>
            <w:tcMar>
              <w:top w:w="28" w:type="dxa"/>
              <w:left w:w="28" w:type="dxa"/>
            </w:tcMar>
          </w:tcPr>
          <w:p w:rsidR="00F05C1E" w:rsidRPr="00E106BD" w:rsidDel="00FD7BD7"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FD7BD7" w:rsidRDefault="00F05C1E" w:rsidP="00881477">
            <w:pPr>
              <w:spacing w:line="240" w:lineRule="auto"/>
              <w:rPr>
                <w:rFonts w:ascii="Arial" w:hAnsi="Arial" w:cs="Arial"/>
                <w:sz w:val="16"/>
                <w:szCs w:val="16"/>
              </w:rPr>
            </w:pPr>
            <w:r w:rsidRPr="00E106BD">
              <w:rPr>
                <w:rFonts w:ascii="Arial" w:hAnsi="Arial" w:cs="Arial"/>
                <w:sz w:val="16"/>
                <w:szCs w:val="16"/>
              </w:rPr>
              <w:t>C9696</w:t>
            </w:r>
          </w:p>
        </w:tc>
        <w:tc>
          <w:tcPr>
            <w:tcW w:w="709" w:type="dxa"/>
            <w:tcMar>
              <w:top w:w="28" w:type="dxa"/>
              <w:left w:w="28" w:type="dxa"/>
            </w:tcMar>
          </w:tcPr>
          <w:p w:rsidR="00F05C1E" w:rsidRPr="00E106BD" w:rsidDel="00FD7BD7"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FD7BD7" w:rsidRDefault="00F05C1E" w:rsidP="00881477">
            <w:pPr>
              <w:spacing w:line="240" w:lineRule="auto"/>
              <w:rPr>
                <w:rFonts w:ascii="Arial" w:hAnsi="Arial" w:cs="Arial"/>
                <w:sz w:val="16"/>
                <w:szCs w:val="16"/>
              </w:rPr>
            </w:pPr>
            <w:r w:rsidRPr="00E106BD">
              <w:rPr>
                <w:rFonts w:ascii="Arial" w:hAnsi="Arial" w:cs="Arial"/>
                <w:sz w:val="16"/>
                <w:szCs w:val="16"/>
              </w:rPr>
              <w:t>Disorders of erythropoiesis</w:t>
            </w:r>
            <w:r w:rsidRPr="00E106BD">
              <w:rPr>
                <w:rFonts w:ascii="Arial" w:hAnsi="Arial" w:cs="Arial"/>
                <w:sz w:val="16"/>
                <w:szCs w:val="16"/>
              </w:rPr>
              <w:br/>
              <w:t>The condition must be associated with treatment</w:t>
            </w:r>
            <w:r>
              <w:rPr>
                <w:rFonts w:ascii="Arial" w:hAnsi="Arial" w:cs="Arial"/>
                <w:sz w:val="16"/>
                <w:szCs w:val="16"/>
              </w:rPr>
              <w:noBreakHyphen/>
            </w:r>
            <w:r w:rsidRPr="00E106BD">
              <w:rPr>
                <w:rFonts w:ascii="Arial" w:hAnsi="Arial" w:cs="Arial"/>
                <w:sz w:val="16"/>
                <w:szCs w:val="16"/>
              </w:rPr>
              <w:t>related chronic iron overload.</w:t>
            </w:r>
          </w:p>
        </w:tc>
        <w:tc>
          <w:tcPr>
            <w:tcW w:w="2552" w:type="dxa"/>
            <w:tcMar>
              <w:top w:w="28" w:type="dxa"/>
              <w:left w:w="28" w:type="dxa"/>
              <w:right w:w="57" w:type="dxa"/>
            </w:tcMar>
          </w:tcPr>
          <w:p w:rsidR="00F05C1E" w:rsidRPr="00E106BD" w:rsidDel="00FD7BD7"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9696</w:t>
            </w:r>
          </w:p>
        </w:tc>
      </w:tr>
      <w:tr w:rsidR="00F05C1E" w:rsidRPr="00E106BD" w:rsidDel="007D41EA"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Del="007D41EA" w:rsidRDefault="00F05C1E" w:rsidP="00881477">
            <w:pPr>
              <w:spacing w:line="240" w:lineRule="auto"/>
              <w:rPr>
                <w:rFonts w:ascii="Arial" w:hAnsi="Arial" w:cs="Arial"/>
                <w:sz w:val="16"/>
                <w:szCs w:val="16"/>
              </w:rPr>
            </w:pPr>
            <w:bookmarkStart w:id="105" w:name="CU_98248710"/>
            <w:bookmarkEnd w:id="105"/>
            <w:r w:rsidRPr="00E106BD">
              <w:rPr>
                <w:rFonts w:ascii="Arial" w:hAnsi="Arial" w:cs="Arial"/>
                <w:sz w:val="16"/>
                <w:szCs w:val="16"/>
              </w:rPr>
              <w:t>Dolutegravir</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C4454</w:t>
            </w:r>
          </w:p>
        </w:tc>
        <w:tc>
          <w:tcPr>
            <w:tcW w:w="709" w:type="dxa"/>
            <w:tcBorders>
              <w:bottom w:val="single" w:sz="4" w:space="0" w:color="auto"/>
            </w:tcBorders>
            <w:tcMar>
              <w:top w:w="28" w:type="dxa"/>
              <w:left w:w="28" w:type="dxa"/>
            </w:tcMar>
          </w:tcPr>
          <w:p w:rsidR="00F05C1E" w:rsidRPr="00E106BD" w:rsidDel="007D41EA"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Continuing</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previously received PBS subsidised therapy for HIV infection;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in combination with other antiretroviral agents</w:t>
            </w:r>
          </w:p>
        </w:tc>
        <w:tc>
          <w:tcPr>
            <w:tcW w:w="2552" w:type="dxa"/>
            <w:tcBorders>
              <w:bottom w:val="single" w:sz="4" w:space="0" w:color="auto"/>
            </w:tcBorders>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Compliance with Authority Required procedures   Streamlined Authority Code 4454</w:t>
            </w:r>
          </w:p>
        </w:tc>
      </w:tr>
      <w:tr w:rsidR="00F05C1E" w:rsidRPr="00E106BD" w:rsidDel="007D41EA"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C4512</w:t>
            </w:r>
          </w:p>
        </w:tc>
        <w:tc>
          <w:tcPr>
            <w:tcW w:w="709" w:type="dxa"/>
            <w:tcBorders>
              <w:bottom w:val="single" w:sz="4" w:space="0" w:color="auto"/>
            </w:tcBorders>
            <w:tcMar>
              <w:top w:w="28" w:type="dxa"/>
              <w:left w:w="28" w:type="dxa"/>
            </w:tcMar>
          </w:tcPr>
          <w:p w:rsidR="00F05C1E" w:rsidRPr="00E106BD" w:rsidDel="007D41EA"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w:t>
            </w:r>
            <w:r w:rsidR="00065707">
              <w:rPr>
                <w:rFonts w:ascii="Arial" w:hAnsi="Arial" w:cs="Arial"/>
                <w:sz w:val="16"/>
                <w:szCs w:val="16"/>
              </w:rPr>
              <w:t>l</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tcBorders>
              <w:bottom w:val="single" w:sz="4" w:space="0" w:color="auto"/>
            </w:tcBorders>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05C1E" w:rsidRPr="00E106BD" w:rsidDel="009152C2"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bookmarkStart w:id="106" w:name="CU_103250365"/>
            <w:bookmarkStart w:id="107" w:name="CU_104250701"/>
            <w:bookmarkEnd w:id="106"/>
            <w:bookmarkEnd w:id="107"/>
            <w:r w:rsidRPr="00E106BD">
              <w:rPr>
                <w:rFonts w:ascii="Arial" w:hAnsi="Arial" w:cs="Arial"/>
                <w:sz w:val="16"/>
                <w:szCs w:val="16"/>
              </w:rPr>
              <w:t>Dolutegravir with abacavir and lamivudine</w:t>
            </w:r>
          </w:p>
        </w:tc>
        <w:tc>
          <w:tcPr>
            <w:tcW w:w="70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r w:rsidRPr="00E106BD">
              <w:rPr>
                <w:rFonts w:ascii="Arial" w:hAnsi="Arial" w:cs="Arial"/>
                <w:sz w:val="16"/>
                <w:szCs w:val="16"/>
              </w:rPr>
              <w:t>C9981</w:t>
            </w:r>
          </w:p>
        </w:tc>
        <w:tc>
          <w:tcPr>
            <w:tcW w:w="70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r w:rsidRPr="00E106BD">
              <w:rPr>
                <w:rFonts w:ascii="Arial" w:hAnsi="Arial" w:cs="Arial"/>
                <w:sz w:val="16"/>
                <w:szCs w:val="16"/>
              </w:rPr>
              <w:br/>
              <w:t>Patient must be antiretroviral treatment naive.</w:t>
            </w:r>
          </w:p>
        </w:tc>
        <w:tc>
          <w:tcPr>
            <w:tcW w:w="2552" w:type="dxa"/>
            <w:tcBorders>
              <w:bottom w:val="single" w:sz="4" w:space="0" w:color="auto"/>
            </w:tcBorders>
            <w:shd w:val="clear" w:color="auto" w:fill="auto"/>
            <w:tcMar>
              <w:top w:w="28" w:type="dxa"/>
              <w:left w:w="28" w:type="dxa"/>
              <w:right w:w="57" w:type="dxa"/>
            </w:tcMar>
          </w:tcPr>
          <w:p w:rsidR="00F05C1E" w:rsidRPr="00E106BD" w:rsidDel="009152C2"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9981</w:t>
            </w:r>
          </w:p>
        </w:tc>
      </w:tr>
      <w:tr w:rsidR="00F05C1E" w:rsidRPr="00E106BD" w:rsidDel="009152C2"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C10116</w:t>
            </w:r>
          </w:p>
        </w:tc>
        <w:tc>
          <w:tcPr>
            <w:tcW w:w="70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10116</w:t>
            </w:r>
          </w:p>
        </w:tc>
      </w:tr>
      <w:tr w:rsidR="00F05C1E" w:rsidRPr="00E106BD" w:rsidDel="009152C2"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r w:rsidRPr="00E106BD">
              <w:rPr>
                <w:rFonts w:ascii="Arial" w:hAnsi="Arial" w:cs="Arial"/>
                <w:sz w:val="16"/>
                <w:szCs w:val="16"/>
              </w:rPr>
              <w:t>Dolutegravir with lamivudine</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C9909</w:t>
            </w:r>
          </w:p>
        </w:tc>
        <w:tc>
          <w:tcPr>
            <w:tcW w:w="70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Grandfathered treatment</w:t>
            </w:r>
            <w:r w:rsidRPr="00E106BD">
              <w:rPr>
                <w:rFonts w:ascii="Arial" w:hAnsi="Arial" w:cs="Arial"/>
                <w:sz w:val="16"/>
                <w:szCs w:val="16"/>
              </w:rPr>
              <w:br/>
              <w:t>Patient must have previously received non</w:t>
            </w:r>
            <w:r>
              <w:rPr>
                <w:rFonts w:ascii="Arial" w:hAnsi="Arial" w:cs="Arial"/>
                <w:sz w:val="16"/>
                <w:szCs w:val="16"/>
              </w:rPr>
              <w:noBreakHyphen/>
            </w:r>
            <w:r w:rsidRPr="00E106BD">
              <w:rPr>
                <w:rFonts w:ascii="Arial" w:hAnsi="Arial" w:cs="Arial"/>
                <w:sz w:val="16"/>
                <w:szCs w:val="16"/>
              </w:rPr>
              <w:t>PBS subsidised treatment with this drug for this condition prior to 1</w:t>
            </w:r>
            <w:r>
              <w:rPr>
                <w:rFonts w:ascii="Arial" w:hAnsi="Arial" w:cs="Arial"/>
                <w:sz w:val="16"/>
                <w:szCs w:val="16"/>
              </w:rPr>
              <w:t> </w:t>
            </w:r>
            <w:r w:rsidRPr="00E106BD">
              <w:rPr>
                <w:rFonts w:ascii="Arial" w:hAnsi="Arial" w:cs="Arial"/>
                <w:sz w:val="16"/>
                <w:szCs w:val="16"/>
              </w:rPr>
              <w:t>December 2019; AND</w:t>
            </w:r>
            <w:r w:rsidRPr="00E106BD">
              <w:rPr>
                <w:rFonts w:ascii="Arial" w:hAnsi="Arial" w:cs="Arial"/>
                <w:sz w:val="16"/>
                <w:szCs w:val="16"/>
              </w:rPr>
              <w:br/>
              <w:t>Patient must have been antiretroviral treatment naive prior to initiating this drug for this condition.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9909</w:t>
            </w:r>
          </w:p>
        </w:tc>
      </w:tr>
      <w:tr w:rsidR="00F05C1E" w:rsidRPr="00E106BD" w:rsidDel="009152C2"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C9934</w:t>
            </w:r>
          </w:p>
        </w:tc>
        <w:tc>
          <w:tcPr>
            <w:tcW w:w="70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with this drug for this condition.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9934</w:t>
            </w:r>
          </w:p>
        </w:tc>
      </w:tr>
      <w:tr w:rsidR="00F05C1E" w:rsidRPr="00E106BD" w:rsidDel="009152C2"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C9987</w:t>
            </w:r>
          </w:p>
        </w:tc>
        <w:tc>
          <w:tcPr>
            <w:tcW w:w="70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r w:rsidRPr="00E106BD">
              <w:rPr>
                <w:rFonts w:ascii="Arial" w:hAnsi="Arial" w:cs="Arial"/>
                <w:sz w:val="16"/>
                <w:szCs w:val="16"/>
              </w:rPr>
              <w:br/>
              <w:t>Patient must be antiretroviral treatment naive; AND</w:t>
            </w:r>
            <w:r w:rsidRPr="00E106BD">
              <w:rPr>
                <w:rFonts w:ascii="Arial" w:hAnsi="Arial" w:cs="Arial"/>
                <w:sz w:val="16"/>
                <w:szCs w:val="16"/>
              </w:rPr>
              <w:br/>
              <w:t>Patient must not have suspected resistance to either antiretroviral component.</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9987</w:t>
            </w:r>
          </w:p>
        </w:tc>
      </w:tr>
      <w:tr w:rsidR="00F05C1E" w:rsidRPr="00E106BD" w:rsidDel="007D41EA"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05C1E" w:rsidRPr="00E106BD" w:rsidDel="007D41EA" w:rsidRDefault="00F05C1E" w:rsidP="00881477">
            <w:pPr>
              <w:spacing w:line="240" w:lineRule="auto"/>
              <w:rPr>
                <w:rFonts w:ascii="Arial" w:hAnsi="Arial" w:cs="Arial"/>
                <w:sz w:val="16"/>
                <w:szCs w:val="16"/>
              </w:rPr>
            </w:pPr>
            <w:r w:rsidRPr="00E106BD">
              <w:rPr>
                <w:rFonts w:ascii="Arial" w:hAnsi="Arial" w:cs="Arial"/>
                <w:sz w:val="16"/>
                <w:szCs w:val="16"/>
              </w:rPr>
              <w:t>Dolutegravir with rilpivirine</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C8214</w:t>
            </w:r>
          </w:p>
        </w:tc>
        <w:tc>
          <w:tcPr>
            <w:tcW w:w="709" w:type="dxa"/>
            <w:tcBorders>
              <w:bottom w:val="single" w:sz="4" w:space="0" w:color="auto"/>
            </w:tcBorders>
            <w:shd w:val="clear" w:color="auto" w:fill="auto"/>
            <w:tcMar>
              <w:top w:w="28" w:type="dxa"/>
              <w:left w:w="28" w:type="dxa"/>
            </w:tcMar>
          </w:tcPr>
          <w:p w:rsidR="00F05C1E" w:rsidRPr="00E106BD" w:rsidDel="007D41EA"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r w:rsidRPr="00E106BD">
              <w:rPr>
                <w:rFonts w:ascii="Arial" w:hAnsi="Arial" w:cs="Arial"/>
                <w:sz w:val="16"/>
                <w:szCs w:val="16"/>
              </w:rPr>
              <w:br/>
              <w:t>Patient must be virologically suppressed on a stable antiretroviral regimen for at least 6 months;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therapy for this condition.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8214</w:t>
            </w:r>
          </w:p>
        </w:tc>
      </w:tr>
      <w:tr w:rsidR="00F05C1E" w:rsidRPr="00E106BD" w:rsidDel="007D41EA"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05C1E" w:rsidRPr="00E106BD" w:rsidDel="007D41EA"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C8226</w:t>
            </w:r>
          </w:p>
        </w:tc>
        <w:tc>
          <w:tcPr>
            <w:tcW w:w="709" w:type="dxa"/>
            <w:tcBorders>
              <w:bottom w:val="single" w:sz="4" w:space="0" w:color="auto"/>
            </w:tcBorders>
            <w:shd w:val="clear" w:color="auto" w:fill="auto"/>
            <w:tcMar>
              <w:top w:w="28" w:type="dxa"/>
              <w:left w:w="28" w:type="dxa"/>
            </w:tcMar>
          </w:tcPr>
          <w:p w:rsidR="00F05C1E" w:rsidRPr="00E106BD" w:rsidDel="007D41EA"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with this drug for this condition;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therapy for this condition.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8226</w:t>
            </w:r>
          </w:p>
        </w:tc>
      </w:tr>
      <w:tr w:rsidR="00F05C1E" w:rsidRPr="00E106BD" w:rsidDel="008B44D2" w:rsidTr="008929EB">
        <w:tc>
          <w:tcPr>
            <w:tcW w:w="1729" w:type="dxa"/>
            <w:tcMar>
              <w:top w:w="28" w:type="dxa"/>
              <w:left w:w="28" w:type="dxa"/>
            </w:tcMar>
          </w:tcPr>
          <w:p w:rsidR="00F05C1E" w:rsidRPr="00E106BD" w:rsidDel="008B44D2" w:rsidRDefault="00F05C1E" w:rsidP="00881477">
            <w:pPr>
              <w:spacing w:line="240" w:lineRule="auto"/>
              <w:rPr>
                <w:rFonts w:ascii="Arial" w:hAnsi="Arial" w:cs="Arial"/>
                <w:sz w:val="16"/>
                <w:szCs w:val="16"/>
              </w:rPr>
            </w:pPr>
            <w:bookmarkStart w:id="108" w:name="CU_105251034"/>
            <w:bookmarkStart w:id="109" w:name="CU_107257648"/>
            <w:bookmarkStart w:id="110" w:name="CU_110260099"/>
            <w:bookmarkStart w:id="111" w:name="CU_111260920"/>
            <w:bookmarkEnd w:id="108"/>
            <w:bookmarkEnd w:id="109"/>
            <w:bookmarkEnd w:id="110"/>
            <w:bookmarkEnd w:id="111"/>
            <w:r w:rsidRPr="00E106BD">
              <w:rPr>
                <w:rFonts w:ascii="Arial" w:hAnsi="Arial" w:cs="Arial"/>
                <w:sz w:val="16"/>
                <w:szCs w:val="16"/>
              </w:rPr>
              <w:t>Dornase alfa</w:t>
            </w:r>
          </w:p>
        </w:tc>
        <w:tc>
          <w:tcPr>
            <w:tcW w:w="709" w:type="dxa"/>
            <w:tcMar>
              <w:top w:w="28" w:type="dxa"/>
              <w:left w:w="28" w:type="dxa"/>
            </w:tcMar>
          </w:tcPr>
          <w:p w:rsidR="00F05C1E" w:rsidRPr="00E106BD" w:rsidDel="008B44D2" w:rsidRDefault="00F05C1E" w:rsidP="00881477">
            <w:pPr>
              <w:spacing w:line="240" w:lineRule="auto"/>
              <w:rPr>
                <w:rFonts w:ascii="Arial" w:hAnsi="Arial" w:cs="Arial"/>
                <w:sz w:val="16"/>
                <w:szCs w:val="16"/>
              </w:rPr>
            </w:pPr>
            <w:r w:rsidRPr="00E106BD">
              <w:rPr>
                <w:rFonts w:ascii="Arial" w:hAnsi="Arial" w:cs="Arial"/>
                <w:sz w:val="16"/>
                <w:szCs w:val="16"/>
              </w:rPr>
              <w:t>C5634</w:t>
            </w:r>
          </w:p>
        </w:tc>
        <w:tc>
          <w:tcPr>
            <w:tcW w:w="709" w:type="dxa"/>
            <w:tcMar>
              <w:top w:w="28" w:type="dxa"/>
              <w:left w:w="28" w:type="dxa"/>
            </w:tcMar>
          </w:tcPr>
          <w:p w:rsidR="00F05C1E" w:rsidRPr="00E106BD" w:rsidDel="008B44D2"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8B44D2" w:rsidRDefault="00F05C1E"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Patient must have a severe clinical course with frequent respiratory exacerbations or chronic respiratory symptoms (including chronic or recurrent cough, wheeze or tachypnoea) requiring hospital admissions more frequently than 3 times per year; OR</w:t>
            </w:r>
            <w:r w:rsidRPr="00E106BD">
              <w:rPr>
                <w:rFonts w:ascii="Arial" w:hAnsi="Arial" w:cs="Arial"/>
                <w:sz w:val="16"/>
                <w:szCs w:val="16"/>
              </w:rPr>
              <w:br/>
              <w:t>Patient must have significant bronchiectasis on chest high resolution computed tomography scan; OR</w:t>
            </w:r>
            <w:r w:rsidRPr="00E106BD">
              <w:rPr>
                <w:rFonts w:ascii="Arial" w:hAnsi="Arial" w:cs="Arial"/>
                <w:sz w:val="16"/>
                <w:szCs w:val="16"/>
              </w:rPr>
              <w:br/>
              <w:t>Patient must have severe cystic fibrosis bronchiolitis with persistent wheeze non</w:t>
            </w:r>
            <w:r>
              <w:rPr>
                <w:rFonts w:ascii="Arial" w:hAnsi="Arial" w:cs="Arial"/>
                <w:sz w:val="16"/>
                <w:szCs w:val="16"/>
              </w:rPr>
              <w:noBreakHyphen/>
            </w:r>
            <w:r w:rsidRPr="00E106BD">
              <w:rPr>
                <w:rFonts w:ascii="Arial" w:hAnsi="Arial" w:cs="Arial"/>
                <w:sz w:val="16"/>
                <w:szCs w:val="16"/>
              </w:rPr>
              <w:t>responsive to conventional medicines; OR</w:t>
            </w:r>
            <w:r w:rsidRPr="00E106BD">
              <w:rPr>
                <w:rFonts w:ascii="Arial" w:hAnsi="Arial" w:cs="Arial"/>
                <w:sz w:val="16"/>
                <w:szCs w:val="16"/>
              </w:rPr>
              <w:br/>
              <w:t>Patient must have severe physiological deficit measure by forced oscillation technique or multiple breath nitrogen washout and failure to respond to conventional therapy.</w:t>
            </w:r>
            <w:r w:rsidRPr="00E106BD">
              <w:rPr>
                <w:rFonts w:ascii="Arial" w:hAnsi="Arial" w:cs="Arial"/>
                <w:sz w:val="16"/>
                <w:szCs w:val="16"/>
              </w:rPr>
              <w:br/>
              <w:t>Patient must be less than 5 years of age.</w:t>
            </w:r>
            <w:r w:rsidRPr="00E106BD">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hAnsi="Arial" w:cs="Arial"/>
                <w:sz w:val="16"/>
                <w:szCs w:val="16"/>
              </w:rPr>
              <w:br/>
              <w:t>Following an initial 6 months therapy, a comprehensive assessment must be undertaken and documented. Treatment with this drug should cease if there is not agreement of benefit, as there is always the possibility of harm from unnecessary use. Further reassessments must be undertaken and documented at six</w:t>
            </w:r>
            <w:r>
              <w:rPr>
                <w:rFonts w:ascii="Arial" w:hAnsi="Arial" w:cs="Arial"/>
                <w:sz w:val="16"/>
                <w:szCs w:val="16"/>
              </w:rPr>
              <w:noBreakHyphen/>
            </w:r>
            <w:r w:rsidRPr="00E106BD">
              <w:rPr>
                <w:rFonts w:ascii="Arial" w:hAnsi="Arial" w:cs="Arial"/>
                <w:sz w:val="16"/>
                <w:szCs w:val="16"/>
              </w:rPr>
              <w:t>monthly intervals.</w:t>
            </w:r>
          </w:p>
        </w:tc>
        <w:tc>
          <w:tcPr>
            <w:tcW w:w="2552" w:type="dxa"/>
            <w:tcMar>
              <w:top w:w="28" w:type="dxa"/>
              <w:left w:w="28" w:type="dxa"/>
              <w:right w:w="57" w:type="dxa"/>
            </w:tcMar>
          </w:tcPr>
          <w:p w:rsidR="00F05C1E" w:rsidRPr="00E106BD" w:rsidDel="008B44D2"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5634</w:t>
            </w:r>
          </w:p>
        </w:tc>
      </w:tr>
      <w:tr w:rsidR="00F05C1E" w:rsidRPr="00E106BD" w:rsidDel="008B44D2" w:rsidTr="008929EB">
        <w:tc>
          <w:tcPr>
            <w:tcW w:w="1729" w:type="dxa"/>
            <w:tcMar>
              <w:top w:w="28" w:type="dxa"/>
              <w:left w:w="28" w:type="dxa"/>
            </w:tcMar>
          </w:tcPr>
          <w:p w:rsidR="00F05C1E" w:rsidRPr="00E106BD" w:rsidDel="008B44D2"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8B44D2" w:rsidRDefault="00F05C1E" w:rsidP="00881477">
            <w:pPr>
              <w:spacing w:line="240" w:lineRule="auto"/>
              <w:rPr>
                <w:rFonts w:ascii="Arial" w:hAnsi="Arial" w:cs="Arial"/>
                <w:sz w:val="16"/>
                <w:szCs w:val="16"/>
              </w:rPr>
            </w:pPr>
            <w:r w:rsidRPr="00E106BD">
              <w:rPr>
                <w:rFonts w:ascii="Arial" w:hAnsi="Arial" w:cs="Arial"/>
                <w:sz w:val="16"/>
                <w:szCs w:val="16"/>
              </w:rPr>
              <w:t>C5635</w:t>
            </w:r>
          </w:p>
        </w:tc>
        <w:tc>
          <w:tcPr>
            <w:tcW w:w="709" w:type="dxa"/>
            <w:tcMar>
              <w:top w:w="28" w:type="dxa"/>
              <w:left w:w="28" w:type="dxa"/>
            </w:tcMar>
          </w:tcPr>
          <w:p w:rsidR="00F05C1E" w:rsidRPr="00E106BD" w:rsidDel="008B44D2"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8B44D2" w:rsidRDefault="00F05C1E"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Continuing treatment</w:t>
            </w:r>
            <w:r w:rsidRPr="00E106BD">
              <w:rPr>
                <w:rFonts w:ascii="Arial" w:hAnsi="Arial" w:cs="Arial"/>
                <w:sz w:val="16"/>
                <w:szCs w:val="16"/>
              </w:rPr>
              <w:br/>
              <w:t>Patient must have initiated treatment with dornase alfa at an age of less than 5 years,AND</w:t>
            </w:r>
            <w:r w:rsidRPr="00E106BD">
              <w:rPr>
                <w:rFonts w:ascii="Arial" w:hAnsi="Arial" w:cs="Arial"/>
                <w:sz w:val="16"/>
                <w:szCs w:val="16"/>
              </w:rPr>
              <w:br/>
              <w:t>Patient must have undergone a comprehensive assessment which documents agreement that dornase alfa treatment is continuing to produce worthwhile benefit.</w:t>
            </w:r>
            <w:r w:rsidRPr="00E106BD">
              <w:rPr>
                <w:rFonts w:ascii="Arial" w:hAnsi="Arial" w:cs="Arial"/>
                <w:sz w:val="16"/>
                <w:szCs w:val="16"/>
              </w:rPr>
              <w:br/>
              <w:t>Patient must be 5 years of age or older.</w:t>
            </w:r>
            <w:r w:rsidRPr="00E106BD">
              <w:rPr>
                <w:rFonts w:ascii="Arial" w:hAnsi="Arial" w:cs="Arial"/>
                <w:sz w:val="16"/>
                <w:szCs w:val="16"/>
              </w:rPr>
              <w:br/>
              <w:t>Further reassessments must be undertaken and documented at six</w:t>
            </w:r>
            <w:r>
              <w:rPr>
                <w:rFonts w:ascii="Arial" w:hAnsi="Arial" w:cs="Arial"/>
                <w:sz w:val="16"/>
                <w:szCs w:val="16"/>
              </w:rPr>
              <w:noBreakHyphen/>
            </w:r>
            <w:r w:rsidRPr="00E106BD">
              <w:rPr>
                <w:rFonts w:ascii="Arial" w:hAnsi="Arial" w:cs="Arial"/>
                <w:sz w:val="16"/>
                <w:szCs w:val="16"/>
              </w:rPr>
              <w:t>monthly intervals. Treatment with this drug should cease if there is not agreement of benefit as there is always the possibility of harm from unnecessary use.</w:t>
            </w:r>
          </w:p>
        </w:tc>
        <w:tc>
          <w:tcPr>
            <w:tcW w:w="2552" w:type="dxa"/>
            <w:tcMar>
              <w:top w:w="28" w:type="dxa"/>
              <w:left w:w="28" w:type="dxa"/>
              <w:right w:w="57" w:type="dxa"/>
            </w:tcMar>
          </w:tcPr>
          <w:p w:rsidR="00F05C1E" w:rsidRPr="00E106BD" w:rsidDel="008B44D2"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5635</w:t>
            </w:r>
          </w:p>
        </w:tc>
      </w:tr>
      <w:tr w:rsidR="00F05C1E" w:rsidRPr="00E106BD" w:rsidDel="008B44D2" w:rsidTr="008929EB">
        <w:tc>
          <w:tcPr>
            <w:tcW w:w="1729" w:type="dxa"/>
            <w:tcMar>
              <w:top w:w="28" w:type="dxa"/>
              <w:left w:w="28" w:type="dxa"/>
            </w:tcMar>
          </w:tcPr>
          <w:p w:rsidR="00F05C1E" w:rsidRPr="00E106BD" w:rsidDel="008B44D2"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8B44D2" w:rsidRDefault="00F05C1E" w:rsidP="00881477">
            <w:pPr>
              <w:spacing w:line="240" w:lineRule="auto"/>
              <w:rPr>
                <w:rFonts w:ascii="Arial" w:hAnsi="Arial" w:cs="Arial"/>
                <w:sz w:val="16"/>
                <w:szCs w:val="16"/>
              </w:rPr>
            </w:pPr>
            <w:r w:rsidRPr="00E106BD">
              <w:rPr>
                <w:rFonts w:ascii="Arial" w:hAnsi="Arial" w:cs="Arial"/>
                <w:sz w:val="16"/>
                <w:szCs w:val="16"/>
              </w:rPr>
              <w:t>C5740</w:t>
            </w:r>
          </w:p>
        </w:tc>
        <w:tc>
          <w:tcPr>
            <w:tcW w:w="709" w:type="dxa"/>
            <w:tcMar>
              <w:top w:w="28" w:type="dxa"/>
              <w:left w:w="28" w:type="dxa"/>
            </w:tcMar>
          </w:tcPr>
          <w:p w:rsidR="00F05C1E" w:rsidRPr="00E106BD" w:rsidDel="008B44D2"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8B44D2" w:rsidRDefault="00F05C1E"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Patient must be 5 years of age or older.</w:t>
            </w:r>
            <w:r w:rsidRPr="00E106BD">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hAnsi="Arial" w:cs="Arial"/>
                <w:sz w:val="16"/>
                <w:szCs w:val="16"/>
              </w:rPr>
              <w:br/>
              <w:t>Prior to therapy with this drug, a baseline measurement of forced expiratory volume in 1 second (FEV1) must be undertaken during a stable period of the disease.</w:t>
            </w:r>
            <w:r w:rsidRPr="00E106BD">
              <w:rPr>
                <w:rFonts w:ascii="Arial" w:hAnsi="Arial" w:cs="Arial"/>
                <w:sz w:val="16"/>
                <w:szCs w:val="16"/>
              </w:rPr>
              <w:br/>
              <w:t>Initial therapy is limited to 3 months treatment with dornase alfa at a dose of 2.5 mg daily.</w:t>
            </w:r>
            <w:r w:rsidRPr="00E106BD">
              <w:rPr>
                <w:rFonts w:ascii="Arial" w:hAnsi="Arial" w:cs="Arial"/>
                <w:sz w:val="16"/>
                <w:szCs w:val="16"/>
              </w:rPr>
              <w:br/>
              <w:t>To be eligible for continued PBS</w:t>
            </w:r>
            <w:r>
              <w:rPr>
                <w:rFonts w:ascii="Arial" w:hAnsi="Arial" w:cs="Arial"/>
                <w:sz w:val="16"/>
                <w:szCs w:val="16"/>
              </w:rPr>
              <w:noBreakHyphen/>
            </w:r>
            <w:r w:rsidRPr="00E106BD">
              <w:rPr>
                <w:rFonts w:ascii="Arial" w:hAnsi="Arial" w:cs="Arial"/>
                <w:sz w:val="16"/>
                <w:szCs w:val="16"/>
              </w:rPr>
              <w:t>subsidised treatment with this drug following 3 months of initial treatment:</w:t>
            </w:r>
            <w:r w:rsidRPr="00E106BD">
              <w:rPr>
                <w:rFonts w:ascii="Arial" w:hAnsi="Arial" w:cs="Arial"/>
                <w:sz w:val="16"/>
                <w:szCs w:val="16"/>
              </w:rPr>
              <w:br/>
              <w:t>(1) the patient must demonstrate no deterioration in FEV1 compared to baseline; AND</w:t>
            </w:r>
            <w:r w:rsidRPr="00E106BD">
              <w:rPr>
                <w:rFonts w:ascii="Arial" w:hAnsi="Arial" w:cs="Arial"/>
                <w:sz w:val="16"/>
                <w:szCs w:val="16"/>
              </w:rPr>
              <w:br/>
              <w:t>(2) the patient or the patient</w:t>
            </w:r>
            <w:r w:rsidR="00A653CA">
              <w:rPr>
                <w:rFonts w:ascii="Arial" w:hAnsi="Arial" w:cs="Arial"/>
                <w:sz w:val="16"/>
                <w:szCs w:val="16"/>
              </w:rPr>
              <w:t>’</w:t>
            </w:r>
            <w:r w:rsidRPr="00E106BD">
              <w:rPr>
                <w:rFonts w:ascii="Arial" w:hAnsi="Arial" w:cs="Arial"/>
                <w:sz w:val="16"/>
                <w:szCs w:val="16"/>
              </w:rPr>
              <w:t>s family (in the case of paediatric patients) and the treating physician(s) must report a benefit in the clinical status of the patient.</w:t>
            </w:r>
            <w:r w:rsidRPr="00E106BD">
              <w:rPr>
                <w:rFonts w:ascii="Arial" w:hAnsi="Arial" w:cs="Arial"/>
                <w:sz w:val="16"/>
                <w:szCs w:val="16"/>
              </w:rPr>
              <w:br/>
              <w:t>Further reassessments must be undertaken and documented at six</w:t>
            </w:r>
            <w:r>
              <w:rPr>
                <w:rFonts w:ascii="Arial" w:hAnsi="Arial" w:cs="Arial"/>
                <w:sz w:val="16"/>
                <w:szCs w:val="16"/>
              </w:rPr>
              <w:noBreakHyphen/>
            </w:r>
            <w:r w:rsidRPr="00E106BD">
              <w:rPr>
                <w:rFonts w:ascii="Arial" w:hAnsi="Arial" w:cs="Arial"/>
                <w:sz w:val="16"/>
                <w:szCs w:val="16"/>
              </w:rPr>
              <w:t>monthly intervals. Therapy with this drug should cease if there is not general agreement of benefit as there is always the possibility of harm from unnecessary use.</w:t>
            </w:r>
          </w:p>
        </w:tc>
        <w:tc>
          <w:tcPr>
            <w:tcW w:w="2552" w:type="dxa"/>
            <w:tcMar>
              <w:top w:w="28" w:type="dxa"/>
              <w:left w:w="28" w:type="dxa"/>
              <w:right w:w="57" w:type="dxa"/>
            </w:tcMar>
          </w:tcPr>
          <w:p w:rsidR="00F05C1E" w:rsidRPr="00E106BD" w:rsidDel="008B44D2"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5740</w:t>
            </w:r>
          </w:p>
        </w:tc>
      </w:tr>
      <w:tr w:rsidR="00F05C1E" w:rsidRPr="00E106BD" w:rsidDel="00FC572D" w:rsidTr="008929EB">
        <w:tc>
          <w:tcPr>
            <w:tcW w:w="1729" w:type="dxa"/>
            <w:tcMar>
              <w:top w:w="28" w:type="dxa"/>
              <w:left w:w="28" w:type="dxa"/>
            </w:tcMar>
          </w:tcPr>
          <w:p w:rsidR="00F05C1E" w:rsidRPr="00E106BD" w:rsidDel="00FC572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FC572D" w:rsidRDefault="00F05C1E" w:rsidP="00881477">
            <w:pPr>
              <w:spacing w:line="240" w:lineRule="auto"/>
              <w:rPr>
                <w:rFonts w:ascii="Arial" w:hAnsi="Arial" w:cs="Arial"/>
                <w:sz w:val="16"/>
                <w:szCs w:val="16"/>
              </w:rPr>
            </w:pPr>
            <w:r w:rsidRPr="00E106BD">
              <w:rPr>
                <w:rFonts w:ascii="Arial" w:hAnsi="Arial" w:cs="Arial"/>
                <w:sz w:val="16"/>
                <w:szCs w:val="16"/>
              </w:rPr>
              <w:t>C9591</w:t>
            </w:r>
          </w:p>
        </w:tc>
        <w:tc>
          <w:tcPr>
            <w:tcW w:w="709" w:type="dxa"/>
            <w:tcMar>
              <w:top w:w="28" w:type="dxa"/>
              <w:left w:w="28" w:type="dxa"/>
            </w:tcMar>
          </w:tcPr>
          <w:p w:rsidR="00F05C1E" w:rsidRPr="00E106BD" w:rsidDel="00FC572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FC572D" w:rsidRDefault="00F05C1E"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Patient must have a severe clinical course with frequent respiratory exacerbations or chronic respiratory symptoms (including chronic or recurrent cough, wheeze or tachypnoea) requiring hospital admissions more frequently than 3 times per year; OR</w:t>
            </w:r>
            <w:r w:rsidRPr="00E106BD">
              <w:rPr>
                <w:rFonts w:ascii="Arial" w:hAnsi="Arial" w:cs="Arial"/>
                <w:sz w:val="16"/>
                <w:szCs w:val="16"/>
              </w:rPr>
              <w:br/>
              <w:t>Patient must have significant bronchiectasis on chest high resolution computed tomography scan; OR</w:t>
            </w:r>
            <w:r w:rsidRPr="00E106BD">
              <w:rPr>
                <w:rFonts w:ascii="Arial" w:hAnsi="Arial" w:cs="Arial"/>
                <w:sz w:val="16"/>
                <w:szCs w:val="16"/>
              </w:rPr>
              <w:br/>
              <w:t>Patient must have severe cystic fibrosis bronchiolitis with persistent wheeze non</w:t>
            </w:r>
            <w:r>
              <w:rPr>
                <w:rFonts w:ascii="Arial" w:hAnsi="Arial" w:cs="Arial"/>
                <w:sz w:val="16"/>
                <w:szCs w:val="16"/>
              </w:rPr>
              <w:noBreakHyphen/>
            </w:r>
            <w:r w:rsidRPr="00E106BD">
              <w:rPr>
                <w:rFonts w:ascii="Arial" w:hAnsi="Arial" w:cs="Arial"/>
                <w:sz w:val="16"/>
                <w:szCs w:val="16"/>
              </w:rPr>
              <w:t>responsive to conventional medicines; OR</w:t>
            </w:r>
            <w:r w:rsidRPr="00E106BD">
              <w:rPr>
                <w:rFonts w:ascii="Arial" w:hAnsi="Arial" w:cs="Arial"/>
                <w:sz w:val="16"/>
                <w:szCs w:val="16"/>
              </w:rPr>
              <w:br/>
              <w:t>Patient must have severe physiological deficit measure by forced oscillation technique or multiple breath nitrogen washout and failure to respond to conventional therapy.</w:t>
            </w:r>
            <w:r w:rsidRPr="00E106BD">
              <w:rPr>
                <w:rFonts w:ascii="Arial" w:hAnsi="Arial" w:cs="Arial"/>
                <w:sz w:val="16"/>
                <w:szCs w:val="16"/>
              </w:rPr>
              <w:br/>
              <w:t>Patient must be less than 5 years of age.</w:t>
            </w:r>
            <w:r w:rsidRPr="00E106BD">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hAnsi="Arial" w:cs="Arial"/>
                <w:sz w:val="16"/>
                <w:szCs w:val="16"/>
              </w:rPr>
              <w:br/>
              <w:t>Following an initial 6 months therapy, a comprehensive assessment must be undertaken and documented. Treatment with this drug should cease if there is not agreement of benefit, as there is always the possibility of harm from unnecessary use. Further reassessments must be undertaken and documented at six</w:t>
            </w:r>
            <w:r>
              <w:rPr>
                <w:rFonts w:ascii="Arial" w:hAnsi="Arial" w:cs="Arial"/>
                <w:sz w:val="16"/>
                <w:szCs w:val="16"/>
              </w:rPr>
              <w:noBreakHyphen/>
            </w:r>
            <w:r w:rsidRPr="00E106BD">
              <w:rPr>
                <w:rFonts w:ascii="Arial" w:hAnsi="Arial" w:cs="Arial"/>
                <w:sz w:val="16"/>
                <w:szCs w:val="16"/>
              </w:rPr>
              <w:t>monthly intervals.</w:t>
            </w:r>
          </w:p>
        </w:tc>
        <w:tc>
          <w:tcPr>
            <w:tcW w:w="2552" w:type="dxa"/>
            <w:tcMar>
              <w:top w:w="28" w:type="dxa"/>
              <w:left w:w="28" w:type="dxa"/>
              <w:right w:w="57" w:type="dxa"/>
            </w:tcMar>
          </w:tcPr>
          <w:p w:rsidR="00F05C1E" w:rsidRPr="00E106BD" w:rsidDel="00FC572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9591</w:t>
            </w:r>
          </w:p>
        </w:tc>
      </w:tr>
      <w:tr w:rsidR="00F05C1E" w:rsidRPr="00E106BD" w:rsidDel="00FC572D" w:rsidTr="008929EB">
        <w:tc>
          <w:tcPr>
            <w:tcW w:w="1729" w:type="dxa"/>
            <w:tcMar>
              <w:top w:w="28" w:type="dxa"/>
              <w:left w:w="28" w:type="dxa"/>
            </w:tcMar>
          </w:tcPr>
          <w:p w:rsidR="00F05C1E" w:rsidRPr="00E106BD" w:rsidDel="00FC572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FC572D" w:rsidRDefault="00F05C1E" w:rsidP="00881477">
            <w:pPr>
              <w:spacing w:line="240" w:lineRule="auto"/>
              <w:rPr>
                <w:rFonts w:ascii="Arial" w:hAnsi="Arial" w:cs="Arial"/>
                <w:sz w:val="16"/>
                <w:szCs w:val="16"/>
              </w:rPr>
            </w:pPr>
            <w:r w:rsidRPr="00E106BD">
              <w:rPr>
                <w:rFonts w:ascii="Arial" w:hAnsi="Arial" w:cs="Arial"/>
                <w:sz w:val="16"/>
                <w:szCs w:val="16"/>
              </w:rPr>
              <w:t>C9592</w:t>
            </w:r>
          </w:p>
        </w:tc>
        <w:tc>
          <w:tcPr>
            <w:tcW w:w="709" w:type="dxa"/>
            <w:tcMar>
              <w:top w:w="28" w:type="dxa"/>
              <w:left w:w="28" w:type="dxa"/>
            </w:tcMar>
          </w:tcPr>
          <w:p w:rsidR="00F05C1E" w:rsidRPr="00E106BD" w:rsidDel="00FC572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FC572D" w:rsidRDefault="00F05C1E"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Continuing treatment</w:t>
            </w:r>
            <w:r w:rsidRPr="00E106BD">
              <w:rPr>
                <w:rFonts w:ascii="Arial" w:hAnsi="Arial" w:cs="Arial"/>
                <w:sz w:val="16"/>
                <w:szCs w:val="16"/>
              </w:rPr>
              <w:br/>
              <w:t>Patient must have initiated treatment with dornase alfa at an age of less than 5 years; AND</w:t>
            </w:r>
            <w:r w:rsidRPr="00E106BD">
              <w:rPr>
                <w:rFonts w:ascii="Arial" w:hAnsi="Arial" w:cs="Arial"/>
                <w:sz w:val="16"/>
                <w:szCs w:val="16"/>
              </w:rPr>
              <w:br/>
              <w:t>Patient must have undergone a comprehensive assessment which documents agreement that dornase alfa treatment is continuing to produce worthwhile benefit.</w:t>
            </w:r>
            <w:r w:rsidRPr="00E106BD">
              <w:rPr>
                <w:rFonts w:ascii="Arial" w:hAnsi="Arial" w:cs="Arial"/>
                <w:sz w:val="16"/>
                <w:szCs w:val="16"/>
              </w:rPr>
              <w:br/>
              <w:t>Patient must be 5 years of age or older.</w:t>
            </w:r>
            <w:r w:rsidRPr="00E106BD">
              <w:rPr>
                <w:rFonts w:ascii="Arial" w:hAnsi="Arial" w:cs="Arial"/>
                <w:sz w:val="16"/>
                <w:szCs w:val="16"/>
              </w:rPr>
              <w:br/>
              <w:t>Further reassessments must be undertaken and documented at six</w:t>
            </w:r>
            <w:r>
              <w:rPr>
                <w:rFonts w:ascii="Arial" w:hAnsi="Arial" w:cs="Arial"/>
                <w:sz w:val="16"/>
                <w:szCs w:val="16"/>
              </w:rPr>
              <w:noBreakHyphen/>
            </w:r>
            <w:r w:rsidRPr="00E106BD">
              <w:rPr>
                <w:rFonts w:ascii="Arial" w:hAnsi="Arial" w:cs="Arial"/>
                <w:sz w:val="16"/>
                <w:szCs w:val="16"/>
              </w:rPr>
              <w:t>monthly intervals. Treatment with this drug should cease if there is not agreement of benefit as there is always the possibility of harm from unnecessary use.</w:t>
            </w:r>
          </w:p>
        </w:tc>
        <w:tc>
          <w:tcPr>
            <w:tcW w:w="2552" w:type="dxa"/>
            <w:tcMar>
              <w:top w:w="28" w:type="dxa"/>
              <w:left w:w="28" w:type="dxa"/>
              <w:right w:w="57" w:type="dxa"/>
            </w:tcMar>
          </w:tcPr>
          <w:p w:rsidR="00F05C1E" w:rsidRPr="00E106BD" w:rsidDel="00FC572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9592</w:t>
            </w:r>
          </w:p>
        </w:tc>
      </w:tr>
      <w:tr w:rsidR="00F05C1E" w:rsidRPr="00E106BD" w:rsidDel="00FC572D" w:rsidTr="008929EB">
        <w:tc>
          <w:tcPr>
            <w:tcW w:w="1729" w:type="dxa"/>
            <w:tcMar>
              <w:top w:w="28" w:type="dxa"/>
              <w:left w:w="28" w:type="dxa"/>
            </w:tcMar>
          </w:tcPr>
          <w:p w:rsidR="00F05C1E" w:rsidRPr="00E106BD" w:rsidDel="00FC572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FC572D" w:rsidRDefault="00F05C1E" w:rsidP="00881477">
            <w:pPr>
              <w:spacing w:line="240" w:lineRule="auto"/>
              <w:rPr>
                <w:rFonts w:ascii="Arial" w:hAnsi="Arial" w:cs="Arial"/>
                <w:sz w:val="16"/>
                <w:szCs w:val="16"/>
              </w:rPr>
            </w:pPr>
            <w:r w:rsidRPr="00E106BD">
              <w:rPr>
                <w:rFonts w:ascii="Arial" w:hAnsi="Arial" w:cs="Arial"/>
                <w:sz w:val="16"/>
                <w:szCs w:val="16"/>
              </w:rPr>
              <w:t>C9624</w:t>
            </w:r>
          </w:p>
        </w:tc>
        <w:tc>
          <w:tcPr>
            <w:tcW w:w="709" w:type="dxa"/>
            <w:tcMar>
              <w:top w:w="28" w:type="dxa"/>
              <w:left w:w="28" w:type="dxa"/>
            </w:tcMar>
          </w:tcPr>
          <w:p w:rsidR="00F05C1E" w:rsidRPr="00E106BD" w:rsidDel="00FC572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FC572D" w:rsidRDefault="00F05C1E"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Patient must be 5 years of age or older.</w:t>
            </w:r>
            <w:r w:rsidRPr="00E106BD">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hAnsi="Arial" w:cs="Arial"/>
                <w:sz w:val="16"/>
                <w:szCs w:val="16"/>
              </w:rPr>
              <w:br/>
              <w:t>Prior to therapy with this drug, a baseline measurement of forced expiratory volume in 1 second (FEV1) must be undertaken during a stable period of the disease.</w:t>
            </w:r>
            <w:r w:rsidRPr="00E106BD">
              <w:rPr>
                <w:rFonts w:ascii="Arial" w:hAnsi="Arial" w:cs="Arial"/>
                <w:sz w:val="16"/>
                <w:szCs w:val="16"/>
              </w:rPr>
              <w:br/>
              <w:t>Initial therapy is limited to 3 months treatment with dornase alfa at a dose of 2.5 mg daily.</w:t>
            </w:r>
            <w:r w:rsidRPr="00E106BD">
              <w:rPr>
                <w:rFonts w:ascii="Arial" w:hAnsi="Arial" w:cs="Arial"/>
                <w:sz w:val="16"/>
                <w:szCs w:val="16"/>
              </w:rPr>
              <w:br/>
              <w:t>To be eligible for continued PBS</w:t>
            </w:r>
            <w:r>
              <w:rPr>
                <w:rFonts w:ascii="Arial" w:hAnsi="Arial" w:cs="Arial"/>
                <w:sz w:val="16"/>
                <w:szCs w:val="16"/>
              </w:rPr>
              <w:noBreakHyphen/>
            </w:r>
            <w:r w:rsidRPr="00E106BD">
              <w:rPr>
                <w:rFonts w:ascii="Arial" w:hAnsi="Arial" w:cs="Arial"/>
                <w:sz w:val="16"/>
                <w:szCs w:val="16"/>
              </w:rPr>
              <w:t>subsidised treatment with this drug following 3 months of initial treatment:</w:t>
            </w:r>
            <w:r w:rsidRPr="00E106BD">
              <w:rPr>
                <w:rFonts w:ascii="Arial" w:hAnsi="Arial" w:cs="Arial"/>
                <w:sz w:val="16"/>
                <w:szCs w:val="16"/>
              </w:rPr>
              <w:br/>
              <w:t>(1) the patient must demonstrate no deterioration in FEV1 compared to baseline; AND</w:t>
            </w:r>
            <w:r w:rsidRPr="00E106BD">
              <w:rPr>
                <w:rFonts w:ascii="Arial" w:hAnsi="Arial" w:cs="Arial"/>
                <w:sz w:val="16"/>
                <w:szCs w:val="16"/>
              </w:rPr>
              <w:br/>
              <w:t>(2) the patient or the patient</w:t>
            </w:r>
            <w:r w:rsidR="00A653CA">
              <w:rPr>
                <w:rFonts w:ascii="Arial" w:hAnsi="Arial" w:cs="Arial"/>
                <w:sz w:val="16"/>
                <w:szCs w:val="16"/>
              </w:rPr>
              <w:t>’</w:t>
            </w:r>
            <w:r w:rsidRPr="00E106BD">
              <w:rPr>
                <w:rFonts w:ascii="Arial" w:hAnsi="Arial" w:cs="Arial"/>
                <w:sz w:val="16"/>
                <w:szCs w:val="16"/>
              </w:rPr>
              <w:t>s family (in the case of paediatric patients) and the treating physician(s) must report a benefit in the clinical status of the patient.</w:t>
            </w:r>
            <w:r w:rsidRPr="00E106BD">
              <w:rPr>
                <w:rFonts w:ascii="Arial" w:hAnsi="Arial" w:cs="Arial"/>
                <w:sz w:val="16"/>
                <w:szCs w:val="16"/>
              </w:rPr>
              <w:br/>
              <w:t>Further reassessments must be undertaken and documented at six</w:t>
            </w:r>
            <w:r>
              <w:rPr>
                <w:rFonts w:ascii="Arial" w:hAnsi="Arial" w:cs="Arial"/>
                <w:sz w:val="16"/>
                <w:szCs w:val="16"/>
              </w:rPr>
              <w:noBreakHyphen/>
            </w:r>
            <w:r w:rsidRPr="00E106BD">
              <w:rPr>
                <w:rFonts w:ascii="Arial" w:hAnsi="Arial" w:cs="Arial"/>
                <w:sz w:val="16"/>
                <w:szCs w:val="16"/>
              </w:rPr>
              <w:t>monthly intervals. Therapy with this drug should cease if there is not general agreement of benefit as there is always the possibility of harm from unnecessary use.</w:t>
            </w:r>
          </w:p>
        </w:tc>
        <w:tc>
          <w:tcPr>
            <w:tcW w:w="2552" w:type="dxa"/>
            <w:tcMar>
              <w:top w:w="28" w:type="dxa"/>
              <w:left w:w="28" w:type="dxa"/>
              <w:right w:w="57" w:type="dxa"/>
            </w:tcMar>
          </w:tcPr>
          <w:p w:rsidR="00F05C1E" w:rsidRPr="00E106BD" w:rsidDel="00FC572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9624</w:t>
            </w:r>
          </w:p>
        </w:tc>
      </w:tr>
      <w:tr w:rsidR="00F05C1E" w:rsidRPr="00E106BD" w:rsidDel="00E02E18" w:rsidTr="008929EB">
        <w:tc>
          <w:tcPr>
            <w:tcW w:w="172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bookmarkStart w:id="112" w:name="CU_116265759"/>
            <w:bookmarkEnd w:id="112"/>
            <w:r w:rsidRPr="00E106BD">
              <w:rPr>
                <w:rFonts w:ascii="Arial" w:hAnsi="Arial" w:cs="Arial"/>
                <w:sz w:val="16"/>
                <w:szCs w:val="16"/>
              </w:rPr>
              <w:t xml:space="preserve">Doxorubicin </w:t>
            </w:r>
            <w:r>
              <w:rPr>
                <w:rFonts w:ascii="Arial" w:hAnsi="Arial" w:cs="Arial"/>
                <w:sz w:val="16"/>
                <w:szCs w:val="16"/>
              </w:rPr>
              <w:noBreakHyphen/>
            </w:r>
            <w:r w:rsidRPr="00E106BD">
              <w:rPr>
                <w:rFonts w:ascii="Arial" w:hAnsi="Arial" w:cs="Arial"/>
                <w:sz w:val="16"/>
                <w:szCs w:val="16"/>
              </w:rPr>
              <w:t xml:space="preserve"> </w:t>
            </w:r>
            <w:r w:rsidRPr="00E106BD">
              <w:rPr>
                <w:rFonts w:ascii="Arial" w:hAnsi="Arial" w:cs="Arial"/>
                <w:sz w:val="16"/>
                <w:szCs w:val="16"/>
              </w:rPr>
              <w:br/>
              <w:t>Pegylated Liposomal</w:t>
            </w:r>
          </w:p>
        </w:tc>
        <w:tc>
          <w:tcPr>
            <w:tcW w:w="70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C6234</w:t>
            </w:r>
          </w:p>
        </w:tc>
        <w:tc>
          <w:tcPr>
            <w:tcW w:w="70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Kaposi sarcoma</w:t>
            </w:r>
            <w:r w:rsidRPr="00E106BD">
              <w:rPr>
                <w:rFonts w:ascii="Arial" w:hAnsi="Arial" w:cs="Arial"/>
                <w:sz w:val="16"/>
                <w:szCs w:val="16"/>
              </w:rPr>
              <w:br/>
              <w:t>The condition must be AIDS</w:t>
            </w:r>
            <w:r>
              <w:rPr>
                <w:rFonts w:ascii="Arial" w:hAnsi="Arial" w:cs="Arial"/>
                <w:sz w:val="16"/>
                <w:szCs w:val="16"/>
              </w:rPr>
              <w:noBreakHyphen/>
            </w:r>
            <w:r w:rsidRPr="00E106BD">
              <w:rPr>
                <w:rFonts w:ascii="Arial" w:hAnsi="Arial" w:cs="Arial"/>
                <w:sz w:val="16"/>
                <w:szCs w:val="16"/>
              </w:rPr>
              <w:t>related; AND</w:t>
            </w:r>
            <w:r w:rsidRPr="00E106BD">
              <w:rPr>
                <w:rFonts w:ascii="Arial" w:hAnsi="Arial" w:cs="Arial"/>
                <w:sz w:val="16"/>
                <w:szCs w:val="16"/>
              </w:rPr>
              <w:br/>
              <w:t>Patient must have a CD4 cell count of less than 200 per cubic millimetre; AND</w:t>
            </w:r>
            <w:r w:rsidRPr="00E106BD">
              <w:rPr>
                <w:rFonts w:ascii="Arial" w:hAnsi="Arial" w:cs="Arial"/>
                <w:sz w:val="16"/>
                <w:szCs w:val="16"/>
              </w:rPr>
              <w:br/>
              <w:t>The condition must include extensive mucocutaneous involvement.</w:t>
            </w:r>
          </w:p>
        </w:tc>
        <w:tc>
          <w:tcPr>
            <w:tcW w:w="2552" w:type="dxa"/>
            <w:tcBorders>
              <w:bottom w:val="single" w:sz="4" w:space="0" w:color="auto"/>
            </w:tcBorders>
            <w:shd w:val="clear" w:color="auto" w:fill="auto"/>
            <w:tcMar>
              <w:top w:w="28" w:type="dxa"/>
              <w:left w:w="28" w:type="dxa"/>
              <w:right w:w="57" w:type="dxa"/>
            </w:tcMar>
          </w:tcPr>
          <w:p w:rsidR="00F05C1E" w:rsidRPr="00E106BD" w:rsidDel="00E02E18"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6234</w:t>
            </w:r>
          </w:p>
        </w:tc>
      </w:tr>
      <w:tr w:rsidR="00F05C1E" w:rsidRPr="00E106BD" w:rsidDel="00E02E18" w:rsidTr="008929EB">
        <w:tc>
          <w:tcPr>
            <w:tcW w:w="172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C6274</w:t>
            </w:r>
          </w:p>
        </w:tc>
        <w:tc>
          <w:tcPr>
            <w:tcW w:w="70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Kaposi sarcoma</w:t>
            </w:r>
            <w:r w:rsidRPr="00E106BD">
              <w:rPr>
                <w:rFonts w:ascii="Arial" w:hAnsi="Arial" w:cs="Arial"/>
                <w:sz w:val="16"/>
                <w:szCs w:val="16"/>
              </w:rPr>
              <w:br/>
              <w:t>The condition must be AIDS</w:t>
            </w:r>
            <w:r>
              <w:rPr>
                <w:rFonts w:ascii="Arial" w:hAnsi="Arial" w:cs="Arial"/>
                <w:sz w:val="16"/>
                <w:szCs w:val="16"/>
              </w:rPr>
              <w:noBreakHyphen/>
            </w:r>
            <w:r w:rsidRPr="00E106BD">
              <w:rPr>
                <w:rFonts w:ascii="Arial" w:hAnsi="Arial" w:cs="Arial"/>
                <w:sz w:val="16"/>
                <w:szCs w:val="16"/>
              </w:rPr>
              <w:t>related; AND</w:t>
            </w:r>
            <w:r w:rsidRPr="00E106BD">
              <w:rPr>
                <w:rFonts w:ascii="Arial" w:hAnsi="Arial" w:cs="Arial"/>
                <w:sz w:val="16"/>
                <w:szCs w:val="16"/>
              </w:rPr>
              <w:br/>
              <w:t>Patient must have a CD4 cell count of less than 200 per cubic millimetre; AND</w:t>
            </w:r>
            <w:r w:rsidRPr="00E106BD">
              <w:rPr>
                <w:rFonts w:ascii="Arial" w:hAnsi="Arial" w:cs="Arial"/>
                <w:sz w:val="16"/>
                <w:szCs w:val="16"/>
              </w:rPr>
              <w:br/>
              <w:t>The condition must include extensive visceral involvement.</w:t>
            </w:r>
          </w:p>
        </w:tc>
        <w:tc>
          <w:tcPr>
            <w:tcW w:w="2552" w:type="dxa"/>
            <w:tcBorders>
              <w:bottom w:val="single" w:sz="4" w:space="0" w:color="auto"/>
            </w:tcBorders>
            <w:shd w:val="clear" w:color="auto" w:fill="auto"/>
            <w:tcMar>
              <w:top w:w="28" w:type="dxa"/>
              <w:left w:w="28" w:type="dxa"/>
              <w:right w:w="57" w:type="dxa"/>
            </w:tcMar>
          </w:tcPr>
          <w:p w:rsidR="00F05C1E" w:rsidRPr="00E106BD" w:rsidDel="00E02E18"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6274</w:t>
            </w:r>
          </w:p>
        </w:tc>
      </w:tr>
      <w:tr w:rsidR="00F05C1E" w:rsidRPr="00E106BD" w:rsidDel="00E02E18" w:rsidTr="008929EB">
        <w:tc>
          <w:tcPr>
            <w:tcW w:w="172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C9223</w:t>
            </w:r>
          </w:p>
        </w:tc>
        <w:tc>
          <w:tcPr>
            <w:tcW w:w="70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Kaposi sarcoma</w:t>
            </w:r>
            <w:r w:rsidRPr="00E106BD">
              <w:rPr>
                <w:rFonts w:ascii="Arial" w:hAnsi="Arial" w:cs="Arial"/>
                <w:sz w:val="16"/>
                <w:szCs w:val="16"/>
              </w:rPr>
              <w:br/>
              <w:t>The condition must be AIDS</w:t>
            </w:r>
            <w:r>
              <w:rPr>
                <w:rFonts w:ascii="Arial" w:hAnsi="Arial" w:cs="Arial"/>
                <w:sz w:val="16"/>
                <w:szCs w:val="16"/>
              </w:rPr>
              <w:noBreakHyphen/>
            </w:r>
            <w:r w:rsidRPr="00E106BD">
              <w:rPr>
                <w:rFonts w:ascii="Arial" w:hAnsi="Arial" w:cs="Arial"/>
                <w:sz w:val="16"/>
                <w:szCs w:val="16"/>
              </w:rPr>
              <w:t>related; AND</w:t>
            </w:r>
            <w:r w:rsidRPr="00E106BD">
              <w:rPr>
                <w:rFonts w:ascii="Arial" w:hAnsi="Arial" w:cs="Arial"/>
                <w:sz w:val="16"/>
                <w:szCs w:val="16"/>
              </w:rPr>
              <w:br/>
              <w:t>Patient must have a CD4 cell count of less than 200 per cubic millimetre; AND</w:t>
            </w:r>
            <w:r w:rsidRPr="00E106BD">
              <w:rPr>
                <w:rFonts w:ascii="Arial" w:hAnsi="Arial" w:cs="Arial"/>
                <w:sz w:val="16"/>
                <w:szCs w:val="16"/>
              </w:rPr>
              <w:br/>
              <w:t>The condition must include extensive visceral involvement.</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9223</w:t>
            </w:r>
          </w:p>
        </w:tc>
      </w:tr>
      <w:tr w:rsidR="00F05C1E" w:rsidRPr="00E106BD" w:rsidDel="00E02E18" w:rsidTr="008929EB">
        <w:tc>
          <w:tcPr>
            <w:tcW w:w="172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C9287</w:t>
            </w:r>
          </w:p>
        </w:tc>
        <w:tc>
          <w:tcPr>
            <w:tcW w:w="70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Kaposi sarcoma</w:t>
            </w:r>
            <w:r w:rsidRPr="00E106BD">
              <w:rPr>
                <w:rFonts w:ascii="Arial" w:hAnsi="Arial" w:cs="Arial"/>
                <w:sz w:val="16"/>
                <w:szCs w:val="16"/>
              </w:rPr>
              <w:br/>
              <w:t>The condition must be AIDS</w:t>
            </w:r>
            <w:r>
              <w:rPr>
                <w:rFonts w:ascii="Arial" w:hAnsi="Arial" w:cs="Arial"/>
                <w:sz w:val="16"/>
                <w:szCs w:val="16"/>
              </w:rPr>
              <w:noBreakHyphen/>
            </w:r>
            <w:r w:rsidRPr="00E106BD">
              <w:rPr>
                <w:rFonts w:ascii="Arial" w:hAnsi="Arial" w:cs="Arial"/>
                <w:sz w:val="16"/>
                <w:szCs w:val="16"/>
              </w:rPr>
              <w:t>related; AND</w:t>
            </w:r>
            <w:r w:rsidRPr="00E106BD">
              <w:rPr>
                <w:rFonts w:ascii="Arial" w:hAnsi="Arial" w:cs="Arial"/>
                <w:sz w:val="16"/>
                <w:szCs w:val="16"/>
              </w:rPr>
              <w:br/>
              <w:t>Patient must have a CD4 cell count of less than 200 per cubic millimetre; AND</w:t>
            </w:r>
            <w:r w:rsidRPr="00E106BD">
              <w:rPr>
                <w:rFonts w:ascii="Arial" w:hAnsi="Arial" w:cs="Arial"/>
                <w:sz w:val="16"/>
                <w:szCs w:val="16"/>
              </w:rPr>
              <w:br/>
              <w:t>The condition must include extensive mucocutaneous involvement.</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9287</w:t>
            </w:r>
          </w:p>
        </w:tc>
      </w:tr>
      <w:tr w:rsidR="00F05C1E" w:rsidRPr="00E106BD" w:rsidDel="00107F2B" w:rsidTr="008929EB">
        <w:tc>
          <w:tcPr>
            <w:tcW w:w="172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bookmarkStart w:id="113" w:name="CU_117266115"/>
            <w:bookmarkStart w:id="114" w:name="CU_118270177"/>
            <w:bookmarkStart w:id="115" w:name="CU_119277392"/>
            <w:bookmarkStart w:id="116" w:name="CU_120281444"/>
            <w:bookmarkStart w:id="117" w:name="CU_121285432"/>
            <w:bookmarkStart w:id="118" w:name="CU_122288886"/>
            <w:bookmarkStart w:id="119" w:name="CU_123292076"/>
            <w:bookmarkStart w:id="120" w:name="CU_124299289"/>
            <w:bookmarkStart w:id="121" w:name="CU_125303277"/>
            <w:bookmarkStart w:id="122" w:name="CU_126304775"/>
            <w:bookmarkStart w:id="123" w:name="CU_127309022"/>
            <w:bookmarkStart w:id="124" w:name="CU_129316503"/>
            <w:bookmarkEnd w:id="113"/>
            <w:bookmarkEnd w:id="114"/>
            <w:bookmarkEnd w:id="115"/>
            <w:bookmarkEnd w:id="116"/>
            <w:bookmarkEnd w:id="117"/>
            <w:bookmarkEnd w:id="118"/>
            <w:bookmarkEnd w:id="119"/>
            <w:bookmarkEnd w:id="120"/>
            <w:bookmarkEnd w:id="121"/>
            <w:bookmarkEnd w:id="122"/>
            <w:bookmarkEnd w:id="123"/>
            <w:bookmarkEnd w:id="124"/>
            <w:r w:rsidRPr="00E106BD">
              <w:rPr>
                <w:rFonts w:ascii="Arial" w:hAnsi="Arial" w:cs="Arial"/>
                <w:sz w:val="16"/>
                <w:szCs w:val="16"/>
              </w:rPr>
              <w:t>Eculizumab</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C6626</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P6626</w:t>
            </w:r>
          </w:p>
        </w:tc>
        <w:tc>
          <w:tcPr>
            <w:tcW w:w="7654" w:type="dxa"/>
            <w:shd w:val="clear" w:color="auto" w:fill="auto"/>
            <w:tcMar>
              <w:top w:w="28" w:type="dxa"/>
              <w:left w:w="28" w:type="dxa"/>
            </w:tcMar>
          </w:tcPr>
          <w:p w:rsidR="00F05C1E" w:rsidRPr="00E106BD" w:rsidRDefault="00F05C1E" w:rsidP="00881477">
            <w:pPr>
              <w:pStyle w:val="mps3-data"/>
              <w:spacing w:before="0"/>
              <w:rPr>
                <w:b/>
                <w:szCs w:val="16"/>
              </w:rPr>
            </w:pPr>
            <w:r w:rsidRPr="00E106BD">
              <w:rPr>
                <w:szCs w:val="16"/>
              </w:rPr>
              <w:t>Atypical haemolytic uraemic syndrome (aHUS)</w:t>
            </w:r>
          </w:p>
          <w:p w:rsidR="00F05C1E" w:rsidRPr="00E106BD" w:rsidRDefault="00F05C1E" w:rsidP="00881477">
            <w:pPr>
              <w:pStyle w:val="mps3-data"/>
              <w:rPr>
                <w:b/>
                <w:szCs w:val="16"/>
              </w:rPr>
            </w:pPr>
            <w:r w:rsidRPr="00E106BD">
              <w:rPr>
                <w:szCs w:val="16"/>
              </w:rPr>
              <w:t>Initial treatment</w:t>
            </w:r>
          </w:p>
          <w:p w:rsidR="00F05C1E" w:rsidRPr="00E106BD" w:rsidRDefault="00F05C1E" w:rsidP="00881477">
            <w:pPr>
              <w:pStyle w:val="mps3-data"/>
              <w:rPr>
                <w:b/>
                <w:szCs w:val="16"/>
              </w:rPr>
            </w:pPr>
            <w:r w:rsidRPr="00E106BD">
              <w:rPr>
                <w:szCs w:val="16"/>
              </w:rPr>
              <w:t>Patient must have active and progressing thrombotic microangiopathy (TMA) caused by aHUS; AND</w:t>
            </w:r>
          </w:p>
          <w:p w:rsidR="00F05C1E" w:rsidRPr="00E106BD" w:rsidRDefault="00F05C1E" w:rsidP="00881477">
            <w:pPr>
              <w:pStyle w:val="mps3-data"/>
              <w:rPr>
                <w:b/>
                <w:szCs w:val="16"/>
              </w:rPr>
            </w:pPr>
            <w:r w:rsidRPr="00E106BD">
              <w:rPr>
                <w:szCs w:val="16"/>
              </w:rPr>
              <w:t>Patient must have ADAMTS</w:t>
            </w:r>
            <w:r>
              <w:rPr>
                <w:szCs w:val="16"/>
              </w:rPr>
              <w:noBreakHyphen/>
            </w:r>
            <w:r w:rsidRPr="00E106BD">
              <w:rPr>
                <w:szCs w:val="16"/>
              </w:rPr>
              <w:t>13 activity of greater than or equal to 10% on a blood sample taken prior to plasma exchange or infusion; or, if ADAMTS</w:t>
            </w:r>
            <w:r>
              <w:rPr>
                <w:szCs w:val="16"/>
              </w:rPr>
              <w:noBreakHyphen/>
            </w:r>
            <w:r w:rsidRPr="00E106BD">
              <w:rPr>
                <w:szCs w:val="16"/>
              </w:rPr>
              <w:t>13 activity was not collected prior to plasma exchange or infusion, patient must have platelet counts of greater than 30x10^9/L and a serum creatinine of greater than 150 mol/L; AND</w:t>
            </w:r>
          </w:p>
          <w:p w:rsidR="00F05C1E" w:rsidRPr="00E106BD" w:rsidRDefault="00F05C1E" w:rsidP="00881477">
            <w:pPr>
              <w:pStyle w:val="mps3-data"/>
              <w:rPr>
                <w:b/>
                <w:szCs w:val="16"/>
              </w:rPr>
            </w:pPr>
            <w:r w:rsidRPr="00E106BD">
              <w:rPr>
                <w:szCs w:val="16"/>
              </w:rPr>
              <w:t>Patient must have a confirmed negative STEC (Shiga toxin</w:t>
            </w:r>
            <w:r>
              <w:rPr>
                <w:szCs w:val="16"/>
              </w:rPr>
              <w:noBreakHyphen/>
            </w:r>
            <w:r w:rsidRPr="00E106BD">
              <w:rPr>
                <w:szCs w:val="16"/>
              </w:rPr>
              <w:t>producing E.Coli) result if the patient has had diarrhoea in the preceding 14 days; AND</w:t>
            </w:r>
          </w:p>
          <w:p w:rsidR="00F05C1E" w:rsidRPr="00E106BD" w:rsidRDefault="00F05C1E" w:rsidP="00881477">
            <w:pPr>
              <w:pStyle w:val="mps3-data"/>
              <w:rPr>
                <w:b/>
                <w:szCs w:val="16"/>
              </w:rPr>
            </w:pPr>
            <w:r w:rsidRPr="00E106BD">
              <w:rPr>
                <w:szCs w:val="16"/>
              </w:rPr>
              <w:t>Patient must have clinical features of active organ damage or impairment; AND</w:t>
            </w:r>
          </w:p>
          <w:p w:rsidR="00F05C1E" w:rsidRPr="00E106BD" w:rsidRDefault="00F05C1E" w:rsidP="00881477">
            <w:pPr>
              <w:pStyle w:val="mps3-data"/>
              <w:rPr>
                <w:b/>
                <w:szCs w:val="16"/>
              </w:rPr>
            </w:pPr>
            <w:r w:rsidRPr="00E106BD">
              <w:rPr>
                <w:szCs w:val="16"/>
              </w:rPr>
              <w:t>Patient must not receive more than 4 weeks of treatment under this restriction.</w:t>
            </w:r>
          </w:p>
          <w:p w:rsidR="00F05C1E" w:rsidRPr="00E106BD" w:rsidRDefault="00F05C1E" w:rsidP="00881477">
            <w:pPr>
              <w:pStyle w:val="mps3-data"/>
              <w:rPr>
                <w:b/>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05C1E" w:rsidRPr="00E106BD" w:rsidRDefault="00F05C1E" w:rsidP="00881477">
            <w:pPr>
              <w:pStyle w:val="mps3-data"/>
              <w:rPr>
                <w:b/>
                <w:szCs w:val="16"/>
              </w:rPr>
            </w:pPr>
            <w:r w:rsidRPr="00E106BD">
              <w:rPr>
                <w:szCs w:val="16"/>
              </w:rPr>
              <w:t>Evidence of active and progressing TMA is defined by the following:</w:t>
            </w:r>
          </w:p>
          <w:p w:rsidR="00F05C1E" w:rsidRPr="00E106BD" w:rsidRDefault="00F05C1E" w:rsidP="00881477">
            <w:pPr>
              <w:pStyle w:val="mps3-data"/>
              <w:rPr>
                <w:b/>
                <w:szCs w:val="16"/>
              </w:rPr>
            </w:pPr>
            <w:r w:rsidRPr="00E106BD">
              <w:rPr>
                <w:szCs w:val="16"/>
              </w:rPr>
              <w:t>(1) a platelet count of less than 150x10^9/L; and evidence of two of the following:</w:t>
            </w:r>
          </w:p>
          <w:p w:rsidR="00F05C1E" w:rsidRPr="00E106BD" w:rsidRDefault="00F05C1E" w:rsidP="00881477">
            <w:pPr>
              <w:pStyle w:val="mps3-data"/>
              <w:rPr>
                <w:b/>
                <w:szCs w:val="16"/>
              </w:rPr>
            </w:pPr>
            <w:r w:rsidRPr="00E106BD">
              <w:rPr>
                <w:szCs w:val="16"/>
              </w:rPr>
              <w:t>(i) presence of schistocytes on blood film;</w:t>
            </w:r>
          </w:p>
          <w:p w:rsidR="00F05C1E" w:rsidRPr="00E106BD" w:rsidRDefault="00F05C1E" w:rsidP="00881477">
            <w:pPr>
              <w:pStyle w:val="mps3-data"/>
              <w:rPr>
                <w:b/>
                <w:szCs w:val="16"/>
              </w:rPr>
            </w:pPr>
            <w:r w:rsidRPr="00E106BD">
              <w:rPr>
                <w:szCs w:val="16"/>
              </w:rPr>
              <w:t>(ii) low or absent haptoglobin;</w:t>
            </w:r>
          </w:p>
          <w:p w:rsidR="00F05C1E" w:rsidRPr="00E106BD" w:rsidRDefault="00F05C1E" w:rsidP="00881477">
            <w:pPr>
              <w:pStyle w:val="mps3-data"/>
              <w:rPr>
                <w:b/>
                <w:szCs w:val="16"/>
              </w:rPr>
            </w:pPr>
            <w:r w:rsidRPr="00E106BD">
              <w:rPr>
                <w:szCs w:val="16"/>
              </w:rPr>
              <w:t>(iii) lactate dehydrogenase (LDH) above normal range;</w:t>
            </w:r>
          </w:p>
          <w:p w:rsidR="00F05C1E" w:rsidRPr="00E106BD" w:rsidRDefault="00F05C1E" w:rsidP="00881477">
            <w:pPr>
              <w:pStyle w:val="mps3-data"/>
              <w:rPr>
                <w:b/>
                <w:szCs w:val="16"/>
              </w:rPr>
            </w:pPr>
            <w:r w:rsidRPr="00E106BD">
              <w:rPr>
                <w:szCs w:val="16"/>
              </w:rPr>
              <w:t>OR</w:t>
            </w:r>
          </w:p>
          <w:p w:rsidR="00F05C1E" w:rsidRPr="00E106BD" w:rsidRDefault="00F05C1E" w:rsidP="00881477">
            <w:pPr>
              <w:pStyle w:val="mps3-data"/>
              <w:rPr>
                <w:b/>
                <w:szCs w:val="16"/>
              </w:rPr>
            </w:pPr>
            <w:r w:rsidRPr="00E106BD">
              <w:rPr>
                <w:szCs w:val="16"/>
              </w:rPr>
              <w:t>(2) in recipients of a kidney transplant for end</w:t>
            </w:r>
            <w:r>
              <w:rPr>
                <w:szCs w:val="16"/>
              </w:rPr>
              <w:noBreakHyphen/>
            </w:r>
            <w:r w:rsidRPr="00E106BD">
              <w:rPr>
                <w:szCs w:val="16"/>
              </w:rPr>
              <w:t>stage kidney disease due to aHUS, a kidney biopsy confirming TMA;</w:t>
            </w:r>
          </w:p>
          <w:p w:rsidR="00F05C1E" w:rsidRPr="00E106BD" w:rsidRDefault="00F05C1E" w:rsidP="00881477">
            <w:pPr>
              <w:pStyle w:val="mps3-data"/>
              <w:rPr>
                <w:b/>
                <w:szCs w:val="16"/>
              </w:rPr>
            </w:pPr>
            <w:r w:rsidRPr="00E106BD">
              <w:rPr>
                <w:szCs w:val="16"/>
              </w:rPr>
              <w:t>AND</w:t>
            </w:r>
          </w:p>
          <w:p w:rsidR="00F05C1E" w:rsidRPr="00E106BD" w:rsidRDefault="00F05C1E" w:rsidP="00881477">
            <w:pPr>
              <w:pStyle w:val="mps3-data"/>
              <w:rPr>
                <w:b/>
                <w:szCs w:val="16"/>
              </w:rPr>
            </w:pPr>
            <w:r w:rsidRPr="00E106BD">
              <w:rPr>
                <w:szCs w:val="16"/>
              </w:rPr>
              <w:t>(3) evidence of at least one of the following clinical features of active TMA</w:t>
            </w:r>
            <w:r>
              <w:rPr>
                <w:szCs w:val="16"/>
              </w:rPr>
              <w:noBreakHyphen/>
            </w:r>
            <w:r w:rsidRPr="00E106BD">
              <w:rPr>
                <w:szCs w:val="16"/>
              </w:rPr>
              <w:t>related organ damage or impairment is defined as below:</w:t>
            </w:r>
          </w:p>
          <w:p w:rsidR="00F05C1E" w:rsidRPr="00E106BD" w:rsidRDefault="00F05C1E" w:rsidP="00881477">
            <w:pPr>
              <w:pStyle w:val="mps3-data"/>
              <w:rPr>
                <w:b/>
                <w:szCs w:val="16"/>
              </w:rPr>
            </w:pPr>
            <w:r w:rsidRPr="00E106BD">
              <w:rPr>
                <w:szCs w:val="16"/>
              </w:rPr>
              <w:t>(a) kidney impairment as demonstrated by one of the following:</w:t>
            </w:r>
          </w:p>
          <w:p w:rsidR="00F05C1E" w:rsidRPr="00E106BD" w:rsidRDefault="00F05C1E" w:rsidP="00881477">
            <w:pPr>
              <w:pStyle w:val="mps3-data"/>
              <w:rPr>
                <w:b/>
                <w:szCs w:val="16"/>
              </w:rPr>
            </w:pPr>
            <w:r w:rsidRPr="00E106BD">
              <w:rPr>
                <w:szCs w:val="16"/>
              </w:rPr>
              <w:t>(i) a decline in estimated Glomerular Filtration Rate (eGFR) of greater than 20% in a patient who has pre</w:t>
            </w:r>
            <w:r>
              <w:rPr>
                <w:szCs w:val="16"/>
              </w:rPr>
              <w:noBreakHyphen/>
            </w:r>
            <w:r w:rsidRPr="00E106BD">
              <w:rPr>
                <w:szCs w:val="16"/>
              </w:rPr>
              <w:t>existing kidney impairment; and/or</w:t>
            </w:r>
          </w:p>
          <w:p w:rsidR="00F05C1E" w:rsidRPr="00E106BD" w:rsidRDefault="00F05C1E" w:rsidP="00881477">
            <w:pPr>
              <w:pStyle w:val="mps3-data"/>
              <w:rPr>
                <w:b/>
                <w:szCs w:val="16"/>
              </w:rPr>
            </w:pPr>
            <w:r w:rsidRPr="00E106BD">
              <w:rPr>
                <w:szCs w:val="16"/>
              </w:rPr>
              <w:t>(ii) a serum creatinine (sCr) of greater than the upper limit of normal (ULN) in a patient who has no history of pre</w:t>
            </w:r>
            <w:r>
              <w:rPr>
                <w:szCs w:val="16"/>
              </w:rPr>
              <w:noBreakHyphen/>
            </w:r>
            <w:r w:rsidRPr="00E106BD">
              <w:rPr>
                <w:szCs w:val="16"/>
              </w:rPr>
              <w:t>existing kidney impairment; or</w:t>
            </w:r>
          </w:p>
          <w:p w:rsidR="00F05C1E" w:rsidRPr="00E106BD" w:rsidRDefault="00F05C1E" w:rsidP="00881477">
            <w:pPr>
              <w:pStyle w:val="mps3-data"/>
              <w:rPr>
                <w:b/>
                <w:szCs w:val="16"/>
              </w:rPr>
            </w:pPr>
            <w:r w:rsidRPr="00E106BD">
              <w:rPr>
                <w:szCs w:val="16"/>
              </w:rPr>
              <w:t>(iii) a sCr of greater than the age</w:t>
            </w:r>
            <w:r>
              <w:rPr>
                <w:szCs w:val="16"/>
              </w:rPr>
              <w:noBreakHyphen/>
            </w:r>
            <w:r w:rsidRPr="00E106BD">
              <w:rPr>
                <w:szCs w:val="16"/>
              </w:rPr>
              <w:t>appropriate ULN in paediatric patients; or</w:t>
            </w:r>
          </w:p>
          <w:p w:rsidR="00F05C1E" w:rsidRPr="00E106BD" w:rsidRDefault="00F05C1E" w:rsidP="00881477">
            <w:pPr>
              <w:pStyle w:val="mps3-data"/>
              <w:rPr>
                <w:b/>
                <w:szCs w:val="16"/>
              </w:rPr>
            </w:pPr>
            <w:r w:rsidRPr="00E106BD">
              <w:rPr>
                <w:szCs w:val="16"/>
              </w:rPr>
              <w:t>(iv) a renal biopsy consistent with aHUS;</w:t>
            </w:r>
          </w:p>
          <w:p w:rsidR="00F05C1E" w:rsidRPr="00E106BD" w:rsidRDefault="00F05C1E" w:rsidP="00881477">
            <w:pPr>
              <w:pStyle w:val="mps3-data"/>
              <w:rPr>
                <w:b/>
                <w:szCs w:val="16"/>
              </w:rPr>
            </w:pPr>
            <w:r w:rsidRPr="00E106BD">
              <w:rPr>
                <w:szCs w:val="16"/>
              </w:rPr>
              <w:t>(b) onset of TMA</w:t>
            </w:r>
            <w:r>
              <w:rPr>
                <w:szCs w:val="16"/>
              </w:rPr>
              <w:noBreakHyphen/>
            </w:r>
            <w:r w:rsidRPr="00E106BD">
              <w:rPr>
                <w:szCs w:val="16"/>
              </w:rPr>
              <w:t>related neurological impairment;</w:t>
            </w:r>
          </w:p>
          <w:p w:rsidR="00F05C1E" w:rsidRPr="00E106BD" w:rsidRDefault="00F05C1E" w:rsidP="00881477">
            <w:pPr>
              <w:pStyle w:val="mps3-data"/>
              <w:rPr>
                <w:b/>
                <w:szCs w:val="16"/>
              </w:rPr>
            </w:pPr>
            <w:r w:rsidRPr="00E106BD">
              <w:rPr>
                <w:szCs w:val="16"/>
              </w:rPr>
              <w:t>(c) onset of TMA</w:t>
            </w:r>
            <w:r>
              <w:rPr>
                <w:szCs w:val="16"/>
              </w:rPr>
              <w:noBreakHyphen/>
            </w:r>
            <w:r w:rsidRPr="00E106BD">
              <w:rPr>
                <w:szCs w:val="16"/>
              </w:rPr>
              <w:t>related cardiac impairment;</w:t>
            </w:r>
          </w:p>
          <w:p w:rsidR="00F05C1E" w:rsidRPr="00E106BD" w:rsidRDefault="00F05C1E" w:rsidP="00881477">
            <w:pPr>
              <w:pStyle w:val="mps3-data"/>
              <w:rPr>
                <w:b/>
                <w:szCs w:val="16"/>
              </w:rPr>
            </w:pPr>
            <w:r w:rsidRPr="00E106BD">
              <w:rPr>
                <w:szCs w:val="16"/>
              </w:rPr>
              <w:t>(d) onset of TMA</w:t>
            </w:r>
            <w:r>
              <w:rPr>
                <w:szCs w:val="16"/>
              </w:rPr>
              <w:noBreakHyphen/>
            </w:r>
            <w:r w:rsidRPr="00E106BD">
              <w:rPr>
                <w:szCs w:val="16"/>
              </w:rPr>
              <w:t>related gastrointestinal impairment;</w:t>
            </w:r>
          </w:p>
          <w:p w:rsidR="00F05C1E" w:rsidRPr="00E106BD" w:rsidRDefault="00F05C1E" w:rsidP="00881477">
            <w:pPr>
              <w:pStyle w:val="mps3-data"/>
              <w:rPr>
                <w:b/>
                <w:szCs w:val="16"/>
              </w:rPr>
            </w:pPr>
            <w:r w:rsidRPr="00E106BD">
              <w:rPr>
                <w:szCs w:val="16"/>
              </w:rPr>
              <w:t>(e) onset of TMA</w:t>
            </w:r>
            <w:r>
              <w:rPr>
                <w:szCs w:val="16"/>
              </w:rPr>
              <w:noBreakHyphen/>
            </w:r>
            <w:r w:rsidRPr="00E106BD">
              <w:rPr>
                <w:szCs w:val="16"/>
              </w:rPr>
              <w:t>related pulmonary impairment.</w:t>
            </w:r>
          </w:p>
          <w:p w:rsidR="00F05C1E" w:rsidRPr="00E106BD" w:rsidRDefault="00F05C1E" w:rsidP="00881477">
            <w:pPr>
              <w:pStyle w:val="mps3-data"/>
              <w:rPr>
                <w:b/>
                <w:szCs w:val="16"/>
              </w:rPr>
            </w:pPr>
            <w:r w:rsidRPr="00E106BD">
              <w:rPr>
                <w:szCs w:val="16"/>
              </w:rPr>
              <w:t>Claims of non</w:t>
            </w:r>
            <w:r>
              <w:rPr>
                <w:szCs w:val="16"/>
              </w:rPr>
              <w:noBreakHyphen/>
            </w:r>
            <w:r w:rsidRPr="00E106BD">
              <w:rPr>
                <w:szCs w:val="16"/>
              </w:rPr>
              <w:t>renal TMA</w:t>
            </w:r>
            <w:r>
              <w:rPr>
                <w:szCs w:val="16"/>
              </w:rPr>
              <w:noBreakHyphen/>
            </w:r>
            <w:r w:rsidRPr="00E106BD">
              <w:rPr>
                <w:szCs w:val="16"/>
              </w:rPr>
              <w:t>related organ damage should be made at the point of application for initial PBS</w:t>
            </w:r>
            <w:r>
              <w:rPr>
                <w:szCs w:val="16"/>
              </w:rPr>
              <w:noBreakHyphen/>
            </w:r>
            <w:r w:rsidRPr="00E106BD">
              <w:rPr>
                <w:szCs w:val="16"/>
              </w:rPr>
              <w:t>subsidised eculizumab (where possible), and should be supported by objective clinical measures. The prescriber</w:t>
            </w:r>
            <w:r w:rsidR="00A653CA">
              <w:rPr>
                <w:szCs w:val="16"/>
              </w:rPr>
              <w:t>’</w:t>
            </w:r>
            <w:r w:rsidRPr="00E106BD">
              <w:rPr>
                <w:szCs w:val="16"/>
              </w:rPr>
              <w:t>s cover letter should establish that the observed organ damage is directly linked to active and progressing TMA, particularly when indirect causes such as severe thrombocytopenia, hypertension and acute renal failure are present at the time of the initial organ impairment.</w:t>
            </w:r>
          </w:p>
          <w:p w:rsidR="00F05C1E" w:rsidRPr="00E106BD" w:rsidRDefault="00F05C1E" w:rsidP="00881477">
            <w:pPr>
              <w:pStyle w:val="mps3-data"/>
              <w:rPr>
                <w:b/>
                <w:szCs w:val="16"/>
              </w:rPr>
            </w:pPr>
            <w:r w:rsidRPr="00E106BD">
              <w:rPr>
                <w:szCs w:val="16"/>
              </w:rPr>
              <w:t>Serial haematological results (every 3 months while the patient is receiving treatment) must be provided with every subsequent application for treatment.</w:t>
            </w:r>
          </w:p>
          <w:p w:rsidR="00F05C1E" w:rsidRPr="00E106BD" w:rsidRDefault="00F05C1E" w:rsidP="00881477">
            <w:pPr>
              <w:pStyle w:val="mps3-data"/>
              <w:rPr>
                <w:b/>
                <w:szCs w:val="16"/>
              </w:rPr>
            </w:pPr>
            <w:r w:rsidRPr="00E106BD">
              <w:rPr>
                <w:szCs w:val="16"/>
              </w:rPr>
              <w:t>The authority application must be in writing and must include:</w:t>
            </w:r>
          </w:p>
          <w:p w:rsidR="00F05C1E" w:rsidRPr="00E106BD" w:rsidRDefault="00F05C1E" w:rsidP="00881477">
            <w:pPr>
              <w:pStyle w:val="mps3-data"/>
              <w:rPr>
                <w:b/>
                <w:szCs w:val="16"/>
              </w:rPr>
            </w:pPr>
            <w:r w:rsidRPr="00E106BD">
              <w:rPr>
                <w:szCs w:val="16"/>
              </w:rPr>
              <w:t>(1) A completed authority prescription form; and</w:t>
            </w:r>
          </w:p>
          <w:p w:rsidR="00F05C1E" w:rsidRPr="00E106BD" w:rsidRDefault="00F05C1E" w:rsidP="00881477">
            <w:pPr>
              <w:pStyle w:val="mps3-data"/>
              <w:rPr>
                <w:b/>
                <w:szCs w:val="16"/>
              </w:rPr>
            </w:pPr>
            <w:r w:rsidRPr="00E106BD">
              <w:rPr>
                <w:szCs w:val="16"/>
              </w:rPr>
              <w:t xml:space="preserve">(2) A completed aHUS eculizumab Authority Application Supporting Information Form </w:t>
            </w:r>
            <w:r>
              <w:rPr>
                <w:szCs w:val="16"/>
              </w:rPr>
              <w:noBreakHyphen/>
            </w:r>
            <w:r w:rsidRPr="00E106BD">
              <w:rPr>
                <w:szCs w:val="16"/>
              </w:rPr>
              <w:t xml:space="preserve"> Initial PBS</w:t>
            </w:r>
            <w:r>
              <w:rPr>
                <w:szCs w:val="16"/>
              </w:rPr>
              <w:noBreakHyphen/>
            </w:r>
            <w:r w:rsidRPr="00E106BD">
              <w:rPr>
                <w:szCs w:val="16"/>
              </w:rPr>
              <w:t>subsidised eculizumab treatment; and</w:t>
            </w:r>
          </w:p>
          <w:p w:rsidR="00F05C1E" w:rsidRPr="00E106BD" w:rsidRDefault="00F05C1E" w:rsidP="00881477">
            <w:pPr>
              <w:pStyle w:val="mps3-data"/>
              <w:rPr>
                <w:b/>
                <w:szCs w:val="16"/>
              </w:rPr>
            </w:pPr>
            <w:r w:rsidRPr="00E106BD">
              <w:rPr>
                <w:szCs w:val="16"/>
              </w:rPr>
              <w:t>(3) A signed patient acknowledgement or an acknowledgement signed by a parent or authorised guardian, if applicable; and</w:t>
            </w:r>
          </w:p>
          <w:p w:rsidR="00F05C1E" w:rsidRPr="00E106BD" w:rsidRDefault="00F05C1E" w:rsidP="00881477">
            <w:pPr>
              <w:pStyle w:val="mps3-data"/>
              <w:rPr>
                <w:b/>
                <w:szCs w:val="16"/>
              </w:rPr>
            </w:pPr>
            <w:r w:rsidRPr="00E106BD">
              <w:rPr>
                <w:szCs w:val="16"/>
              </w:rPr>
              <w:t>(4) A detailed cover letter from the prescriber; and</w:t>
            </w:r>
          </w:p>
          <w:p w:rsidR="00F05C1E" w:rsidRPr="00E106BD" w:rsidRDefault="00F05C1E" w:rsidP="00881477">
            <w:pPr>
              <w:pStyle w:val="mps3-data"/>
              <w:rPr>
                <w:b/>
                <w:szCs w:val="16"/>
              </w:rPr>
            </w:pPr>
            <w:r w:rsidRPr="00E106BD">
              <w:rPr>
                <w:szCs w:val="16"/>
              </w:rPr>
              <w:t>(5) A copy of a current Certificate of vaccination or a statement that vaccination has or will be administered and appropriate antibiotic prophylaxis has been prescribed; and</w:t>
            </w:r>
          </w:p>
          <w:p w:rsidR="00F05C1E" w:rsidRPr="00E106BD" w:rsidRDefault="00F05C1E" w:rsidP="00881477">
            <w:pPr>
              <w:pStyle w:val="mps3-data"/>
              <w:rPr>
                <w:b/>
                <w:szCs w:val="16"/>
              </w:rPr>
            </w:pPr>
            <w:r w:rsidRPr="00E106BD">
              <w:rPr>
                <w:szCs w:val="16"/>
              </w:rPr>
              <w:t>(6) A measurement of body weight at the time of application; and</w:t>
            </w:r>
          </w:p>
          <w:p w:rsidR="00F05C1E" w:rsidRPr="00E106BD" w:rsidRDefault="00F05C1E" w:rsidP="00881477">
            <w:pPr>
              <w:pStyle w:val="mps3-data"/>
              <w:rPr>
                <w:b/>
                <w:szCs w:val="16"/>
              </w:rPr>
            </w:pPr>
            <w:r w:rsidRPr="00E106BD">
              <w:rPr>
                <w:szCs w:val="16"/>
              </w:rPr>
              <w:t>(7) The result of ADAMTS</w:t>
            </w:r>
            <w:r>
              <w:rPr>
                <w:szCs w:val="16"/>
              </w:rPr>
              <w:noBreakHyphen/>
            </w:r>
            <w:r w:rsidRPr="00E106BD">
              <w:rPr>
                <w:szCs w:val="16"/>
              </w:rPr>
              <w:t>13 activity on a blood sample taken prior to plasma exchange or infusion; the date and time that the sample for the ADAMTS</w:t>
            </w:r>
            <w:r>
              <w:rPr>
                <w:szCs w:val="16"/>
              </w:rPr>
              <w:noBreakHyphen/>
            </w:r>
            <w:r w:rsidRPr="00E106BD">
              <w:rPr>
                <w:szCs w:val="16"/>
              </w:rPr>
              <w:t>13 assay was collected, and the dates and times of any plasma exchanges or infusions that were undertaken in the two weeks prior to collection of the ADAMTS</w:t>
            </w:r>
            <w:r>
              <w:rPr>
                <w:szCs w:val="16"/>
              </w:rPr>
              <w:noBreakHyphen/>
            </w:r>
            <w:r w:rsidRPr="00E106BD">
              <w:rPr>
                <w:szCs w:val="16"/>
              </w:rPr>
              <w:t>13 assay; and</w:t>
            </w:r>
          </w:p>
          <w:p w:rsidR="00F05C1E" w:rsidRPr="00E106BD" w:rsidRDefault="00F05C1E" w:rsidP="00881477">
            <w:pPr>
              <w:pStyle w:val="mps3-data"/>
              <w:rPr>
                <w:b/>
                <w:szCs w:val="16"/>
              </w:rPr>
            </w:pPr>
            <w:r w:rsidRPr="00E106BD">
              <w:rPr>
                <w:szCs w:val="16"/>
              </w:rPr>
              <w:t>(8) In the case that a sample for ADAMTS</w:t>
            </w:r>
            <w:r>
              <w:rPr>
                <w:szCs w:val="16"/>
              </w:rPr>
              <w:noBreakHyphen/>
            </w:r>
            <w:r w:rsidRPr="00E106BD">
              <w:rPr>
                <w:szCs w:val="16"/>
              </w:rPr>
              <w:t>13 assay was not collected prior to plasma exchange or infusion, measurement of ADAMTS</w:t>
            </w:r>
            <w:r>
              <w:rPr>
                <w:szCs w:val="16"/>
              </w:rPr>
              <w:noBreakHyphen/>
            </w:r>
            <w:r w:rsidRPr="00E106BD">
              <w:rPr>
                <w:szCs w:val="16"/>
              </w:rPr>
              <w:t>13 activity must be taken 1</w:t>
            </w:r>
            <w:r>
              <w:rPr>
                <w:szCs w:val="16"/>
              </w:rPr>
              <w:noBreakHyphen/>
            </w:r>
            <w:r w:rsidRPr="00E106BD">
              <w:rPr>
                <w:szCs w:val="16"/>
              </w:rPr>
              <w:t>2 weeks following the last plasma exchange or infusion. The ADAMTS</w:t>
            </w:r>
            <w:r>
              <w:rPr>
                <w:szCs w:val="16"/>
              </w:rPr>
              <w:noBreakHyphen/>
            </w:r>
            <w:r w:rsidRPr="00E106BD">
              <w:rPr>
                <w:szCs w:val="16"/>
              </w:rPr>
              <w:t>13 result must be submitted to the Department of Human Services within 27 days of commencement of eculizumab treatment in order for the patient to be considered as eligible for further PBS</w:t>
            </w:r>
            <w:r>
              <w:rPr>
                <w:szCs w:val="16"/>
              </w:rPr>
              <w:noBreakHyphen/>
            </w:r>
            <w:r w:rsidRPr="00E106BD">
              <w:rPr>
                <w:szCs w:val="16"/>
              </w:rPr>
              <w:t>subsidised eculizumab treatment, underInitial treatment 1</w:t>
            </w:r>
            <w:r>
              <w:rPr>
                <w:szCs w:val="16"/>
              </w:rPr>
              <w:noBreakHyphen/>
            </w:r>
            <w:r w:rsidRPr="00E106BD">
              <w:rPr>
                <w:szCs w:val="16"/>
              </w:rPr>
              <w:t>balance of supply; and</w:t>
            </w:r>
          </w:p>
          <w:p w:rsidR="00F05C1E" w:rsidRPr="00E106BD" w:rsidRDefault="00F05C1E" w:rsidP="00881477">
            <w:pPr>
              <w:pStyle w:val="mps3-data"/>
              <w:rPr>
                <w:b/>
                <w:szCs w:val="16"/>
              </w:rPr>
            </w:pPr>
            <w:r w:rsidRPr="00E106BD">
              <w:rPr>
                <w:szCs w:val="16"/>
              </w:rPr>
              <w:t>(9) A confirmed negative STEC result if the patient has had diarrhoea in the preceding 14 days; and</w:t>
            </w:r>
          </w:p>
          <w:p w:rsidR="00F05C1E" w:rsidRPr="00E106BD" w:rsidRDefault="00F05C1E" w:rsidP="00881477">
            <w:pPr>
              <w:pStyle w:val="mps3-data"/>
              <w:rPr>
                <w:b/>
                <w:szCs w:val="16"/>
              </w:rPr>
            </w:pPr>
            <w:r w:rsidRPr="00E106BD">
              <w:rPr>
                <w:szCs w:val="16"/>
              </w:rPr>
              <w:t>(10) Evidence of active and progressing TMA, including pathology results where relevant. Evidence of the onset of TMA</w:t>
            </w:r>
            <w:r>
              <w:rPr>
                <w:szCs w:val="16"/>
              </w:rPr>
              <w:noBreakHyphen/>
            </w:r>
            <w:r w:rsidRPr="00E106BD">
              <w:rPr>
                <w:szCs w:val="16"/>
              </w:rPr>
              <w:t>related neurological, cardiac, gastrointestinal or pulmonary impairment requires a supporting statement with clinical evidence in patient records. All tests must have been performed within one month of application; and</w:t>
            </w:r>
          </w:p>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(11) For all patients, a recent measurement of eGFR, platelets and two of either LDH, haptoglobin or schistocytes of no more than 1 week old at the time of application.</w:t>
            </w:r>
          </w:p>
        </w:tc>
        <w:tc>
          <w:tcPr>
            <w:tcW w:w="2552" w:type="dxa"/>
            <w:shd w:val="clear" w:color="auto" w:fill="auto"/>
            <w:tcMar>
              <w:top w:w="28" w:type="dxa"/>
              <w:left w:w="28" w:type="dxa"/>
              <w:right w:w="57" w:type="dxa"/>
            </w:tcMar>
          </w:tcPr>
          <w:p w:rsidR="00F05C1E" w:rsidRPr="00E106BD" w:rsidDel="00107F2B" w:rsidRDefault="00F05C1E"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107F2B" w:rsidTr="008929EB">
        <w:tc>
          <w:tcPr>
            <w:tcW w:w="1729" w:type="dxa"/>
            <w:shd w:val="clear" w:color="auto" w:fill="auto"/>
            <w:tcMar>
              <w:top w:w="28" w:type="dxa"/>
              <w:left w:w="28" w:type="dxa"/>
            </w:tcMar>
            <w:vAlign w:val="center"/>
          </w:tcPr>
          <w:p w:rsidR="00F05C1E" w:rsidRPr="00E106BD" w:rsidDel="00107F2B"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C6637</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P6637</w:t>
            </w:r>
          </w:p>
        </w:tc>
        <w:tc>
          <w:tcPr>
            <w:tcW w:w="7654" w:type="dxa"/>
            <w:shd w:val="clear" w:color="auto" w:fill="auto"/>
            <w:tcMar>
              <w:top w:w="28" w:type="dxa"/>
              <w:left w:w="28" w:type="dxa"/>
            </w:tcMar>
          </w:tcPr>
          <w:p w:rsidR="00F05C1E" w:rsidRPr="00E106BD" w:rsidRDefault="00F05C1E" w:rsidP="00881477">
            <w:pPr>
              <w:pStyle w:val="mps3-data"/>
              <w:spacing w:before="0"/>
              <w:rPr>
                <w:szCs w:val="16"/>
              </w:rPr>
            </w:pPr>
            <w:r w:rsidRPr="00E106BD">
              <w:rPr>
                <w:szCs w:val="16"/>
              </w:rPr>
              <w:t>Atypical haemolytic uraemic syndrome (aHUS)</w:t>
            </w:r>
          </w:p>
          <w:p w:rsidR="00F05C1E" w:rsidRPr="00E106BD" w:rsidRDefault="00F05C1E" w:rsidP="00881477">
            <w:pPr>
              <w:pStyle w:val="mps3-data"/>
              <w:rPr>
                <w:szCs w:val="16"/>
              </w:rPr>
            </w:pPr>
            <w:r w:rsidRPr="00E106BD">
              <w:rPr>
                <w:szCs w:val="16"/>
              </w:rPr>
              <w:t xml:space="preserve">Extended initial treatment </w:t>
            </w:r>
            <w:r>
              <w:rPr>
                <w:szCs w:val="16"/>
              </w:rPr>
              <w:noBreakHyphen/>
            </w:r>
            <w:r w:rsidRPr="00E106BD">
              <w:rPr>
                <w:szCs w:val="16"/>
              </w:rPr>
              <w:t xml:space="preserve"> Assessment phase</w:t>
            </w:r>
          </w:p>
          <w:p w:rsidR="00F05C1E" w:rsidRPr="00E106BD" w:rsidRDefault="00F05C1E" w:rsidP="00881477">
            <w:pPr>
              <w:pStyle w:val="mps3-data"/>
              <w:rPr>
                <w:szCs w:val="16"/>
              </w:rPr>
            </w:pPr>
            <w:r w:rsidRPr="00E106BD">
              <w:rPr>
                <w:szCs w:val="16"/>
              </w:rPr>
              <w:t>Patient must have received treatment under the initial restriction with PBS subsidised eculizumab for this condition; AND</w:t>
            </w:r>
          </w:p>
          <w:p w:rsidR="00F05C1E" w:rsidRPr="00E106BD" w:rsidRDefault="00F05C1E" w:rsidP="00881477">
            <w:pPr>
              <w:pStyle w:val="mps3-data"/>
              <w:rPr>
                <w:szCs w:val="16"/>
              </w:rPr>
            </w:pPr>
            <w:r w:rsidRPr="00E106BD">
              <w:rPr>
                <w:szCs w:val="16"/>
              </w:rPr>
              <w:t>Patient must have demonstrated on</w:t>
            </w:r>
            <w:r>
              <w:rPr>
                <w:szCs w:val="16"/>
              </w:rPr>
              <w:noBreakHyphen/>
            </w:r>
            <w:r w:rsidRPr="00E106BD">
              <w:rPr>
                <w:szCs w:val="16"/>
              </w:rPr>
              <w:t>going treatment response of PBS</w:t>
            </w:r>
            <w:r>
              <w:rPr>
                <w:szCs w:val="16"/>
              </w:rPr>
              <w:noBreakHyphen/>
            </w:r>
            <w:r w:rsidRPr="00E106BD">
              <w:rPr>
                <w:szCs w:val="16"/>
              </w:rPr>
              <w:t>subsidised eculizumab treatment for this condition; AND</w:t>
            </w:r>
          </w:p>
          <w:p w:rsidR="00F05C1E" w:rsidRPr="00E106BD" w:rsidRDefault="00F05C1E" w:rsidP="00881477">
            <w:pPr>
              <w:pStyle w:val="mps3-data"/>
              <w:rPr>
                <w:szCs w:val="16"/>
              </w:rPr>
            </w:pPr>
            <w:r w:rsidRPr="00E106BD">
              <w:rPr>
                <w:szCs w:val="16"/>
              </w:rPr>
              <w:t>Patient must not have experienced treatment failure with eculizumab including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not receive more than 56 weeks of treatment under this restriction.</w:t>
            </w:r>
          </w:p>
          <w:p w:rsidR="00F05C1E" w:rsidRPr="00E106BD" w:rsidRDefault="00F05C1E"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05C1E" w:rsidRPr="00E106BD" w:rsidRDefault="00F05C1E" w:rsidP="00881477">
            <w:pPr>
              <w:pStyle w:val="mps3-data"/>
              <w:rPr>
                <w:szCs w:val="16"/>
              </w:rPr>
            </w:pPr>
            <w:r w:rsidRPr="00E106BD">
              <w:rPr>
                <w:szCs w:val="16"/>
              </w:rPr>
              <w:t>A treatment response is defined as:</w:t>
            </w:r>
          </w:p>
          <w:p w:rsidR="00F05C1E" w:rsidRPr="00E106BD" w:rsidRDefault="00F05C1E" w:rsidP="00881477">
            <w:pPr>
              <w:pStyle w:val="mps3-data"/>
              <w:rPr>
                <w:szCs w:val="16"/>
              </w:rPr>
            </w:pPr>
            <w:r w:rsidRPr="00E106BD">
              <w:rPr>
                <w:szCs w:val="16"/>
              </w:rPr>
              <w:t>(1) Normalisation of haematology as demonstrated by at least 2 of the following: platelet count, haptoglobin, and LDH; AND</w:t>
            </w:r>
          </w:p>
          <w:p w:rsidR="00F05C1E" w:rsidRPr="00E106BD" w:rsidRDefault="00F05C1E" w:rsidP="00881477">
            <w:pPr>
              <w:pStyle w:val="mps3-data"/>
              <w:rPr>
                <w:szCs w:val="16"/>
              </w:rPr>
            </w:pPr>
            <w:r w:rsidRPr="00E106BD">
              <w:rPr>
                <w:szCs w:val="16"/>
              </w:rPr>
              <w:t>(2) One of the following:</w:t>
            </w:r>
          </w:p>
          <w:p w:rsidR="00F05C1E" w:rsidRPr="00E106BD" w:rsidRDefault="00F05C1E"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F05C1E" w:rsidRPr="00E106BD" w:rsidRDefault="00F05C1E" w:rsidP="00881477">
            <w:pPr>
              <w:pStyle w:val="mps3-data"/>
              <w:rPr>
                <w:szCs w:val="16"/>
              </w:rPr>
            </w:pPr>
            <w:r w:rsidRPr="00E106BD">
              <w:rPr>
                <w:szCs w:val="16"/>
              </w:rPr>
              <w:t>b) an eGFR within +/</w:t>
            </w:r>
            <w:r>
              <w:rPr>
                <w:szCs w:val="16"/>
              </w:rPr>
              <w:noBreakHyphen/>
            </w:r>
            <w:r w:rsidRPr="00E106BD">
              <w:rPr>
                <w:szCs w:val="16"/>
              </w:rPr>
              <w:t xml:space="preserve"> 25% from baseline; or</w:t>
            </w:r>
          </w:p>
          <w:p w:rsidR="00F05C1E" w:rsidRPr="00E106BD" w:rsidRDefault="00F05C1E" w:rsidP="00881477">
            <w:pPr>
              <w:pStyle w:val="mps3-data"/>
              <w:rPr>
                <w:szCs w:val="16"/>
              </w:rPr>
            </w:pPr>
            <w:r w:rsidRPr="00E106BD">
              <w:rPr>
                <w:szCs w:val="16"/>
              </w:rPr>
              <w:t>c) an avoidance of dialysis</w:t>
            </w:r>
            <w:r>
              <w:rPr>
                <w:szCs w:val="16"/>
              </w:rPr>
              <w:noBreakHyphen/>
            </w:r>
            <w:r w:rsidRPr="00E106BD">
              <w:rPr>
                <w:szCs w:val="16"/>
              </w:rPr>
              <w:t>dependence but worsening of kidney function with a reduction in eGFR 25% from baseline.</w:t>
            </w:r>
          </w:p>
          <w:p w:rsidR="00F05C1E" w:rsidRPr="00E106BD" w:rsidRDefault="00F05C1E" w:rsidP="00881477">
            <w:pPr>
              <w:pStyle w:val="mps3-data"/>
              <w:rPr>
                <w:szCs w:val="16"/>
              </w:rPr>
            </w:pPr>
            <w:r w:rsidRPr="00E106BD">
              <w:rPr>
                <w:szCs w:val="16"/>
              </w:rPr>
              <w:t>PBS</w:t>
            </w:r>
            <w:r>
              <w:rPr>
                <w:szCs w:val="16"/>
              </w:rPr>
              <w:noBreakHyphen/>
            </w:r>
            <w:r w:rsidRPr="00E106BD">
              <w:rPr>
                <w:szCs w:val="16"/>
              </w:rPr>
              <w:t>subsidised treatment with eculizumab will not be permitted if a patient has experienced treatment failure.</w:t>
            </w:r>
          </w:p>
          <w:p w:rsidR="00F05C1E" w:rsidRPr="00E106BD" w:rsidRDefault="00F05C1E" w:rsidP="00881477">
            <w:pPr>
              <w:pStyle w:val="mps3-data"/>
              <w:rPr>
                <w:szCs w:val="16"/>
              </w:rPr>
            </w:pPr>
            <w:r w:rsidRPr="00E106BD">
              <w:rPr>
                <w:szCs w:val="16"/>
              </w:rPr>
              <w:t>A treatment failure is defined as a patient who is:</w:t>
            </w:r>
          </w:p>
          <w:p w:rsidR="00F05C1E" w:rsidRPr="00E106BD" w:rsidRDefault="00F05C1E" w:rsidP="00881477">
            <w:pPr>
              <w:pStyle w:val="mps3-data"/>
              <w:rPr>
                <w:szCs w:val="16"/>
              </w:rPr>
            </w:pPr>
            <w:r w:rsidRPr="00E106BD">
              <w:rPr>
                <w:szCs w:val="16"/>
              </w:rPr>
              <w:t>(1) dialysis</w:t>
            </w:r>
            <w:r>
              <w:rPr>
                <w:szCs w:val="16"/>
              </w:rPr>
              <w:noBreakHyphen/>
            </w:r>
            <w:r w:rsidRPr="00E106BD">
              <w:rPr>
                <w:szCs w:val="16"/>
              </w:rPr>
              <w:t>dependent at the time of application and has failed to demonstrate significant resolution of extra</w:t>
            </w:r>
            <w:r>
              <w:rPr>
                <w:szCs w:val="16"/>
              </w:rPr>
              <w:noBreakHyphen/>
            </w:r>
            <w:r w:rsidRPr="00E106BD">
              <w:rPr>
                <w:szCs w:val="16"/>
              </w:rPr>
              <w:t>renal complications if originally presented; or</w:t>
            </w:r>
          </w:p>
          <w:p w:rsidR="00F05C1E" w:rsidRPr="00E106BD" w:rsidRDefault="00F05C1E" w:rsidP="00881477">
            <w:pPr>
              <w:pStyle w:val="mps3-data"/>
              <w:rPr>
                <w:szCs w:val="16"/>
              </w:rPr>
            </w:pPr>
            <w:r w:rsidRPr="00E106BD">
              <w:rPr>
                <w:szCs w:val="16"/>
              </w:rPr>
              <w:t>(2) on dialysis and has been on dialysis for 4 months of the previous 6 months while receiving PBS</w:t>
            </w:r>
            <w:r>
              <w:rPr>
                <w:szCs w:val="16"/>
              </w:rPr>
              <w:noBreakHyphen/>
            </w:r>
            <w:r w:rsidRPr="00E106BD">
              <w:rPr>
                <w:szCs w:val="16"/>
              </w:rPr>
              <w:t>subsidised eculizumab and has failed to demonstrate significant resolution of extra</w:t>
            </w:r>
            <w:r>
              <w:rPr>
                <w:szCs w:val="16"/>
              </w:rPr>
              <w:noBreakHyphen/>
            </w:r>
            <w:r w:rsidRPr="00E106BD">
              <w:rPr>
                <w:szCs w:val="16"/>
              </w:rPr>
              <w:t>renal complications if originally presented.</w:t>
            </w:r>
          </w:p>
          <w:p w:rsidR="00F05C1E" w:rsidRPr="00E106BD" w:rsidRDefault="00F05C1E" w:rsidP="00881477">
            <w:pPr>
              <w:pStyle w:val="mps3-data"/>
              <w:rPr>
                <w:szCs w:val="16"/>
              </w:rPr>
            </w:pPr>
            <w:r w:rsidRPr="00E106BD">
              <w:rPr>
                <w:szCs w:val="16"/>
              </w:rPr>
              <w:t>A maximum of up to 56 weeks of treatment is allowed under this restriction, however an application must be submitted at 6 months, 12 months, 18 months and 24 months following commencing PBS</w:t>
            </w:r>
            <w:r>
              <w:rPr>
                <w:szCs w:val="16"/>
              </w:rPr>
              <w:noBreakHyphen/>
            </w:r>
            <w:r w:rsidRPr="00E106BD">
              <w:rPr>
                <w:szCs w:val="16"/>
              </w:rPr>
              <w:t>subsidised eculizumab.</w:t>
            </w:r>
          </w:p>
          <w:p w:rsidR="00F05C1E" w:rsidRPr="00E106BD" w:rsidRDefault="00F05C1E"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F05C1E" w:rsidRPr="00E106BD" w:rsidRDefault="00F05C1E" w:rsidP="00881477">
            <w:pPr>
              <w:pStyle w:val="mps3-data"/>
              <w:rPr>
                <w:szCs w:val="16"/>
              </w:rPr>
            </w:pPr>
            <w:r w:rsidRPr="00E106BD">
              <w:rPr>
                <w:szCs w:val="16"/>
              </w:rPr>
              <w:t>The authority application must be in writing and must include:</w:t>
            </w:r>
          </w:p>
          <w:p w:rsidR="00F05C1E" w:rsidRPr="00E106BD" w:rsidRDefault="00F05C1E" w:rsidP="00881477">
            <w:pPr>
              <w:pStyle w:val="mps3-data"/>
              <w:rPr>
                <w:szCs w:val="16"/>
              </w:rPr>
            </w:pPr>
            <w:r w:rsidRPr="00E106BD">
              <w:rPr>
                <w:szCs w:val="16"/>
              </w:rPr>
              <w:t>(1) A completed authority prescription form; and</w:t>
            </w:r>
          </w:p>
          <w:p w:rsidR="00F05C1E" w:rsidRPr="00E106BD" w:rsidRDefault="00F05C1E" w:rsidP="00881477">
            <w:pPr>
              <w:pStyle w:val="mps3-data"/>
              <w:rPr>
                <w:szCs w:val="16"/>
              </w:rPr>
            </w:pPr>
            <w:r w:rsidRPr="00E106BD">
              <w:rPr>
                <w:szCs w:val="16"/>
              </w:rPr>
              <w:t>(2) A completed aHUS eculizumab Authority Application Supporting Information Form for Extended Initial treatment; and</w:t>
            </w:r>
          </w:p>
          <w:p w:rsidR="00F05C1E" w:rsidRPr="00E106BD" w:rsidRDefault="00F05C1E" w:rsidP="00881477">
            <w:pPr>
              <w:pStyle w:val="mps3-data"/>
              <w:rPr>
                <w:szCs w:val="16"/>
              </w:rPr>
            </w:pPr>
            <w:r w:rsidRPr="00E106BD">
              <w:rPr>
                <w:szCs w:val="16"/>
              </w:rPr>
              <w:t>(3) A detailed cover letter from the prescriber; and</w:t>
            </w:r>
          </w:p>
          <w:p w:rsidR="00F05C1E" w:rsidRPr="00E106BD" w:rsidRDefault="00F05C1E" w:rsidP="00881477">
            <w:pPr>
              <w:pStyle w:val="mps3-data"/>
              <w:rPr>
                <w:szCs w:val="16"/>
              </w:rPr>
            </w:pPr>
            <w:r w:rsidRPr="00E106BD">
              <w:rPr>
                <w:szCs w:val="16"/>
              </w:rPr>
              <w:t>(4) A copy of a current Certificate of vaccination or a statement that vaccination has or will be administered and appropriate antibiotic prophylaxis has been prescribed; and</w:t>
            </w:r>
          </w:p>
          <w:p w:rsidR="00F05C1E" w:rsidRPr="00E106BD" w:rsidRDefault="00F05C1E" w:rsidP="00881477">
            <w:pPr>
              <w:pStyle w:val="mps3-data"/>
              <w:rPr>
                <w:szCs w:val="16"/>
              </w:rPr>
            </w:pPr>
            <w:r w:rsidRPr="00E106BD">
              <w:rPr>
                <w:szCs w:val="16"/>
              </w:rPr>
              <w:t>(5) A measurement of body weight at the time of application; and</w:t>
            </w:r>
          </w:p>
          <w:p w:rsidR="00F05C1E" w:rsidRPr="00E106BD" w:rsidRDefault="00F05C1E" w:rsidP="00881477">
            <w:pPr>
              <w:pStyle w:val="mps3-data"/>
              <w:rPr>
                <w:szCs w:val="16"/>
              </w:rPr>
            </w:pPr>
            <w:r w:rsidRPr="00E106BD">
              <w:rPr>
                <w:szCs w:val="16"/>
              </w:rPr>
              <w:t>(6) An identified genetic mutation, if applicable; and</w:t>
            </w:r>
          </w:p>
          <w:p w:rsidR="00F05C1E" w:rsidRPr="00E106BD" w:rsidRDefault="00F05C1E" w:rsidP="00881477">
            <w:pPr>
              <w:pStyle w:val="mps3-data"/>
              <w:rPr>
                <w:szCs w:val="16"/>
              </w:rPr>
            </w:pPr>
            <w:r w:rsidRPr="00E106BD">
              <w:rPr>
                <w:szCs w:val="16"/>
              </w:rPr>
              <w:t>(7) A family history of aHUS, if applicable; and</w:t>
            </w:r>
          </w:p>
          <w:p w:rsidR="00F05C1E" w:rsidRPr="00E106BD" w:rsidRDefault="00F05C1E" w:rsidP="00881477">
            <w:pPr>
              <w:pStyle w:val="mps3-data"/>
              <w:rPr>
                <w:szCs w:val="16"/>
              </w:rPr>
            </w:pPr>
            <w:r w:rsidRPr="00E106BD">
              <w:rPr>
                <w:szCs w:val="16"/>
              </w:rPr>
              <w:t>(8) A history of multiple episodes of aHUS before commencing eculizumab treatment, if applicable; and</w:t>
            </w:r>
          </w:p>
          <w:p w:rsidR="00F05C1E" w:rsidRPr="00E106BD" w:rsidRDefault="00F05C1E" w:rsidP="00881477">
            <w:pPr>
              <w:pStyle w:val="mps3-data"/>
              <w:rPr>
                <w:szCs w:val="16"/>
              </w:rPr>
            </w:pPr>
            <w:r w:rsidRPr="00E106BD">
              <w:rPr>
                <w:szCs w:val="16"/>
              </w:rPr>
              <w:t>(9) A history of kidney transplant, if applicable, (especially if required due to aHUS); and</w:t>
            </w:r>
          </w:p>
          <w:p w:rsidR="00F05C1E" w:rsidRPr="00E106BD" w:rsidRDefault="00F05C1E" w:rsidP="00881477">
            <w:pPr>
              <w:pStyle w:val="mps3-data"/>
              <w:rPr>
                <w:szCs w:val="16"/>
              </w:rPr>
            </w:pPr>
            <w:r w:rsidRPr="00E106BD">
              <w:rPr>
                <w:szCs w:val="16"/>
              </w:rPr>
              <w:t>(10) An inclusion of the individual consequences of recurrent disease, if applicable; and</w:t>
            </w:r>
          </w:p>
          <w:p w:rsidR="00F05C1E" w:rsidRPr="00E106BD" w:rsidRDefault="00F05C1E" w:rsidP="00881477">
            <w:pPr>
              <w:pStyle w:val="mps3-data"/>
              <w:rPr>
                <w:szCs w:val="16"/>
              </w:rPr>
            </w:pPr>
            <w:r w:rsidRPr="00E106BD">
              <w:rPr>
                <w:szCs w:val="16"/>
              </w:rPr>
              <w:t>(11) Evidence that the patient has had a treatment response including haematological results of no more than 1 week old at the time of application (platelet count, haptoglobin and LDH); and an eGFR level of no more than 1 week old at the time of application; and</w:t>
            </w:r>
          </w:p>
          <w:p w:rsidR="00F05C1E" w:rsidRPr="00E106BD" w:rsidRDefault="00F05C1E" w:rsidP="00881477">
            <w:pPr>
              <w:pStyle w:val="mps3-data"/>
              <w:rPr>
                <w:szCs w:val="16"/>
              </w:rPr>
            </w:pPr>
            <w:r w:rsidRPr="00E106BD">
              <w:rPr>
                <w:szCs w:val="16"/>
              </w:rPr>
              <w:t>(12) Evidence that the patient has not experienced treatment failure, including a supporting statement with clinical evidence that the patient does not require dialysis, unless the indication for continuing eculizumab is severe extra</w:t>
            </w:r>
            <w:r>
              <w:rPr>
                <w:szCs w:val="16"/>
              </w:rPr>
              <w:noBreakHyphen/>
            </w:r>
            <w:r w:rsidRPr="00E106BD">
              <w:rPr>
                <w:szCs w:val="16"/>
              </w:rPr>
              <w:t>renal complications that have significantly improved; and</w:t>
            </w:r>
          </w:p>
          <w:p w:rsidR="00F05C1E" w:rsidRPr="00E106BD" w:rsidRDefault="00F05C1E" w:rsidP="00881477">
            <w:pPr>
              <w:pStyle w:val="mps3-data"/>
              <w:rPr>
                <w:szCs w:val="16"/>
              </w:rPr>
            </w:pPr>
            <w:r w:rsidRPr="00E106BD">
              <w:rPr>
                <w:szCs w:val="16"/>
              </w:rPr>
              <w:t>(13) If the indication for continuing eculizumab is severe extra</w:t>
            </w:r>
            <w:r>
              <w:rPr>
                <w:szCs w:val="16"/>
              </w:rPr>
              <w:noBreakHyphen/>
            </w:r>
            <w:r w:rsidRPr="00E106BD">
              <w:rPr>
                <w:szCs w:val="16"/>
              </w:rPr>
              <w:t>renal complications, then a supporting statement with clinical evidence that any initial extra</w:t>
            </w:r>
            <w:r>
              <w:rPr>
                <w:szCs w:val="16"/>
              </w:rPr>
              <w:noBreakHyphen/>
            </w:r>
            <w:r w:rsidRPr="00E106BD">
              <w:rPr>
                <w:szCs w:val="16"/>
              </w:rPr>
              <w:t>renal complications of TMA have significantly improved is required.</w:t>
            </w:r>
          </w:p>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52" w:type="dxa"/>
            <w:shd w:val="clear" w:color="auto" w:fill="auto"/>
            <w:tcMar>
              <w:top w:w="28" w:type="dxa"/>
              <w:left w:w="28" w:type="dxa"/>
              <w:right w:w="57" w:type="dxa"/>
            </w:tcMar>
          </w:tcPr>
          <w:p w:rsidR="00F05C1E" w:rsidRPr="00E106BD" w:rsidDel="00107F2B" w:rsidRDefault="00F05C1E"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503DA9" w:rsidRPr="00E106BD" w:rsidDel="00503DA9" w:rsidTr="00065707">
        <w:tc>
          <w:tcPr>
            <w:tcW w:w="1729" w:type="dxa"/>
            <w:shd w:val="clear" w:color="auto" w:fill="auto"/>
            <w:tcMar>
              <w:top w:w="28" w:type="dxa"/>
              <w:left w:w="28" w:type="dxa"/>
            </w:tcMar>
          </w:tcPr>
          <w:p w:rsidR="00503DA9" w:rsidRPr="00503DA9" w:rsidDel="00503DA9" w:rsidRDefault="00503DA9" w:rsidP="00881477">
            <w:pPr>
              <w:spacing w:line="240" w:lineRule="auto"/>
              <w:rPr>
                <w:rFonts w:ascii="Arial" w:hAnsi="Arial" w:cs="Arial"/>
                <w:sz w:val="16"/>
                <w:szCs w:val="16"/>
              </w:rPr>
            </w:pPr>
          </w:p>
        </w:tc>
        <w:tc>
          <w:tcPr>
            <w:tcW w:w="709" w:type="dxa"/>
            <w:shd w:val="clear" w:color="auto" w:fill="auto"/>
            <w:tcMar>
              <w:top w:w="28" w:type="dxa"/>
              <w:left w:w="28" w:type="dxa"/>
            </w:tcMar>
          </w:tcPr>
          <w:p w:rsidR="00503DA9" w:rsidRPr="00503DA9" w:rsidDel="00503DA9" w:rsidRDefault="00503DA9" w:rsidP="00881477">
            <w:pPr>
              <w:spacing w:line="240" w:lineRule="auto"/>
              <w:rPr>
                <w:rFonts w:ascii="Arial" w:hAnsi="Arial" w:cs="Arial"/>
                <w:sz w:val="16"/>
                <w:szCs w:val="16"/>
              </w:rPr>
            </w:pPr>
            <w:r w:rsidRPr="00503DA9">
              <w:rPr>
                <w:rFonts w:ascii="Arial" w:hAnsi="Arial" w:cs="Arial"/>
                <w:sz w:val="16"/>
                <w:szCs w:val="16"/>
              </w:rPr>
              <w:t>C6642</w:t>
            </w:r>
          </w:p>
        </w:tc>
        <w:tc>
          <w:tcPr>
            <w:tcW w:w="709" w:type="dxa"/>
            <w:shd w:val="clear" w:color="auto" w:fill="auto"/>
            <w:tcMar>
              <w:top w:w="28" w:type="dxa"/>
              <w:left w:w="28" w:type="dxa"/>
            </w:tcMar>
          </w:tcPr>
          <w:p w:rsidR="00503DA9" w:rsidRPr="00503DA9" w:rsidDel="00503DA9" w:rsidRDefault="00503DA9" w:rsidP="00881477">
            <w:pPr>
              <w:spacing w:line="240" w:lineRule="auto"/>
              <w:rPr>
                <w:rFonts w:ascii="Arial" w:hAnsi="Arial" w:cs="Arial"/>
                <w:sz w:val="16"/>
                <w:szCs w:val="16"/>
              </w:rPr>
            </w:pPr>
            <w:r w:rsidRPr="00503DA9">
              <w:rPr>
                <w:rFonts w:ascii="Arial" w:hAnsi="Arial" w:cs="Arial"/>
                <w:sz w:val="16"/>
                <w:szCs w:val="16"/>
                <w:lang w:eastAsia="en-AU"/>
              </w:rPr>
              <w:t>P6642</w:t>
            </w:r>
          </w:p>
        </w:tc>
        <w:tc>
          <w:tcPr>
            <w:tcW w:w="7654" w:type="dxa"/>
            <w:shd w:val="clear" w:color="auto" w:fill="auto"/>
            <w:tcMar>
              <w:top w:w="28" w:type="dxa"/>
              <w:left w:w="28" w:type="dxa"/>
            </w:tcMar>
          </w:tcPr>
          <w:p w:rsidR="00503DA9" w:rsidRPr="00503DA9" w:rsidDel="00503DA9" w:rsidRDefault="00503DA9" w:rsidP="00881477">
            <w:pPr>
              <w:pStyle w:val="mps3-data"/>
              <w:spacing w:before="0"/>
              <w:rPr>
                <w:szCs w:val="16"/>
              </w:rPr>
            </w:pPr>
            <w:r w:rsidRPr="00503DA9">
              <w:rPr>
                <w:szCs w:val="16"/>
              </w:rPr>
              <w:t>Atypical haemolytic uraemic syndrome (aHUS)</w:t>
            </w:r>
            <w:r w:rsidRPr="00503DA9">
              <w:rPr>
                <w:szCs w:val="16"/>
              </w:rPr>
              <w:br/>
              <w:t>Initial treatment - Balance of Supply</w:t>
            </w:r>
            <w:r w:rsidRPr="00503DA9">
              <w:rPr>
                <w:szCs w:val="16"/>
              </w:rPr>
              <w:br/>
              <w:t>Must be treated by a paediatric nephrologist, a nephrologist, a paediatric haematologist or a haematologist, or, must be in consultation with a paediatric nephrologist, a nephrologist, a paediatric haematologist or a haematologist.</w:t>
            </w:r>
            <w:r w:rsidRPr="00503DA9">
              <w:rPr>
                <w:szCs w:val="16"/>
              </w:rPr>
              <w:br/>
              <w:t>Patient must have received PBS-subsidised initial supply of eculizumab for this condition; AND</w:t>
            </w:r>
            <w:r w:rsidRPr="00503DA9">
              <w:rPr>
                <w:szCs w:val="16"/>
              </w:rPr>
              <w:br/>
              <w:t>Patient must have ADAMTS-13 activity of greater than or equal to 10% on a blood sample; AND</w:t>
            </w:r>
            <w:r w:rsidRPr="00503DA9">
              <w:rPr>
                <w:szCs w:val="16"/>
              </w:rPr>
              <w:br/>
              <w:t>Patient must not receive more than 20 weeks supply under this restriction.</w:t>
            </w:r>
            <w:r w:rsidRPr="00503DA9">
              <w:rPr>
                <w:szCs w:val="16"/>
              </w:rPr>
              <w:br/>
              <w:t>ADAMTS-13 activity result must have been submitted to the Department of Human Services. In the case that a sample for ADAMTS-13 activity taken prior to plasma exchange or infusion was not available at the time of application for Initial Treatment, ADAMTS-13 activity must have been measured 1-2 weeks following the last plasma exchange or infusion, and must have been submitted to the Department of Human Services within 27 days of commencement of eculizumab. The date and time that the sample for the ADAMTS-13 assay was collected, and the dates and times of the last, if any, plasma exchange or infusion that was undertaken in the two weeks prior to collection of the ADAMTS-13 assay must also have been provided to Department of Human Services.</w:t>
            </w:r>
            <w:r w:rsidRPr="00503DA9">
              <w:rPr>
                <w:szCs w:val="16"/>
              </w:rPr>
              <w:br/>
              <w:t>Serial haematological results (every 3 months while the patient is receiving treatment) must be provided with every subsequent application for treatment.</w:t>
            </w:r>
          </w:p>
        </w:tc>
        <w:tc>
          <w:tcPr>
            <w:tcW w:w="2552" w:type="dxa"/>
            <w:shd w:val="clear" w:color="auto" w:fill="auto"/>
            <w:tcMar>
              <w:top w:w="28" w:type="dxa"/>
              <w:left w:w="28" w:type="dxa"/>
              <w:right w:w="57" w:type="dxa"/>
            </w:tcMar>
          </w:tcPr>
          <w:p w:rsidR="00503DA9" w:rsidRPr="00503DA9" w:rsidDel="00503DA9" w:rsidRDefault="00503DA9" w:rsidP="00B04436">
            <w:pPr>
              <w:keepNext/>
              <w:spacing w:line="240" w:lineRule="auto"/>
              <w:rPr>
                <w:rFonts w:ascii="Arial" w:hAnsi="Arial" w:cs="Arial"/>
                <w:sz w:val="16"/>
                <w:szCs w:val="16"/>
              </w:rPr>
            </w:pPr>
            <w:r w:rsidRPr="00503DA9">
              <w:rPr>
                <w:rFonts w:ascii="Arial" w:hAnsi="Arial" w:cs="Arial"/>
                <w:sz w:val="16"/>
                <w:szCs w:val="16"/>
              </w:rPr>
              <w:t>Compliance with Written Authority Required procedures</w:t>
            </w:r>
          </w:p>
        </w:tc>
      </w:tr>
      <w:tr w:rsidR="00F05C1E" w:rsidRPr="00E106BD" w:rsidDel="00107F2B" w:rsidTr="008929EB">
        <w:tc>
          <w:tcPr>
            <w:tcW w:w="172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C6668</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P6668</w:t>
            </w:r>
          </w:p>
        </w:tc>
        <w:tc>
          <w:tcPr>
            <w:tcW w:w="7654" w:type="dxa"/>
            <w:shd w:val="clear" w:color="auto" w:fill="auto"/>
            <w:tcMar>
              <w:top w:w="28" w:type="dxa"/>
              <w:left w:w="28" w:type="dxa"/>
            </w:tcMar>
          </w:tcPr>
          <w:p w:rsidR="00F05C1E" w:rsidRPr="00E106BD" w:rsidRDefault="00F05C1E" w:rsidP="00881477">
            <w:pPr>
              <w:pStyle w:val="mps3-data"/>
              <w:spacing w:before="0"/>
              <w:rPr>
                <w:szCs w:val="16"/>
              </w:rPr>
            </w:pPr>
            <w:r w:rsidRPr="00E106BD">
              <w:rPr>
                <w:szCs w:val="16"/>
              </w:rPr>
              <w:t>Atypical haemolytic uraemic syndrome (aHUS)</w:t>
            </w:r>
          </w:p>
          <w:p w:rsidR="00F05C1E" w:rsidRPr="00E106BD" w:rsidRDefault="00F05C1E" w:rsidP="00881477">
            <w:pPr>
              <w:pStyle w:val="mps3-data"/>
              <w:rPr>
                <w:szCs w:val="16"/>
              </w:rPr>
            </w:pPr>
            <w:r w:rsidRPr="00E106BD">
              <w:rPr>
                <w:szCs w:val="16"/>
              </w:rPr>
              <w:t>Continuing treatment</w:t>
            </w:r>
          </w:p>
          <w:p w:rsidR="00F05C1E" w:rsidRPr="00E106BD" w:rsidRDefault="00F05C1E" w:rsidP="00881477">
            <w:pPr>
              <w:pStyle w:val="mps3-data"/>
              <w:rPr>
                <w:szCs w:val="16"/>
              </w:rPr>
            </w:pPr>
            <w:r w:rsidRPr="00E106BD">
              <w:rPr>
                <w:szCs w:val="16"/>
              </w:rPr>
              <w:t>Patient must have received treatment under Extended Initial restriction with PBS subsidised eculizumab for this condition; AND</w:t>
            </w:r>
          </w:p>
          <w:p w:rsidR="00F05C1E" w:rsidRPr="00E106BD" w:rsidRDefault="00F05C1E" w:rsidP="00881477">
            <w:pPr>
              <w:pStyle w:val="mps3-data"/>
              <w:rPr>
                <w:szCs w:val="16"/>
              </w:rPr>
            </w:pPr>
            <w:r w:rsidRPr="00E106BD">
              <w:rPr>
                <w:szCs w:val="16"/>
              </w:rPr>
              <w:t>Patient must have demonstrated on</w:t>
            </w:r>
            <w:r>
              <w:rPr>
                <w:szCs w:val="16"/>
              </w:rPr>
              <w:noBreakHyphen/>
            </w:r>
            <w:r w:rsidRPr="00E106BD">
              <w:rPr>
                <w:szCs w:val="16"/>
              </w:rPr>
              <w:t>going treatment response of PBS</w:t>
            </w:r>
            <w:r>
              <w:rPr>
                <w:szCs w:val="16"/>
              </w:rPr>
              <w:noBreakHyphen/>
            </w:r>
            <w:r w:rsidRPr="00E106BD">
              <w:rPr>
                <w:szCs w:val="16"/>
              </w:rPr>
              <w:t>subsidised eculizumab treatment for this condition; AND</w:t>
            </w:r>
          </w:p>
          <w:p w:rsidR="00F05C1E" w:rsidRPr="00E106BD" w:rsidRDefault="00F05C1E" w:rsidP="00881477">
            <w:pPr>
              <w:pStyle w:val="mps3-data"/>
              <w:rPr>
                <w:szCs w:val="16"/>
              </w:rPr>
            </w:pPr>
            <w:r w:rsidRPr="00E106BD">
              <w:rPr>
                <w:szCs w:val="16"/>
              </w:rPr>
              <w:t>Patient must not have experienced treatment failure with eculizumab including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not receive more than 24 weeks of treatment under this restriction.</w:t>
            </w:r>
          </w:p>
          <w:p w:rsidR="00F05C1E" w:rsidRPr="00E106BD" w:rsidRDefault="00F05C1E"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05C1E" w:rsidRPr="00E106BD" w:rsidRDefault="00F05C1E" w:rsidP="00881477">
            <w:pPr>
              <w:pStyle w:val="mps3-data"/>
              <w:rPr>
                <w:szCs w:val="16"/>
              </w:rPr>
            </w:pPr>
            <w:r w:rsidRPr="00E106BD">
              <w:rPr>
                <w:szCs w:val="16"/>
              </w:rPr>
              <w:t>A treatment response is defined as:</w:t>
            </w:r>
          </w:p>
          <w:p w:rsidR="00F05C1E" w:rsidRPr="00E106BD" w:rsidRDefault="00F05C1E" w:rsidP="00881477">
            <w:pPr>
              <w:pStyle w:val="mps3-data"/>
              <w:rPr>
                <w:szCs w:val="16"/>
              </w:rPr>
            </w:pPr>
            <w:r w:rsidRPr="00E106BD">
              <w:rPr>
                <w:szCs w:val="16"/>
              </w:rPr>
              <w:t>(1) Normalisation of haematology as demonstrated by at least 2 of the following: platelet count, haptoglobin, and LDH; AND</w:t>
            </w:r>
          </w:p>
          <w:p w:rsidR="00F05C1E" w:rsidRPr="00E106BD" w:rsidRDefault="00F05C1E" w:rsidP="00881477">
            <w:pPr>
              <w:pStyle w:val="mps3-data"/>
              <w:rPr>
                <w:szCs w:val="16"/>
              </w:rPr>
            </w:pPr>
            <w:r w:rsidRPr="00E106BD">
              <w:rPr>
                <w:szCs w:val="16"/>
              </w:rPr>
              <w:t>(2) One of the following:</w:t>
            </w:r>
          </w:p>
          <w:p w:rsidR="00F05C1E" w:rsidRPr="00E106BD" w:rsidRDefault="00F05C1E"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F05C1E" w:rsidRPr="00E106BD" w:rsidRDefault="00F05C1E" w:rsidP="00881477">
            <w:pPr>
              <w:pStyle w:val="mps3-data"/>
              <w:rPr>
                <w:szCs w:val="16"/>
              </w:rPr>
            </w:pPr>
            <w:r w:rsidRPr="00E106BD">
              <w:rPr>
                <w:szCs w:val="16"/>
              </w:rPr>
              <w:t>b) an eGFR within +/</w:t>
            </w:r>
            <w:r>
              <w:rPr>
                <w:szCs w:val="16"/>
              </w:rPr>
              <w:noBreakHyphen/>
            </w:r>
            <w:r w:rsidRPr="00E106BD">
              <w:rPr>
                <w:szCs w:val="16"/>
              </w:rPr>
              <w:t xml:space="preserve"> 25% from baseline; or</w:t>
            </w:r>
          </w:p>
          <w:p w:rsidR="00F05C1E" w:rsidRPr="00E106BD" w:rsidRDefault="00F05C1E" w:rsidP="00881477">
            <w:pPr>
              <w:pStyle w:val="mps3-data"/>
              <w:rPr>
                <w:szCs w:val="16"/>
              </w:rPr>
            </w:pPr>
            <w:r w:rsidRPr="00E106BD">
              <w:rPr>
                <w:szCs w:val="16"/>
              </w:rPr>
              <w:t>c) an avoidance of dialysis</w:t>
            </w:r>
            <w:r>
              <w:rPr>
                <w:szCs w:val="16"/>
              </w:rPr>
              <w:noBreakHyphen/>
            </w:r>
            <w:r w:rsidRPr="00E106BD">
              <w:rPr>
                <w:szCs w:val="16"/>
              </w:rPr>
              <w:t>dependence but worsening of kidney function with a reduction in eGFR 25% from baseline.</w:t>
            </w:r>
          </w:p>
          <w:p w:rsidR="00F05C1E" w:rsidRPr="00E106BD" w:rsidRDefault="00F05C1E" w:rsidP="00881477">
            <w:pPr>
              <w:pStyle w:val="mps3-data"/>
              <w:rPr>
                <w:szCs w:val="16"/>
              </w:rPr>
            </w:pPr>
            <w:r w:rsidRPr="00E106BD">
              <w:rPr>
                <w:szCs w:val="16"/>
              </w:rPr>
              <w:t>PBS</w:t>
            </w:r>
            <w:r>
              <w:rPr>
                <w:szCs w:val="16"/>
              </w:rPr>
              <w:noBreakHyphen/>
            </w:r>
            <w:r w:rsidRPr="00E106BD">
              <w:rPr>
                <w:szCs w:val="16"/>
              </w:rPr>
              <w:t>subsidised treatment with eculizumab will not be permitted if a patient has experienced treatment failure.</w:t>
            </w:r>
          </w:p>
          <w:p w:rsidR="00F05C1E" w:rsidRPr="00E106BD" w:rsidRDefault="00F05C1E" w:rsidP="00881477">
            <w:pPr>
              <w:pStyle w:val="mps3-data"/>
              <w:rPr>
                <w:szCs w:val="16"/>
              </w:rPr>
            </w:pPr>
            <w:r w:rsidRPr="00E106BD">
              <w:rPr>
                <w:szCs w:val="16"/>
              </w:rPr>
              <w:t>A treatment failure is defined as a patient who is:</w:t>
            </w:r>
          </w:p>
          <w:p w:rsidR="00F05C1E" w:rsidRPr="00E106BD" w:rsidRDefault="00F05C1E" w:rsidP="00881477">
            <w:pPr>
              <w:pStyle w:val="mps3-data"/>
              <w:rPr>
                <w:szCs w:val="16"/>
              </w:rPr>
            </w:pPr>
            <w:r w:rsidRPr="00E106BD">
              <w:rPr>
                <w:szCs w:val="16"/>
              </w:rPr>
              <w:t>(1) dialysis</w:t>
            </w:r>
            <w:r>
              <w:rPr>
                <w:szCs w:val="16"/>
              </w:rPr>
              <w:noBreakHyphen/>
            </w:r>
            <w:r w:rsidRPr="00E106BD">
              <w:rPr>
                <w:szCs w:val="16"/>
              </w:rPr>
              <w:t>dependent at the time of application and has failed to demonstrate significant resolution of extra</w:t>
            </w:r>
            <w:r>
              <w:rPr>
                <w:szCs w:val="16"/>
              </w:rPr>
              <w:noBreakHyphen/>
            </w:r>
            <w:r w:rsidRPr="00E106BD">
              <w:rPr>
                <w:szCs w:val="16"/>
              </w:rPr>
              <w:t>renal complications if originally presented; or</w:t>
            </w:r>
          </w:p>
          <w:p w:rsidR="00F05C1E" w:rsidRPr="00E106BD" w:rsidRDefault="00F05C1E" w:rsidP="00881477">
            <w:pPr>
              <w:pStyle w:val="mps3-data"/>
              <w:rPr>
                <w:szCs w:val="16"/>
              </w:rPr>
            </w:pPr>
            <w:r w:rsidRPr="00E106BD">
              <w:rPr>
                <w:szCs w:val="16"/>
              </w:rPr>
              <w:t>(2) on dialysis and has been on dialysis for 4 months of the previous 6 months while receiving PBS</w:t>
            </w:r>
            <w:r>
              <w:rPr>
                <w:szCs w:val="16"/>
              </w:rPr>
              <w:noBreakHyphen/>
            </w:r>
            <w:r w:rsidRPr="00E106BD">
              <w:rPr>
                <w:szCs w:val="16"/>
              </w:rPr>
              <w:t>subsidised eculizumab and has failed to demonstrate significant resolution of extra</w:t>
            </w:r>
            <w:r>
              <w:rPr>
                <w:szCs w:val="16"/>
              </w:rPr>
              <w:noBreakHyphen/>
            </w:r>
            <w:r w:rsidRPr="00E106BD">
              <w:rPr>
                <w:szCs w:val="16"/>
              </w:rPr>
              <w:t>renal complications if originally presented.</w:t>
            </w:r>
          </w:p>
          <w:p w:rsidR="00F05C1E" w:rsidRPr="00E106BD" w:rsidRDefault="00F05C1E"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F05C1E" w:rsidRPr="00E106BD" w:rsidRDefault="00F05C1E" w:rsidP="00881477">
            <w:pPr>
              <w:pStyle w:val="mps3-data"/>
              <w:rPr>
                <w:szCs w:val="16"/>
              </w:rPr>
            </w:pPr>
            <w:r w:rsidRPr="00E106BD">
              <w:rPr>
                <w:szCs w:val="16"/>
              </w:rPr>
              <w:t>The authority application must be in writing and must include:</w:t>
            </w:r>
          </w:p>
          <w:p w:rsidR="00F05C1E" w:rsidRPr="00E106BD" w:rsidRDefault="00F05C1E" w:rsidP="00881477">
            <w:pPr>
              <w:pStyle w:val="mps3-data"/>
              <w:rPr>
                <w:szCs w:val="16"/>
              </w:rPr>
            </w:pPr>
            <w:r w:rsidRPr="00E106BD">
              <w:rPr>
                <w:szCs w:val="16"/>
              </w:rPr>
              <w:t>(1) A completed authority prescription form; and</w:t>
            </w:r>
          </w:p>
          <w:p w:rsidR="00F05C1E" w:rsidRPr="00E106BD" w:rsidRDefault="00F05C1E" w:rsidP="00881477">
            <w:pPr>
              <w:pStyle w:val="mps3-data"/>
              <w:rPr>
                <w:szCs w:val="16"/>
              </w:rPr>
            </w:pPr>
            <w:r w:rsidRPr="00E106BD">
              <w:rPr>
                <w:szCs w:val="16"/>
              </w:rPr>
              <w:t>(2) A completed aHUS eculizumab Authority Application Supporting Information Form for Continuing treatment; and</w:t>
            </w:r>
          </w:p>
          <w:p w:rsidR="00F05C1E" w:rsidRPr="00E106BD" w:rsidRDefault="00F05C1E" w:rsidP="00881477">
            <w:pPr>
              <w:pStyle w:val="mps3-data"/>
              <w:rPr>
                <w:szCs w:val="16"/>
              </w:rPr>
            </w:pPr>
            <w:r w:rsidRPr="00E106BD">
              <w:rPr>
                <w:szCs w:val="16"/>
              </w:rPr>
              <w:t>(3) A detailed cover letter from the prescriber; and</w:t>
            </w:r>
          </w:p>
          <w:p w:rsidR="00F05C1E" w:rsidRPr="00E106BD" w:rsidRDefault="00F05C1E" w:rsidP="00881477">
            <w:pPr>
              <w:pStyle w:val="mps3-data"/>
              <w:rPr>
                <w:szCs w:val="16"/>
              </w:rPr>
            </w:pPr>
            <w:r w:rsidRPr="00E106BD">
              <w:rPr>
                <w:szCs w:val="16"/>
              </w:rPr>
              <w:t>(4) A copy of a current Certificate of vaccination or a statement that vaccination has or will be administered and appropriate antibiotic prophylaxis has been prescribed; and</w:t>
            </w:r>
          </w:p>
          <w:p w:rsidR="00F05C1E" w:rsidRPr="00E106BD" w:rsidRDefault="00F05C1E" w:rsidP="00881477">
            <w:pPr>
              <w:pStyle w:val="mps3-data"/>
              <w:rPr>
                <w:szCs w:val="16"/>
              </w:rPr>
            </w:pPr>
            <w:r w:rsidRPr="00E106BD">
              <w:rPr>
                <w:szCs w:val="16"/>
              </w:rPr>
              <w:t>(5) A measurement of body weight at the time of application; and</w:t>
            </w:r>
          </w:p>
          <w:p w:rsidR="00F05C1E" w:rsidRPr="00E106BD" w:rsidRDefault="00F05C1E" w:rsidP="00881477">
            <w:pPr>
              <w:pStyle w:val="mps3-data"/>
              <w:rPr>
                <w:szCs w:val="16"/>
              </w:rPr>
            </w:pPr>
            <w:r w:rsidRPr="00E106BD">
              <w:rPr>
                <w:szCs w:val="16"/>
              </w:rPr>
              <w:t>(6) An identified genetic mutation, if applicable; and</w:t>
            </w:r>
          </w:p>
          <w:p w:rsidR="00F05C1E" w:rsidRPr="00E106BD" w:rsidRDefault="00F05C1E" w:rsidP="00881477">
            <w:pPr>
              <w:pStyle w:val="mps3-data"/>
              <w:rPr>
                <w:szCs w:val="16"/>
              </w:rPr>
            </w:pPr>
            <w:r w:rsidRPr="00E106BD">
              <w:rPr>
                <w:szCs w:val="16"/>
              </w:rPr>
              <w:t>(7) A family history of aHUS, if applicable; and</w:t>
            </w:r>
          </w:p>
          <w:p w:rsidR="00F05C1E" w:rsidRPr="00E106BD" w:rsidRDefault="00F05C1E" w:rsidP="00881477">
            <w:pPr>
              <w:pStyle w:val="mps3-data"/>
              <w:rPr>
                <w:szCs w:val="16"/>
              </w:rPr>
            </w:pPr>
            <w:r w:rsidRPr="00E106BD">
              <w:rPr>
                <w:szCs w:val="16"/>
              </w:rPr>
              <w:t>(8) A history of multiple episodes of aHUS before recommencing eculizumab treatment, if applicable; and</w:t>
            </w:r>
          </w:p>
          <w:p w:rsidR="00F05C1E" w:rsidRPr="00E106BD" w:rsidRDefault="00F05C1E" w:rsidP="00881477">
            <w:pPr>
              <w:pStyle w:val="mps3-data"/>
              <w:rPr>
                <w:szCs w:val="16"/>
              </w:rPr>
            </w:pPr>
            <w:r w:rsidRPr="00E106BD">
              <w:rPr>
                <w:szCs w:val="16"/>
              </w:rPr>
              <w:t>(9) A history of kidney transplant if applicable (especially if required due to aHUS); and</w:t>
            </w:r>
          </w:p>
          <w:p w:rsidR="00F05C1E" w:rsidRPr="00E106BD" w:rsidRDefault="00F05C1E" w:rsidP="00881477">
            <w:pPr>
              <w:pStyle w:val="mps3-data"/>
              <w:rPr>
                <w:szCs w:val="16"/>
              </w:rPr>
            </w:pPr>
            <w:r w:rsidRPr="00E106BD">
              <w:rPr>
                <w:szCs w:val="16"/>
              </w:rPr>
              <w:t>(10) An inclusion of the individual consequences of recurrent disease, if applicable; and</w:t>
            </w:r>
          </w:p>
          <w:p w:rsidR="00F05C1E" w:rsidRPr="00E106BD" w:rsidRDefault="00F05C1E" w:rsidP="00881477">
            <w:pPr>
              <w:pStyle w:val="mps3-data"/>
              <w:rPr>
                <w:szCs w:val="16"/>
              </w:rPr>
            </w:pPr>
            <w:r w:rsidRPr="00E106BD">
              <w:rPr>
                <w:szCs w:val="16"/>
              </w:rPr>
              <w:t>(11) Evidence that the patient has had a treatment response including haematological results of no more than 1 week old at the time of application (platelet count, haptoglobin and LDH); and an eGFR level of no more than 1 week old at the time of application; and</w:t>
            </w:r>
          </w:p>
          <w:p w:rsidR="00F05C1E" w:rsidRPr="00E106BD" w:rsidRDefault="00F05C1E" w:rsidP="00881477">
            <w:pPr>
              <w:pStyle w:val="mps3-data"/>
              <w:rPr>
                <w:szCs w:val="16"/>
              </w:rPr>
            </w:pPr>
            <w:r w:rsidRPr="00E106BD">
              <w:rPr>
                <w:szCs w:val="16"/>
              </w:rPr>
              <w:t>(12) Evidence that the patient has not experienced treatment failure, including a supporting statement with clinical evidence that the patient does not require dialysis, unless the indication for continuing eculizumab is severe extra</w:t>
            </w:r>
            <w:r>
              <w:rPr>
                <w:szCs w:val="16"/>
              </w:rPr>
              <w:noBreakHyphen/>
            </w:r>
            <w:r w:rsidRPr="00E106BD">
              <w:rPr>
                <w:szCs w:val="16"/>
              </w:rPr>
              <w:t>renal complications that have significantly improved; and</w:t>
            </w:r>
          </w:p>
          <w:p w:rsidR="00F05C1E" w:rsidRPr="00E106BD" w:rsidRDefault="00F05C1E" w:rsidP="00881477">
            <w:pPr>
              <w:pStyle w:val="mps3-data"/>
              <w:rPr>
                <w:szCs w:val="16"/>
              </w:rPr>
            </w:pPr>
            <w:r w:rsidRPr="00E106BD">
              <w:rPr>
                <w:szCs w:val="16"/>
              </w:rPr>
              <w:t>(13) If the indication for continuing eculizumab is severe extra</w:t>
            </w:r>
            <w:r>
              <w:rPr>
                <w:szCs w:val="16"/>
              </w:rPr>
              <w:noBreakHyphen/>
            </w:r>
            <w:r w:rsidRPr="00E106BD">
              <w:rPr>
                <w:szCs w:val="16"/>
              </w:rPr>
              <w:t>renal complications, then a supporting statement with clinical evidence that any initial extra</w:t>
            </w:r>
            <w:r>
              <w:rPr>
                <w:szCs w:val="16"/>
              </w:rPr>
              <w:noBreakHyphen/>
            </w:r>
            <w:r w:rsidRPr="00E106BD">
              <w:rPr>
                <w:szCs w:val="16"/>
              </w:rPr>
              <w:t>renal complications of TMA have significantly improved is required.</w:t>
            </w:r>
          </w:p>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52" w:type="dxa"/>
            <w:shd w:val="clear" w:color="auto" w:fill="auto"/>
            <w:tcMar>
              <w:top w:w="28" w:type="dxa"/>
              <w:left w:w="28" w:type="dxa"/>
              <w:right w:w="57" w:type="dxa"/>
            </w:tcMar>
          </w:tcPr>
          <w:p w:rsidR="00F05C1E" w:rsidRPr="00E106BD" w:rsidDel="00107F2B" w:rsidRDefault="00F05C1E"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107F2B" w:rsidTr="008929EB">
        <w:tc>
          <w:tcPr>
            <w:tcW w:w="1729" w:type="dxa"/>
            <w:shd w:val="clear" w:color="auto" w:fill="auto"/>
            <w:tcMar>
              <w:top w:w="28" w:type="dxa"/>
              <w:left w:w="28" w:type="dxa"/>
            </w:tcMar>
            <w:vAlign w:val="center"/>
          </w:tcPr>
          <w:p w:rsidR="00F05C1E" w:rsidRPr="00E106BD" w:rsidDel="00107F2B"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C6686</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P6686</w:t>
            </w:r>
          </w:p>
        </w:tc>
        <w:tc>
          <w:tcPr>
            <w:tcW w:w="7654" w:type="dxa"/>
            <w:shd w:val="clear" w:color="auto" w:fill="auto"/>
            <w:tcMar>
              <w:top w:w="28" w:type="dxa"/>
              <w:left w:w="28" w:type="dxa"/>
            </w:tcMar>
          </w:tcPr>
          <w:p w:rsidR="00F05C1E" w:rsidRPr="00E106BD" w:rsidRDefault="00F05C1E" w:rsidP="00881477">
            <w:pPr>
              <w:pStyle w:val="mps3-data"/>
              <w:spacing w:before="0"/>
              <w:rPr>
                <w:szCs w:val="16"/>
              </w:rPr>
            </w:pPr>
            <w:r w:rsidRPr="00E106BD">
              <w:rPr>
                <w:szCs w:val="16"/>
              </w:rPr>
              <w:t>Atypical haemolytic uraemic syndrome (aHUS)</w:t>
            </w:r>
          </w:p>
          <w:p w:rsidR="00F05C1E" w:rsidRPr="00E106BD" w:rsidRDefault="00F05C1E" w:rsidP="00881477">
            <w:pPr>
              <w:pStyle w:val="mps3-data"/>
              <w:rPr>
                <w:szCs w:val="16"/>
              </w:rPr>
            </w:pPr>
            <w:r w:rsidRPr="00E106BD">
              <w:rPr>
                <w:szCs w:val="16"/>
              </w:rPr>
              <w:t>Extended Continuing treatment</w:t>
            </w:r>
          </w:p>
          <w:p w:rsidR="00F05C1E" w:rsidRPr="00E106BD" w:rsidRDefault="00F05C1E" w:rsidP="00881477">
            <w:pPr>
              <w:pStyle w:val="mps3-data"/>
              <w:rPr>
                <w:szCs w:val="16"/>
              </w:rPr>
            </w:pPr>
            <w:r w:rsidRPr="00E106BD">
              <w:rPr>
                <w:szCs w:val="16"/>
              </w:rPr>
              <w:t>Patient must have received treatment under the Continuing treatment with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have demonstrated on</w:t>
            </w:r>
            <w:r>
              <w:rPr>
                <w:szCs w:val="16"/>
              </w:rPr>
              <w:noBreakHyphen/>
            </w:r>
            <w:r w:rsidRPr="00E106BD">
              <w:rPr>
                <w:szCs w:val="16"/>
              </w:rPr>
              <w:t>going treatment response with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not have ever experienced treatment failure with eculizumab including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have a TMA</w:t>
            </w:r>
            <w:r>
              <w:rPr>
                <w:szCs w:val="16"/>
              </w:rPr>
              <w:noBreakHyphen/>
            </w:r>
            <w:r w:rsidRPr="00E106BD">
              <w:rPr>
                <w:szCs w:val="16"/>
              </w:rPr>
              <w:t>related cardiomyopathy as evidenced by left ventricular ejection fraction &lt; 40% on current objective measurement; OR</w:t>
            </w:r>
          </w:p>
          <w:p w:rsidR="00F05C1E" w:rsidRPr="00E106BD" w:rsidRDefault="00F05C1E" w:rsidP="00881477">
            <w:pPr>
              <w:pStyle w:val="mps3-data"/>
              <w:rPr>
                <w:szCs w:val="16"/>
              </w:rPr>
            </w:pPr>
            <w:r w:rsidRPr="00E106BD">
              <w:rPr>
                <w:szCs w:val="16"/>
              </w:rPr>
              <w:t>Patient must have severe TMA</w:t>
            </w:r>
            <w:r>
              <w:rPr>
                <w:szCs w:val="16"/>
              </w:rPr>
              <w:noBreakHyphen/>
            </w:r>
            <w:r w:rsidRPr="00E106BD">
              <w:rPr>
                <w:szCs w:val="16"/>
              </w:rPr>
              <w:t>related neurological impairment; OR</w:t>
            </w:r>
          </w:p>
          <w:p w:rsidR="00F05C1E" w:rsidRPr="00E106BD" w:rsidRDefault="00F05C1E" w:rsidP="00881477">
            <w:pPr>
              <w:pStyle w:val="mps3-data"/>
              <w:rPr>
                <w:szCs w:val="16"/>
              </w:rPr>
            </w:pPr>
            <w:r w:rsidRPr="00E106BD">
              <w:rPr>
                <w:szCs w:val="16"/>
              </w:rPr>
              <w:t>Patient must have severe TMA</w:t>
            </w:r>
            <w:r>
              <w:rPr>
                <w:szCs w:val="16"/>
              </w:rPr>
              <w:noBreakHyphen/>
            </w:r>
            <w:r w:rsidRPr="00E106BD">
              <w:rPr>
                <w:szCs w:val="16"/>
              </w:rPr>
              <w:t>related gastrointestinal impairment; OR</w:t>
            </w:r>
          </w:p>
          <w:p w:rsidR="00F05C1E" w:rsidRPr="00E106BD" w:rsidRDefault="00F05C1E" w:rsidP="00881477">
            <w:pPr>
              <w:pStyle w:val="mps3-data"/>
              <w:rPr>
                <w:szCs w:val="16"/>
              </w:rPr>
            </w:pPr>
            <w:r w:rsidRPr="00E106BD">
              <w:rPr>
                <w:szCs w:val="16"/>
              </w:rPr>
              <w:t>Patient must have severe TMA</w:t>
            </w:r>
            <w:r>
              <w:rPr>
                <w:szCs w:val="16"/>
              </w:rPr>
              <w:noBreakHyphen/>
            </w:r>
            <w:r w:rsidRPr="00E106BD">
              <w:rPr>
                <w:szCs w:val="16"/>
              </w:rPr>
              <w:t>related pulmonary impairment on current objective measurement; OR</w:t>
            </w:r>
          </w:p>
          <w:p w:rsidR="00F05C1E" w:rsidRPr="00E106BD" w:rsidRDefault="00F05C1E" w:rsidP="00881477">
            <w:pPr>
              <w:pStyle w:val="mps3-data"/>
              <w:rPr>
                <w:szCs w:val="16"/>
              </w:rPr>
            </w:pPr>
            <w:r w:rsidRPr="00E106BD">
              <w:rPr>
                <w:szCs w:val="16"/>
              </w:rPr>
              <w:t>Patient must have grade 4 or 5 chronic kidney disease (eGFR of less than 30 mL/min); OR</w:t>
            </w:r>
          </w:p>
          <w:p w:rsidR="00F05C1E" w:rsidRPr="00E106BD" w:rsidRDefault="00F05C1E" w:rsidP="00881477">
            <w:pPr>
              <w:pStyle w:val="mps3-data"/>
              <w:rPr>
                <w:szCs w:val="16"/>
              </w:rPr>
            </w:pPr>
            <w:r w:rsidRPr="00E106BD">
              <w:rPr>
                <w:szCs w:val="16"/>
              </w:rPr>
              <w:t>Patient must have a high risk of aHUS recurrence in the short term in the absence of continued treatment with eculizumab; AND</w:t>
            </w:r>
          </w:p>
          <w:p w:rsidR="00F05C1E" w:rsidRPr="00E106BD" w:rsidRDefault="00F05C1E" w:rsidP="00881477">
            <w:pPr>
              <w:pStyle w:val="mps3-data"/>
              <w:rPr>
                <w:szCs w:val="16"/>
              </w:rPr>
            </w:pPr>
            <w:r w:rsidRPr="00E106BD">
              <w:rPr>
                <w:szCs w:val="16"/>
              </w:rPr>
              <w:t>Patient must not receive more than 24 weeks of treatment per continuing treatment course authorised under this restriction.</w:t>
            </w:r>
          </w:p>
          <w:p w:rsidR="00F05C1E" w:rsidRPr="00E106BD" w:rsidRDefault="00F05C1E"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05C1E" w:rsidRPr="00E106BD" w:rsidRDefault="00F05C1E" w:rsidP="00881477">
            <w:pPr>
              <w:pStyle w:val="mps3-data"/>
              <w:rPr>
                <w:szCs w:val="16"/>
              </w:rPr>
            </w:pPr>
            <w:r w:rsidRPr="00E106BD">
              <w:rPr>
                <w:szCs w:val="16"/>
              </w:rPr>
              <w:t>A treatment response is defined as:</w:t>
            </w:r>
          </w:p>
          <w:p w:rsidR="00F05C1E" w:rsidRPr="00E106BD" w:rsidRDefault="00F05C1E" w:rsidP="00881477">
            <w:pPr>
              <w:pStyle w:val="mps3-data"/>
              <w:rPr>
                <w:szCs w:val="16"/>
              </w:rPr>
            </w:pPr>
            <w:r w:rsidRPr="00E106BD">
              <w:rPr>
                <w:szCs w:val="16"/>
              </w:rPr>
              <w:t>(1) Normalisation of haematology as demonstrated by at least 2 of the following: platelet count, haptoglobin, and LDH; AND</w:t>
            </w:r>
          </w:p>
          <w:p w:rsidR="00F05C1E" w:rsidRPr="00E106BD" w:rsidRDefault="00F05C1E" w:rsidP="00881477">
            <w:pPr>
              <w:pStyle w:val="mps3-data"/>
              <w:rPr>
                <w:szCs w:val="16"/>
              </w:rPr>
            </w:pPr>
            <w:r w:rsidRPr="00E106BD">
              <w:rPr>
                <w:szCs w:val="16"/>
              </w:rPr>
              <w:t>(2) One of the following:</w:t>
            </w:r>
          </w:p>
          <w:p w:rsidR="00F05C1E" w:rsidRPr="00E106BD" w:rsidRDefault="00F05C1E"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F05C1E" w:rsidRPr="00E106BD" w:rsidRDefault="00F05C1E" w:rsidP="00881477">
            <w:pPr>
              <w:pStyle w:val="mps3-data"/>
              <w:rPr>
                <w:szCs w:val="16"/>
              </w:rPr>
            </w:pPr>
            <w:r w:rsidRPr="00E106BD">
              <w:rPr>
                <w:szCs w:val="16"/>
              </w:rPr>
              <w:t>b) an eGFR within +/</w:t>
            </w:r>
            <w:r>
              <w:rPr>
                <w:szCs w:val="16"/>
              </w:rPr>
              <w:noBreakHyphen/>
            </w:r>
            <w:r w:rsidRPr="00E106BD">
              <w:rPr>
                <w:szCs w:val="16"/>
              </w:rPr>
              <w:t xml:space="preserve"> 25% from baseline; or</w:t>
            </w:r>
          </w:p>
          <w:p w:rsidR="00F05C1E" w:rsidRPr="00E106BD" w:rsidRDefault="00F05C1E" w:rsidP="00881477">
            <w:pPr>
              <w:pStyle w:val="mps3-data"/>
              <w:rPr>
                <w:szCs w:val="16"/>
              </w:rPr>
            </w:pPr>
            <w:r w:rsidRPr="00E106BD">
              <w:rPr>
                <w:szCs w:val="16"/>
              </w:rPr>
              <w:t>c) an avoidance of dialysis</w:t>
            </w:r>
            <w:r>
              <w:rPr>
                <w:szCs w:val="16"/>
              </w:rPr>
              <w:noBreakHyphen/>
            </w:r>
            <w:r w:rsidRPr="00E106BD">
              <w:rPr>
                <w:szCs w:val="16"/>
              </w:rPr>
              <w:t>dependence but worsening of kidney function with a reduction in eGFR 25% from baseline.</w:t>
            </w:r>
          </w:p>
          <w:p w:rsidR="00F05C1E" w:rsidRPr="00E106BD" w:rsidRDefault="00F05C1E" w:rsidP="00881477">
            <w:pPr>
              <w:pStyle w:val="mps3-data"/>
              <w:rPr>
                <w:szCs w:val="16"/>
              </w:rPr>
            </w:pPr>
            <w:r w:rsidRPr="00E106BD">
              <w:rPr>
                <w:szCs w:val="16"/>
              </w:rPr>
              <w:t>PBS</w:t>
            </w:r>
            <w:r>
              <w:rPr>
                <w:szCs w:val="16"/>
              </w:rPr>
              <w:noBreakHyphen/>
            </w:r>
            <w:r w:rsidRPr="00E106BD">
              <w:rPr>
                <w:szCs w:val="16"/>
              </w:rPr>
              <w:t>subsidised treatment with eculizumab will not be permitted if a patient has experienced treatment failure. A treatment failure is defined as a patient who is:</w:t>
            </w:r>
          </w:p>
          <w:p w:rsidR="00F05C1E" w:rsidRPr="00E106BD" w:rsidRDefault="00F05C1E" w:rsidP="00881477">
            <w:pPr>
              <w:pStyle w:val="mps3-data"/>
              <w:rPr>
                <w:szCs w:val="16"/>
              </w:rPr>
            </w:pPr>
            <w:r w:rsidRPr="00E106BD">
              <w:rPr>
                <w:szCs w:val="16"/>
              </w:rPr>
              <w:t>(1) dialysis</w:t>
            </w:r>
            <w:r>
              <w:rPr>
                <w:szCs w:val="16"/>
              </w:rPr>
              <w:noBreakHyphen/>
            </w:r>
            <w:r w:rsidRPr="00E106BD">
              <w:rPr>
                <w:szCs w:val="16"/>
              </w:rPr>
              <w:t>dependent at the time of application and has failed to demonstrate significant resolution of extra</w:t>
            </w:r>
            <w:r>
              <w:rPr>
                <w:szCs w:val="16"/>
              </w:rPr>
              <w:noBreakHyphen/>
            </w:r>
            <w:r w:rsidRPr="00E106BD">
              <w:rPr>
                <w:szCs w:val="16"/>
              </w:rPr>
              <w:t>renal complications if originally presented; or</w:t>
            </w:r>
          </w:p>
          <w:p w:rsidR="00F05C1E" w:rsidRPr="00E106BD" w:rsidRDefault="00F05C1E" w:rsidP="00881477">
            <w:pPr>
              <w:pStyle w:val="mps3-data"/>
              <w:rPr>
                <w:szCs w:val="16"/>
              </w:rPr>
            </w:pPr>
            <w:r w:rsidRPr="00E106BD">
              <w:rPr>
                <w:szCs w:val="16"/>
              </w:rPr>
              <w:t>(2) on dialysis and has been on dialysis for 4 months of the previous 6 months while receiving PBS</w:t>
            </w:r>
            <w:r>
              <w:rPr>
                <w:szCs w:val="16"/>
              </w:rPr>
              <w:noBreakHyphen/>
            </w:r>
            <w:r w:rsidRPr="00E106BD">
              <w:rPr>
                <w:szCs w:val="16"/>
              </w:rPr>
              <w:t>subsidised eculizumab and has failed to demonstrate significant resolution of extra</w:t>
            </w:r>
            <w:r>
              <w:rPr>
                <w:szCs w:val="16"/>
              </w:rPr>
              <w:noBreakHyphen/>
            </w:r>
            <w:r w:rsidRPr="00E106BD">
              <w:rPr>
                <w:szCs w:val="16"/>
              </w:rPr>
              <w:t>renal complications if originally presented.</w:t>
            </w:r>
          </w:p>
          <w:p w:rsidR="00F05C1E" w:rsidRPr="00E106BD" w:rsidRDefault="00F05C1E"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F05C1E" w:rsidRPr="00E106BD" w:rsidRDefault="00F05C1E" w:rsidP="00881477">
            <w:pPr>
              <w:pStyle w:val="mps3-data"/>
              <w:rPr>
                <w:szCs w:val="16"/>
              </w:rPr>
            </w:pPr>
            <w:r w:rsidRPr="00E106BD">
              <w:rPr>
                <w:szCs w:val="16"/>
              </w:rPr>
              <w:t>The authority application must be in writing and must include:</w:t>
            </w:r>
          </w:p>
          <w:p w:rsidR="00F05C1E" w:rsidRPr="00E106BD" w:rsidRDefault="00F05C1E" w:rsidP="00881477">
            <w:pPr>
              <w:pStyle w:val="mps3-data"/>
              <w:rPr>
                <w:szCs w:val="16"/>
              </w:rPr>
            </w:pPr>
            <w:r w:rsidRPr="00E106BD">
              <w:rPr>
                <w:szCs w:val="16"/>
              </w:rPr>
              <w:t>(1) A completed authority prescription form; and</w:t>
            </w:r>
          </w:p>
          <w:p w:rsidR="00F05C1E" w:rsidRPr="00E106BD" w:rsidRDefault="00F05C1E" w:rsidP="00881477">
            <w:pPr>
              <w:pStyle w:val="mps3-data"/>
              <w:rPr>
                <w:szCs w:val="16"/>
              </w:rPr>
            </w:pPr>
            <w:r w:rsidRPr="00E106BD">
              <w:rPr>
                <w:szCs w:val="16"/>
              </w:rPr>
              <w:t>(2) A completed aHUS eculizumab Authority Application Supporting Information Form for Continuing treatment; and</w:t>
            </w:r>
          </w:p>
          <w:p w:rsidR="00F05C1E" w:rsidRPr="00E106BD" w:rsidRDefault="00F05C1E" w:rsidP="00881477">
            <w:pPr>
              <w:pStyle w:val="mps3-data"/>
              <w:rPr>
                <w:szCs w:val="16"/>
              </w:rPr>
            </w:pPr>
            <w:r w:rsidRPr="00E106BD">
              <w:rPr>
                <w:szCs w:val="16"/>
              </w:rPr>
              <w:t>(3) A detailed cover letter from the prescriber; and</w:t>
            </w:r>
          </w:p>
          <w:p w:rsidR="00F05C1E" w:rsidRPr="00E106BD" w:rsidRDefault="00F05C1E" w:rsidP="00881477">
            <w:pPr>
              <w:pStyle w:val="mps3-data"/>
              <w:rPr>
                <w:szCs w:val="16"/>
              </w:rPr>
            </w:pPr>
            <w:r w:rsidRPr="00E106BD">
              <w:rPr>
                <w:szCs w:val="16"/>
              </w:rPr>
              <w:t>(4) A copy of a current Certificate of vaccination or a statement that vaccination has or will be administered and appropriate antibiotic prophylaxis has been prescribed; and</w:t>
            </w:r>
          </w:p>
          <w:p w:rsidR="00F05C1E" w:rsidRPr="00E106BD" w:rsidRDefault="00F05C1E" w:rsidP="00881477">
            <w:pPr>
              <w:pStyle w:val="mps3-data"/>
              <w:rPr>
                <w:szCs w:val="16"/>
              </w:rPr>
            </w:pPr>
            <w:r w:rsidRPr="00E106BD">
              <w:rPr>
                <w:szCs w:val="16"/>
              </w:rPr>
              <w:t>(5) A measurement of body weight at the time of application; and</w:t>
            </w:r>
          </w:p>
          <w:p w:rsidR="00F05C1E" w:rsidRPr="00E106BD" w:rsidRDefault="00F05C1E" w:rsidP="00881477">
            <w:pPr>
              <w:pStyle w:val="mps3-data"/>
              <w:rPr>
                <w:szCs w:val="16"/>
              </w:rPr>
            </w:pPr>
            <w:r w:rsidRPr="00E106BD">
              <w:rPr>
                <w:szCs w:val="16"/>
              </w:rPr>
              <w:t>(6) An identified genetic mutation, if applicable; and</w:t>
            </w:r>
          </w:p>
          <w:p w:rsidR="00F05C1E" w:rsidRPr="00E106BD" w:rsidRDefault="00F05C1E" w:rsidP="00881477">
            <w:pPr>
              <w:pStyle w:val="mps3-data"/>
              <w:rPr>
                <w:szCs w:val="16"/>
              </w:rPr>
            </w:pPr>
            <w:r w:rsidRPr="00E106BD">
              <w:rPr>
                <w:szCs w:val="16"/>
              </w:rPr>
              <w:t>(7) A family history of aHUS, if applicable; and</w:t>
            </w:r>
          </w:p>
          <w:p w:rsidR="00F05C1E" w:rsidRPr="00E106BD" w:rsidRDefault="00F05C1E" w:rsidP="00881477">
            <w:pPr>
              <w:pStyle w:val="mps3-data"/>
              <w:rPr>
                <w:szCs w:val="16"/>
              </w:rPr>
            </w:pPr>
            <w:r w:rsidRPr="00E106BD">
              <w:rPr>
                <w:szCs w:val="16"/>
              </w:rPr>
              <w:t>(8) A history of multiple episodes of aHUS before commencing eculizumab treatment, if applicable; and</w:t>
            </w:r>
          </w:p>
          <w:p w:rsidR="00F05C1E" w:rsidRPr="00E106BD" w:rsidRDefault="00F05C1E" w:rsidP="00881477">
            <w:pPr>
              <w:pStyle w:val="mps3-data"/>
              <w:rPr>
                <w:szCs w:val="16"/>
              </w:rPr>
            </w:pPr>
            <w:r w:rsidRPr="00E106BD">
              <w:rPr>
                <w:szCs w:val="16"/>
              </w:rPr>
              <w:t>(9) A history of kidney transplant, if applicable (especially if required due to aHUS); and</w:t>
            </w:r>
          </w:p>
          <w:p w:rsidR="00F05C1E" w:rsidRPr="00E106BD" w:rsidRDefault="00F05C1E" w:rsidP="00881477">
            <w:pPr>
              <w:pStyle w:val="mps3-data"/>
              <w:rPr>
                <w:szCs w:val="16"/>
              </w:rPr>
            </w:pPr>
            <w:r w:rsidRPr="00E106BD">
              <w:rPr>
                <w:szCs w:val="16"/>
              </w:rPr>
              <w:t>(10) An inclusion of the individual consequences of recurrent disease; and</w:t>
            </w:r>
          </w:p>
          <w:p w:rsidR="00F05C1E" w:rsidRPr="00E106BD" w:rsidRDefault="00F05C1E" w:rsidP="00881477">
            <w:pPr>
              <w:pStyle w:val="mps3-data"/>
              <w:rPr>
                <w:szCs w:val="16"/>
              </w:rPr>
            </w:pPr>
            <w:r w:rsidRPr="00E106BD">
              <w:rPr>
                <w:szCs w:val="16"/>
              </w:rPr>
              <w:t>(11) A supporting statement with clinical evidence of severe TMA</w:t>
            </w:r>
            <w:r>
              <w:rPr>
                <w:szCs w:val="16"/>
              </w:rPr>
              <w:noBreakHyphen/>
            </w:r>
            <w:r w:rsidRPr="00E106BD">
              <w:rPr>
                <w:szCs w:val="16"/>
              </w:rPr>
              <w:t>related cardiomyopathy (including current LVEF result), neurological impairment, gastrointestinal impairment or pulmonary impairment; and</w:t>
            </w:r>
          </w:p>
          <w:p w:rsidR="00F05C1E" w:rsidRPr="00E106BD" w:rsidRDefault="00F05C1E" w:rsidP="00881477">
            <w:pPr>
              <w:pStyle w:val="mps3-data"/>
              <w:rPr>
                <w:szCs w:val="16"/>
              </w:rPr>
            </w:pPr>
            <w:r w:rsidRPr="00E106BD">
              <w:rPr>
                <w:szCs w:val="16"/>
              </w:rPr>
              <w:t>(12) Evidence that the patient has had a treatment response including haematological results of no more than 1 month old at the time of application (platelet count, haptoglobin and LDH); and an eGFR level of no more than 1 month old at the time of application; and</w:t>
            </w:r>
          </w:p>
          <w:p w:rsidR="00F05C1E" w:rsidRPr="00E106BD" w:rsidRDefault="00F05C1E" w:rsidP="00881477">
            <w:pPr>
              <w:pStyle w:val="mps3-data"/>
              <w:rPr>
                <w:szCs w:val="16"/>
              </w:rPr>
            </w:pPr>
            <w:r w:rsidRPr="00E106BD">
              <w:rPr>
                <w:szCs w:val="16"/>
              </w:rPr>
              <w:t>(13) Evidence that the patient has not experienced treatment failure, including a supporting statement with clinical evidence that the patient does not require dialysis, unless the indication for continuing eculizumab is severe extra</w:t>
            </w:r>
            <w:r>
              <w:rPr>
                <w:szCs w:val="16"/>
              </w:rPr>
              <w:noBreakHyphen/>
            </w:r>
            <w:r w:rsidRPr="00E106BD">
              <w:rPr>
                <w:szCs w:val="16"/>
              </w:rPr>
              <w:t>renal complications that have significantly improved; and</w:t>
            </w:r>
          </w:p>
          <w:p w:rsidR="00F05C1E" w:rsidRPr="00E106BD" w:rsidRDefault="00F05C1E" w:rsidP="00881477">
            <w:pPr>
              <w:pStyle w:val="mps3-data"/>
              <w:rPr>
                <w:szCs w:val="16"/>
              </w:rPr>
            </w:pPr>
            <w:r w:rsidRPr="00E106BD">
              <w:rPr>
                <w:szCs w:val="16"/>
              </w:rPr>
              <w:t>(14) If the indication for continuing eculizumab is severe extra</w:t>
            </w:r>
            <w:r>
              <w:rPr>
                <w:szCs w:val="16"/>
              </w:rPr>
              <w:noBreakHyphen/>
            </w:r>
            <w:r w:rsidRPr="00E106BD">
              <w:rPr>
                <w:szCs w:val="16"/>
              </w:rPr>
              <w:t>renal complications, then a supporting statement with clinical evidence that any initial extra</w:t>
            </w:r>
            <w:r>
              <w:rPr>
                <w:szCs w:val="16"/>
              </w:rPr>
              <w:noBreakHyphen/>
            </w:r>
            <w:r w:rsidRPr="00E106BD">
              <w:rPr>
                <w:szCs w:val="16"/>
              </w:rPr>
              <w:t>renal complications of TMA have significantly improved is required.</w:t>
            </w:r>
          </w:p>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52" w:type="dxa"/>
            <w:shd w:val="clear" w:color="auto" w:fill="auto"/>
            <w:tcMar>
              <w:top w:w="28" w:type="dxa"/>
              <w:left w:w="28" w:type="dxa"/>
              <w:right w:w="57" w:type="dxa"/>
            </w:tcMar>
          </w:tcPr>
          <w:p w:rsidR="00F05C1E" w:rsidRPr="00E106BD" w:rsidDel="00107F2B" w:rsidRDefault="00F05C1E"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107F2B" w:rsidTr="008929EB">
        <w:tc>
          <w:tcPr>
            <w:tcW w:w="1729" w:type="dxa"/>
            <w:shd w:val="clear" w:color="auto" w:fill="auto"/>
            <w:tcMar>
              <w:top w:w="28" w:type="dxa"/>
              <w:left w:w="28" w:type="dxa"/>
            </w:tcMar>
            <w:vAlign w:val="center"/>
          </w:tcPr>
          <w:p w:rsidR="00F05C1E" w:rsidRPr="00E106BD" w:rsidDel="00107F2B"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C6687</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P6687</w:t>
            </w:r>
          </w:p>
        </w:tc>
        <w:tc>
          <w:tcPr>
            <w:tcW w:w="7654" w:type="dxa"/>
            <w:shd w:val="clear" w:color="auto" w:fill="auto"/>
            <w:tcMar>
              <w:top w:w="28" w:type="dxa"/>
              <w:left w:w="28" w:type="dxa"/>
            </w:tcMar>
          </w:tcPr>
          <w:p w:rsidR="00F05C1E" w:rsidRPr="00E106BD" w:rsidRDefault="00F05C1E" w:rsidP="00881477">
            <w:pPr>
              <w:pStyle w:val="mps3-data"/>
              <w:spacing w:before="0"/>
              <w:rPr>
                <w:szCs w:val="16"/>
              </w:rPr>
            </w:pPr>
            <w:r w:rsidRPr="00E106BD">
              <w:rPr>
                <w:szCs w:val="16"/>
              </w:rPr>
              <w:t>Atypical haemolytic uraemic syndrome (aHUS)</w:t>
            </w:r>
          </w:p>
          <w:p w:rsidR="00F05C1E" w:rsidRPr="00E106BD" w:rsidRDefault="00F05C1E" w:rsidP="00881477">
            <w:pPr>
              <w:pStyle w:val="mps3-data"/>
              <w:rPr>
                <w:szCs w:val="16"/>
              </w:rPr>
            </w:pPr>
            <w:r w:rsidRPr="00E106BD">
              <w:rPr>
                <w:szCs w:val="16"/>
              </w:rPr>
              <w:t>Recommencement of treatment</w:t>
            </w:r>
          </w:p>
          <w:p w:rsidR="00F05C1E" w:rsidRPr="00E106BD" w:rsidRDefault="00F05C1E" w:rsidP="00881477">
            <w:pPr>
              <w:pStyle w:val="mps3-data"/>
              <w:rPr>
                <w:szCs w:val="16"/>
              </w:rPr>
            </w:pPr>
            <w:r w:rsidRPr="00E106BD">
              <w:rPr>
                <w:szCs w:val="16"/>
              </w:rPr>
              <w:t>Patient must have demonstrated treatment response to previous treatment with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not have ever experienced treatment failure with eculizumab including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have the following clinical conditions:(i) either significant haemolysis as measured by low/absent haptoglobin; or presence of schistocytes on the blood film; or lactate dehydrogenase (LDH) above normal;AND(ii) either platelet consumption as measured by either 25% decline from patient baseline or thrombocytopenia (platelet count &lt;150 x 10^9/L);OR(iii) TMA</w:t>
            </w:r>
            <w:r>
              <w:rPr>
                <w:szCs w:val="16"/>
              </w:rPr>
              <w:noBreakHyphen/>
            </w:r>
            <w:r w:rsidRPr="00E106BD">
              <w:rPr>
                <w:szCs w:val="16"/>
              </w:rPr>
              <w:t>related organ impairment including on recent biopsy; AND</w:t>
            </w:r>
          </w:p>
          <w:p w:rsidR="00F05C1E" w:rsidRPr="00E106BD" w:rsidRDefault="00F05C1E" w:rsidP="00881477">
            <w:pPr>
              <w:pStyle w:val="mps3-data"/>
              <w:rPr>
                <w:szCs w:val="16"/>
              </w:rPr>
            </w:pPr>
            <w:r w:rsidRPr="00E106BD">
              <w:rPr>
                <w:szCs w:val="16"/>
              </w:rPr>
              <w:t>Patient must not receive more than 24 weeks of treatment under this restriction.</w:t>
            </w:r>
          </w:p>
          <w:p w:rsidR="00F05C1E" w:rsidRPr="00E106BD" w:rsidRDefault="00F05C1E"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05C1E" w:rsidRPr="00E106BD" w:rsidRDefault="00F05C1E" w:rsidP="00881477">
            <w:pPr>
              <w:pStyle w:val="mps3-data"/>
              <w:rPr>
                <w:szCs w:val="16"/>
              </w:rPr>
            </w:pPr>
            <w:r w:rsidRPr="00E106BD">
              <w:rPr>
                <w:szCs w:val="16"/>
              </w:rPr>
              <w:t>A treatment response is defined as:</w:t>
            </w:r>
          </w:p>
          <w:p w:rsidR="00F05C1E" w:rsidRPr="00E106BD" w:rsidRDefault="00F05C1E" w:rsidP="00881477">
            <w:pPr>
              <w:pStyle w:val="mps3-data"/>
              <w:rPr>
                <w:szCs w:val="16"/>
              </w:rPr>
            </w:pPr>
            <w:r w:rsidRPr="00E106BD">
              <w:rPr>
                <w:szCs w:val="16"/>
              </w:rPr>
              <w:t>(1) Normalisation of haematology as demonstrated by at least 2 of the following: platelet count, haptoglobin, and LDH; AND</w:t>
            </w:r>
          </w:p>
          <w:p w:rsidR="00F05C1E" w:rsidRPr="00E106BD" w:rsidRDefault="00F05C1E" w:rsidP="00881477">
            <w:pPr>
              <w:pStyle w:val="mps3-data"/>
              <w:rPr>
                <w:szCs w:val="16"/>
              </w:rPr>
            </w:pPr>
            <w:r w:rsidRPr="00E106BD">
              <w:rPr>
                <w:szCs w:val="16"/>
              </w:rPr>
              <w:t>(2) One of the following:</w:t>
            </w:r>
          </w:p>
          <w:p w:rsidR="00F05C1E" w:rsidRPr="00E106BD" w:rsidRDefault="00F05C1E"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F05C1E" w:rsidRPr="00E106BD" w:rsidRDefault="00F05C1E" w:rsidP="00881477">
            <w:pPr>
              <w:pStyle w:val="mps3-data"/>
              <w:rPr>
                <w:szCs w:val="16"/>
              </w:rPr>
            </w:pPr>
            <w:r w:rsidRPr="00E106BD">
              <w:rPr>
                <w:szCs w:val="16"/>
              </w:rPr>
              <w:t>b) an eGFR within +/</w:t>
            </w:r>
            <w:r>
              <w:rPr>
                <w:szCs w:val="16"/>
              </w:rPr>
              <w:noBreakHyphen/>
            </w:r>
            <w:r w:rsidRPr="00E106BD">
              <w:rPr>
                <w:szCs w:val="16"/>
              </w:rPr>
              <w:t xml:space="preserve"> 25% from baseline; or</w:t>
            </w:r>
          </w:p>
          <w:p w:rsidR="00F05C1E" w:rsidRPr="00E106BD" w:rsidRDefault="00F05C1E" w:rsidP="00881477">
            <w:pPr>
              <w:pStyle w:val="mps3-data"/>
              <w:rPr>
                <w:szCs w:val="16"/>
              </w:rPr>
            </w:pPr>
            <w:r w:rsidRPr="00E106BD">
              <w:rPr>
                <w:szCs w:val="16"/>
              </w:rPr>
              <w:t>c) an avoidance of dialysis</w:t>
            </w:r>
            <w:r>
              <w:rPr>
                <w:szCs w:val="16"/>
              </w:rPr>
              <w:noBreakHyphen/>
            </w:r>
            <w:r w:rsidRPr="00E106BD">
              <w:rPr>
                <w:szCs w:val="16"/>
              </w:rPr>
              <w:t>dependence but worsening of kidney function with a reduction in eGFR 25% from baseline.</w:t>
            </w:r>
          </w:p>
          <w:p w:rsidR="00F05C1E" w:rsidRPr="00E106BD" w:rsidRDefault="00F05C1E" w:rsidP="00881477">
            <w:pPr>
              <w:pStyle w:val="mps3-data"/>
              <w:rPr>
                <w:szCs w:val="16"/>
              </w:rPr>
            </w:pPr>
            <w:r w:rsidRPr="00E106BD">
              <w:rPr>
                <w:szCs w:val="16"/>
              </w:rPr>
              <w:t>PBS</w:t>
            </w:r>
            <w:r>
              <w:rPr>
                <w:szCs w:val="16"/>
              </w:rPr>
              <w:noBreakHyphen/>
            </w:r>
            <w:r w:rsidRPr="00E106BD">
              <w:rPr>
                <w:szCs w:val="16"/>
              </w:rPr>
              <w:t>subsidised treatment with eculizumab will not be permitted if a patient has experienced treatment failure. A treatment failure is defined as a patient who is:</w:t>
            </w:r>
          </w:p>
          <w:p w:rsidR="00F05C1E" w:rsidRPr="00E106BD" w:rsidRDefault="00F05C1E" w:rsidP="00881477">
            <w:pPr>
              <w:pStyle w:val="mps3-data"/>
              <w:rPr>
                <w:szCs w:val="16"/>
              </w:rPr>
            </w:pPr>
            <w:r w:rsidRPr="00E106BD">
              <w:rPr>
                <w:szCs w:val="16"/>
              </w:rPr>
              <w:t>(1) dialysis</w:t>
            </w:r>
            <w:r>
              <w:rPr>
                <w:szCs w:val="16"/>
              </w:rPr>
              <w:noBreakHyphen/>
            </w:r>
            <w:r w:rsidRPr="00E106BD">
              <w:rPr>
                <w:szCs w:val="16"/>
              </w:rPr>
              <w:t>dependent at the time of application and has failed to demonstrate significant resolution of extra</w:t>
            </w:r>
            <w:r>
              <w:rPr>
                <w:szCs w:val="16"/>
              </w:rPr>
              <w:noBreakHyphen/>
            </w:r>
            <w:r w:rsidRPr="00E106BD">
              <w:rPr>
                <w:szCs w:val="16"/>
              </w:rPr>
              <w:t>renal complications if originally presented; or</w:t>
            </w:r>
          </w:p>
          <w:p w:rsidR="00F05C1E" w:rsidRPr="00E106BD" w:rsidRDefault="00F05C1E" w:rsidP="00881477">
            <w:pPr>
              <w:pStyle w:val="mps3-data"/>
              <w:rPr>
                <w:szCs w:val="16"/>
              </w:rPr>
            </w:pPr>
            <w:r w:rsidRPr="00E106BD">
              <w:rPr>
                <w:szCs w:val="16"/>
              </w:rPr>
              <w:t>(2) on dialysis and has been on dialysis for 4 months of the previous 6 months while receiving PBS</w:t>
            </w:r>
            <w:r>
              <w:rPr>
                <w:szCs w:val="16"/>
              </w:rPr>
              <w:noBreakHyphen/>
            </w:r>
            <w:r w:rsidRPr="00E106BD">
              <w:rPr>
                <w:szCs w:val="16"/>
              </w:rPr>
              <w:t>subsidised eculizumab and has failed to demonstrate significant resolution of extra</w:t>
            </w:r>
            <w:r>
              <w:rPr>
                <w:szCs w:val="16"/>
              </w:rPr>
              <w:noBreakHyphen/>
            </w:r>
            <w:r w:rsidRPr="00E106BD">
              <w:rPr>
                <w:szCs w:val="16"/>
              </w:rPr>
              <w:t>renal complications if originally presented.</w:t>
            </w:r>
          </w:p>
          <w:p w:rsidR="00F05C1E" w:rsidRPr="00E106BD" w:rsidRDefault="00F05C1E"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F05C1E" w:rsidRPr="00E106BD" w:rsidRDefault="00F05C1E" w:rsidP="00881477">
            <w:pPr>
              <w:pStyle w:val="mps3-data"/>
              <w:rPr>
                <w:szCs w:val="16"/>
              </w:rPr>
            </w:pPr>
            <w:r w:rsidRPr="00E106BD">
              <w:rPr>
                <w:szCs w:val="16"/>
              </w:rPr>
              <w:t>The authority application must be in writing and must include:</w:t>
            </w:r>
          </w:p>
          <w:p w:rsidR="00F05C1E" w:rsidRPr="00E106BD" w:rsidRDefault="00F05C1E" w:rsidP="00881477">
            <w:pPr>
              <w:pStyle w:val="mps3-data"/>
              <w:rPr>
                <w:szCs w:val="16"/>
              </w:rPr>
            </w:pPr>
            <w:r w:rsidRPr="00E106BD">
              <w:rPr>
                <w:szCs w:val="16"/>
              </w:rPr>
              <w:t>(1) A completed authority prescription form(s); and</w:t>
            </w:r>
          </w:p>
          <w:p w:rsidR="00F05C1E" w:rsidRPr="00E106BD" w:rsidRDefault="00F05C1E" w:rsidP="00881477">
            <w:pPr>
              <w:pStyle w:val="mps3-data"/>
              <w:rPr>
                <w:szCs w:val="16"/>
              </w:rPr>
            </w:pPr>
            <w:r w:rsidRPr="00E106BD">
              <w:rPr>
                <w:szCs w:val="16"/>
              </w:rPr>
              <w:t>(2) A completed aHUS eculizumab Authority Application Supporting Information Form for Recommencement of treatment; and</w:t>
            </w:r>
          </w:p>
          <w:p w:rsidR="00F05C1E" w:rsidRPr="00E106BD" w:rsidRDefault="00F05C1E" w:rsidP="00881477">
            <w:pPr>
              <w:pStyle w:val="mps3-data"/>
              <w:rPr>
                <w:szCs w:val="16"/>
              </w:rPr>
            </w:pPr>
            <w:r w:rsidRPr="00E106BD">
              <w:rPr>
                <w:szCs w:val="16"/>
              </w:rPr>
              <w:t>(3) A signed patient acknowledgement or an acknowledgement signed by a parent or authorised guardian, if applicable; and</w:t>
            </w:r>
          </w:p>
          <w:p w:rsidR="00F05C1E" w:rsidRPr="00E106BD" w:rsidRDefault="00F05C1E" w:rsidP="00881477">
            <w:pPr>
              <w:pStyle w:val="mps3-data"/>
              <w:rPr>
                <w:szCs w:val="16"/>
              </w:rPr>
            </w:pPr>
            <w:r w:rsidRPr="00E106BD">
              <w:rPr>
                <w:szCs w:val="16"/>
              </w:rPr>
              <w:t>(4) A detailed cover letter from the prescriber; and</w:t>
            </w:r>
          </w:p>
          <w:p w:rsidR="00F05C1E" w:rsidRPr="00E106BD" w:rsidRDefault="00F05C1E" w:rsidP="00881477">
            <w:pPr>
              <w:pStyle w:val="mps3-data"/>
              <w:rPr>
                <w:szCs w:val="16"/>
              </w:rPr>
            </w:pPr>
            <w:r w:rsidRPr="00E106BD">
              <w:rPr>
                <w:szCs w:val="16"/>
              </w:rPr>
              <w:t>(5) A copy of a current Certificate of vaccination or a statement that vaccination has or will be administered and appropriate antibiotic prophylaxis has been prescribed; and</w:t>
            </w:r>
          </w:p>
          <w:p w:rsidR="00F05C1E" w:rsidRPr="00E106BD" w:rsidRDefault="00F05C1E" w:rsidP="00881477">
            <w:pPr>
              <w:pStyle w:val="mps3-data"/>
              <w:rPr>
                <w:szCs w:val="16"/>
              </w:rPr>
            </w:pPr>
            <w:r w:rsidRPr="00E106BD">
              <w:rPr>
                <w:szCs w:val="16"/>
              </w:rPr>
              <w:t>(6) A measurement of body weight at the time of application, and</w:t>
            </w:r>
          </w:p>
          <w:p w:rsidR="00F05C1E" w:rsidRPr="00E106BD" w:rsidRDefault="00F05C1E" w:rsidP="00881477">
            <w:pPr>
              <w:pStyle w:val="mps3-data"/>
              <w:rPr>
                <w:szCs w:val="16"/>
              </w:rPr>
            </w:pPr>
            <w:r w:rsidRPr="00E106BD">
              <w:rPr>
                <w:szCs w:val="16"/>
              </w:rPr>
              <w:t>(7) An identified genetic mutation, if applicable; and</w:t>
            </w:r>
          </w:p>
          <w:p w:rsidR="00F05C1E" w:rsidRPr="00E106BD" w:rsidRDefault="00F05C1E" w:rsidP="00881477">
            <w:pPr>
              <w:pStyle w:val="mps3-data"/>
              <w:rPr>
                <w:szCs w:val="16"/>
              </w:rPr>
            </w:pPr>
            <w:r w:rsidRPr="00E106BD">
              <w:rPr>
                <w:szCs w:val="16"/>
              </w:rPr>
              <w:t>(8) A family history of aHUS if applicable; and</w:t>
            </w:r>
          </w:p>
          <w:p w:rsidR="00F05C1E" w:rsidRPr="00E106BD" w:rsidRDefault="00F05C1E" w:rsidP="00881477">
            <w:pPr>
              <w:pStyle w:val="mps3-data"/>
              <w:rPr>
                <w:szCs w:val="16"/>
              </w:rPr>
            </w:pPr>
            <w:r w:rsidRPr="00E106BD">
              <w:rPr>
                <w:szCs w:val="16"/>
              </w:rPr>
              <w:t>(9) A history of multiple episodes of aHUS following the treatment break, if applicable; and</w:t>
            </w:r>
          </w:p>
          <w:p w:rsidR="00F05C1E" w:rsidRPr="00E106BD" w:rsidRDefault="00F05C1E" w:rsidP="00881477">
            <w:pPr>
              <w:pStyle w:val="mps3-data"/>
              <w:rPr>
                <w:szCs w:val="16"/>
              </w:rPr>
            </w:pPr>
            <w:r w:rsidRPr="00E106BD">
              <w:rPr>
                <w:szCs w:val="16"/>
              </w:rPr>
              <w:t>(10) A history of kidney transplant if applicable (especially if required due to aHUS); and</w:t>
            </w:r>
          </w:p>
          <w:p w:rsidR="00F05C1E" w:rsidRPr="00E106BD" w:rsidRDefault="00F05C1E" w:rsidP="00881477">
            <w:pPr>
              <w:pStyle w:val="mps3-data"/>
              <w:rPr>
                <w:szCs w:val="16"/>
              </w:rPr>
            </w:pPr>
            <w:r w:rsidRPr="00E106BD">
              <w:rPr>
                <w:szCs w:val="16"/>
              </w:rPr>
              <w:t>(11) An inclusion of the individual consequences of recurrent disease; and</w:t>
            </w:r>
          </w:p>
          <w:p w:rsidR="00F05C1E" w:rsidRPr="00E106BD" w:rsidRDefault="00F05C1E" w:rsidP="00881477">
            <w:pPr>
              <w:pStyle w:val="mps3-data"/>
              <w:rPr>
                <w:szCs w:val="16"/>
              </w:rPr>
            </w:pPr>
            <w:r w:rsidRPr="00E106BD">
              <w:rPr>
                <w:szCs w:val="16"/>
              </w:rPr>
              <w:t>(12) A supporting statement with clinical evidence of TMA</w:t>
            </w:r>
            <w:r>
              <w:rPr>
                <w:szCs w:val="16"/>
              </w:rPr>
              <w:noBreakHyphen/>
            </w:r>
            <w:r w:rsidRPr="00E106BD">
              <w:rPr>
                <w:szCs w:val="16"/>
              </w:rPr>
              <w:t>related organ damage including current (within one week of application) haematological results (platelet count, haptoglobin and LDH), eGFR level, and, if applicable, on recent biopsy;</w:t>
            </w:r>
          </w:p>
          <w:p w:rsidR="00F05C1E" w:rsidRPr="00E106BD" w:rsidRDefault="00F05C1E" w:rsidP="00881477">
            <w:pPr>
              <w:pStyle w:val="mps3-data"/>
              <w:rPr>
                <w:szCs w:val="16"/>
              </w:rPr>
            </w:pPr>
            <w:r w:rsidRPr="00E106BD">
              <w:rPr>
                <w:szCs w:val="16"/>
              </w:rPr>
              <w:t>(13) Evidence that the patient has had a treatment response to their previous treatment with eculizumab; and</w:t>
            </w:r>
          </w:p>
          <w:p w:rsidR="00F05C1E" w:rsidRPr="00E106BD" w:rsidRDefault="00F05C1E" w:rsidP="00881477">
            <w:pPr>
              <w:pStyle w:val="mps3-data"/>
              <w:rPr>
                <w:szCs w:val="16"/>
              </w:rPr>
            </w:pPr>
            <w:r w:rsidRPr="00E106BD">
              <w:rPr>
                <w:szCs w:val="16"/>
              </w:rPr>
              <w:t>(14) Evidence that the patient has not experienced treatment failure, including a supporting statement with clinical evidence that the patient does not require dialysis, unless the indication for continuing eculizumab is severe extra</w:t>
            </w:r>
            <w:r>
              <w:rPr>
                <w:szCs w:val="16"/>
              </w:rPr>
              <w:noBreakHyphen/>
            </w:r>
            <w:r w:rsidRPr="00E106BD">
              <w:rPr>
                <w:szCs w:val="16"/>
              </w:rPr>
              <w:t>renal complications that have significantly improved; and</w:t>
            </w:r>
          </w:p>
          <w:p w:rsidR="00F05C1E" w:rsidRPr="00E106BD" w:rsidRDefault="00F05C1E" w:rsidP="00881477">
            <w:pPr>
              <w:pStyle w:val="mps3-data"/>
              <w:rPr>
                <w:szCs w:val="16"/>
              </w:rPr>
            </w:pPr>
            <w:r w:rsidRPr="00E106BD">
              <w:rPr>
                <w:szCs w:val="16"/>
              </w:rPr>
              <w:t>(15) If the indication for continuing eculizumab is severe extra</w:t>
            </w:r>
            <w:r>
              <w:rPr>
                <w:szCs w:val="16"/>
              </w:rPr>
              <w:noBreakHyphen/>
            </w:r>
            <w:r w:rsidRPr="00E106BD">
              <w:rPr>
                <w:szCs w:val="16"/>
              </w:rPr>
              <w:t>renal complications, then a supporting statement with clinical evidence that any initial extra</w:t>
            </w:r>
            <w:r>
              <w:rPr>
                <w:szCs w:val="16"/>
              </w:rPr>
              <w:noBreakHyphen/>
            </w:r>
            <w:r w:rsidRPr="00E106BD">
              <w:rPr>
                <w:szCs w:val="16"/>
              </w:rPr>
              <w:t>renal complications of TMA have significantly improved is required.</w:t>
            </w:r>
          </w:p>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52" w:type="dxa"/>
            <w:shd w:val="clear" w:color="auto" w:fill="auto"/>
            <w:tcMar>
              <w:top w:w="28" w:type="dxa"/>
              <w:left w:w="28" w:type="dxa"/>
              <w:right w:w="57" w:type="dxa"/>
            </w:tcMar>
          </w:tcPr>
          <w:p w:rsidR="00F05C1E" w:rsidRPr="00E106BD" w:rsidDel="00107F2B" w:rsidRDefault="00F05C1E"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107F2B" w:rsidTr="008929EB">
        <w:tc>
          <w:tcPr>
            <w:tcW w:w="1729" w:type="dxa"/>
            <w:shd w:val="clear" w:color="auto" w:fill="auto"/>
            <w:tcMar>
              <w:top w:w="28" w:type="dxa"/>
              <w:left w:w="28" w:type="dxa"/>
            </w:tcMar>
            <w:vAlign w:val="center"/>
          </w:tcPr>
          <w:p w:rsidR="00F05C1E" w:rsidRPr="00E106BD" w:rsidDel="00107F2B"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C6688</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P6688</w:t>
            </w:r>
          </w:p>
        </w:tc>
        <w:tc>
          <w:tcPr>
            <w:tcW w:w="7654" w:type="dxa"/>
            <w:shd w:val="clear" w:color="auto" w:fill="auto"/>
            <w:tcMar>
              <w:top w:w="28" w:type="dxa"/>
              <w:left w:w="28" w:type="dxa"/>
            </w:tcMar>
          </w:tcPr>
          <w:p w:rsidR="00F05C1E" w:rsidRPr="00E106BD" w:rsidRDefault="00F05C1E" w:rsidP="00881477">
            <w:pPr>
              <w:pStyle w:val="mps3-data"/>
              <w:spacing w:before="0"/>
              <w:rPr>
                <w:szCs w:val="16"/>
              </w:rPr>
            </w:pPr>
            <w:r w:rsidRPr="00E106BD">
              <w:rPr>
                <w:szCs w:val="16"/>
              </w:rPr>
              <w:t>Atypical haemolytic uraemic syndrome (aHUS)</w:t>
            </w:r>
          </w:p>
          <w:p w:rsidR="00F05C1E" w:rsidRPr="00E106BD" w:rsidRDefault="00F05C1E" w:rsidP="00881477">
            <w:pPr>
              <w:pStyle w:val="mps3-data"/>
              <w:rPr>
                <w:szCs w:val="16"/>
              </w:rPr>
            </w:pPr>
            <w:r w:rsidRPr="00E106BD">
              <w:rPr>
                <w:szCs w:val="16"/>
              </w:rPr>
              <w:t>Continuing recommencement of treatment</w:t>
            </w:r>
          </w:p>
          <w:p w:rsidR="00F05C1E" w:rsidRPr="00E106BD" w:rsidRDefault="00F05C1E" w:rsidP="00881477">
            <w:pPr>
              <w:pStyle w:val="mps3-data"/>
              <w:rPr>
                <w:szCs w:val="16"/>
              </w:rPr>
            </w:pPr>
            <w:r w:rsidRPr="00E106BD">
              <w:rPr>
                <w:szCs w:val="16"/>
              </w:rPr>
              <w:t>Patient must have received treatment under Recommencement of treatment restriction with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have demonstrated ongoing treatment response to the previous 24 weeks of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not have experienced treatment failure with eculizumab including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not receive more than 24 weeks of treatment under this restriction.</w:t>
            </w:r>
          </w:p>
          <w:p w:rsidR="00F05C1E" w:rsidRPr="00E106BD" w:rsidRDefault="00F05C1E"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05C1E" w:rsidRPr="00E106BD" w:rsidRDefault="00F05C1E" w:rsidP="00881477">
            <w:pPr>
              <w:pStyle w:val="mps3-data"/>
              <w:rPr>
                <w:szCs w:val="16"/>
              </w:rPr>
            </w:pPr>
            <w:r w:rsidRPr="00E106BD">
              <w:rPr>
                <w:szCs w:val="16"/>
              </w:rPr>
              <w:t>A treatment response is defined as:</w:t>
            </w:r>
          </w:p>
          <w:p w:rsidR="00F05C1E" w:rsidRPr="00E106BD" w:rsidRDefault="00F05C1E" w:rsidP="00881477">
            <w:pPr>
              <w:pStyle w:val="mps3-data"/>
              <w:rPr>
                <w:szCs w:val="16"/>
              </w:rPr>
            </w:pPr>
            <w:r w:rsidRPr="00E106BD">
              <w:rPr>
                <w:szCs w:val="16"/>
              </w:rPr>
              <w:t>(1) Normalisation of haematology as demonstrated by at least 2 of the following: platelet count, haptoglobin, and LDH; AND</w:t>
            </w:r>
          </w:p>
          <w:p w:rsidR="00F05C1E" w:rsidRPr="00E106BD" w:rsidRDefault="00F05C1E" w:rsidP="00881477">
            <w:pPr>
              <w:pStyle w:val="mps3-data"/>
              <w:rPr>
                <w:szCs w:val="16"/>
              </w:rPr>
            </w:pPr>
            <w:r w:rsidRPr="00E106BD">
              <w:rPr>
                <w:szCs w:val="16"/>
              </w:rPr>
              <w:t>(2) One of the following:</w:t>
            </w:r>
          </w:p>
          <w:p w:rsidR="00F05C1E" w:rsidRPr="00E106BD" w:rsidRDefault="00F05C1E"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F05C1E" w:rsidRPr="00E106BD" w:rsidRDefault="00F05C1E" w:rsidP="00881477">
            <w:pPr>
              <w:pStyle w:val="mps3-data"/>
              <w:rPr>
                <w:szCs w:val="16"/>
              </w:rPr>
            </w:pPr>
            <w:r w:rsidRPr="00E106BD">
              <w:rPr>
                <w:szCs w:val="16"/>
              </w:rPr>
              <w:t>b) an eGFR within +/</w:t>
            </w:r>
            <w:r>
              <w:rPr>
                <w:szCs w:val="16"/>
              </w:rPr>
              <w:noBreakHyphen/>
            </w:r>
            <w:r w:rsidRPr="00E106BD">
              <w:rPr>
                <w:szCs w:val="16"/>
              </w:rPr>
              <w:t xml:space="preserve"> 25% from baseline; or</w:t>
            </w:r>
          </w:p>
          <w:p w:rsidR="00F05C1E" w:rsidRPr="00E106BD" w:rsidRDefault="00F05C1E" w:rsidP="00881477">
            <w:pPr>
              <w:pStyle w:val="mps3-data"/>
              <w:rPr>
                <w:szCs w:val="16"/>
              </w:rPr>
            </w:pPr>
            <w:r w:rsidRPr="00E106BD">
              <w:rPr>
                <w:szCs w:val="16"/>
              </w:rPr>
              <w:t>c) an avoidance of dialysis</w:t>
            </w:r>
            <w:r>
              <w:rPr>
                <w:szCs w:val="16"/>
              </w:rPr>
              <w:noBreakHyphen/>
            </w:r>
            <w:r w:rsidRPr="00E106BD">
              <w:rPr>
                <w:szCs w:val="16"/>
              </w:rPr>
              <w:t>dependence but worsening of kidney function with a reduction in eGFR 25% from baseline.</w:t>
            </w:r>
          </w:p>
          <w:p w:rsidR="00F05C1E" w:rsidRPr="00E106BD" w:rsidRDefault="00F05C1E" w:rsidP="00881477">
            <w:pPr>
              <w:pStyle w:val="mps3-data"/>
              <w:rPr>
                <w:szCs w:val="16"/>
              </w:rPr>
            </w:pPr>
            <w:r w:rsidRPr="00E106BD">
              <w:rPr>
                <w:szCs w:val="16"/>
              </w:rPr>
              <w:t>PBS</w:t>
            </w:r>
            <w:r>
              <w:rPr>
                <w:szCs w:val="16"/>
              </w:rPr>
              <w:noBreakHyphen/>
            </w:r>
            <w:r w:rsidRPr="00E106BD">
              <w:rPr>
                <w:szCs w:val="16"/>
              </w:rPr>
              <w:t>subsidised treatment with eculizumab will not be permitted if a patient has experienced treatment failure. A treatment failure is defined as a patient who is:</w:t>
            </w:r>
          </w:p>
          <w:p w:rsidR="00F05C1E" w:rsidRPr="00E106BD" w:rsidRDefault="00F05C1E" w:rsidP="00881477">
            <w:pPr>
              <w:pStyle w:val="mps3-data"/>
              <w:rPr>
                <w:szCs w:val="16"/>
              </w:rPr>
            </w:pPr>
            <w:r w:rsidRPr="00E106BD">
              <w:rPr>
                <w:szCs w:val="16"/>
              </w:rPr>
              <w:t>(1) dialysis</w:t>
            </w:r>
            <w:r>
              <w:rPr>
                <w:szCs w:val="16"/>
              </w:rPr>
              <w:noBreakHyphen/>
            </w:r>
            <w:r w:rsidRPr="00E106BD">
              <w:rPr>
                <w:szCs w:val="16"/>
              </w:rPr>
              <w:t>dependent at the time of application and has failed to demonstrate significant resolution of extra</w:t>
            </w:r>
            <w:r>
              <w:rPr>
                <w:szCs w:val="16"/>
              </w:rPr>
              <w:noBreakHyphen/>
            </w:r>
            <w:r w:rsidRPr="00E106BD">
              <w:rPr>
                <w:szCs w:val="16"/>
              </w:rPr>
              <w:t>renal complications if originally presented; or</w:t>
            </w:r>
          </w:p>
          <w:p w:rsidR="00F05C1E" w:rsidRPr="00E106BD" w:rsidRDefault="00F05C1E" w:rsidP="00881477">
            <w:pPr>
              <w:pStyle w:val="mps3-data"/>
              <w:rPr>
                <w:szCs w:val="16"/>
              </w:rPr>
            </w:pPr>
            <w:r w:rsidRPr="00E106BD">
              <w:rPr>
                <w:szCs w:val="16"/>
              </w:rPr>
              <w:t>(2) on dialysis and has been on dialysis for 4 months of the previous 6 months while receiving PBS</w:t>
            </w:r>
            <w:r>
              <w:rPr>
                <w:szCs w:val="16"/>
              </w:rPr>
              <w:noBreakHyphen/>
            </w:r>
            <w:r w:rsidRPr="00E106BD">
              <w:rPr>
                <w:szCs w:val="16"/>
              </w:rPr>
              <w:t>subsidised eculizumab and has failed to demonstrate significant resolution of extra</w:t>
            </w:r>
            <w:r>
              <w:rPr>
                <w:szCs w:val="16"/>
              </w:rPr>
              <w:noBreakHyphen/>
            </w:r>
            <w:r w:rsidRPr="00E106BD">
              <w:rPr>
                <w:szCs w:val="16"/>
              </w:rPr>
              <w:t>renal complications if originally presented.</w:t>
            </w:r>
          </w:p>
          <w:p w:rsidR="00F05C1E" w:rsidRPr="00E106BD" w:rsidRDefault="00F05C1E"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F05C1E" w:rsidRPr="00E106BD" w:rsidRDefault="00F05C1E" w:rsidP="00881477">
            <w:pPr>
              <w:pStyle w:val="mps3-data"/>
              <w:rPr>
                <w:szCs w:val="16"/>
              </w:rPr>
            </w:pPr>
            <w:r w:rsidRPr="00E106BD">
              <w:rPr>
                <w:szCs w:val="16"/>
              </w:rPr>
              <w:t>The authority application must be in writing and must include:</w:t>
            </w:r>
          </w:p>
          <w:p w:rsidR="00F05C1E" w:rsidRPr="00E106BD" w:rsidRDefault="00F05C1E" w:rsidP="00881477">
            <w:pPr>
              <w:pStyle w:val="mps3-data"/>
              <w:rPr>
                <w:szCs w:val="16"/>
              </w:rPr>
            </w:pPr>
            <w:r w:rsidRPr="00E106BD">
              <w:rPr>
                <w:szCs w:val="16"/>
              </w:rPr>
              <w:t>(1) A completed authority prescription form; and</w:t>
            </w:r>
          </w:p>
          <w:p w:rsidR="00F05C1E" w:rsidRPr="00E106BD" w:rsidRDefault="00F05C1E" w:rsidP="00881477">
            <w:pPr>
              <w:pStyle w:val="mps3-data"/>
              <w:rPr>
                <w:szCs w:val="16"/>
              </w:rPr>
            </w:pPr>
            <w:r w:rsidRPr="00E106BD">
              <w:rPr>
                <w:szCs w:val="16"/>
              </w:rPr>
              <w:t>(2) A completed aHUS eculizumab Authority Application Supporting Information Form for Continuing treatment; and</w:t>
            </w:r>
          </w:p>
          <w:p w:rsidR="00F05C1E" w:rsidRPr="00E106BD" w:rsidRDefault="00F05C1E" w:rsidP="00881477">
            <w:pPr>
              <w:pStyle w:val="mps3-data"/>
              <w:rPr>
                <w:szCs w:val="16"/>
              </w:rPr>
            </w:pPr>
            <w:r w:rsidRPr="00E106BD">
              <w:rPr>
                <w:szCs w:val="16"/>
              </w:rPr>
              <w:t>(3) A detailed cover letter from the prescriber; and</w:t>
            </w:r>
          </w:p>
          <w:p w:rsidR="00F05C1E" w:rsidRPr="00E106BD" w:rsidRDefault="00F05C1E" w:rsidP="00881477">
            <w:pPr>
              <w:pStyle w:val="mps3-data"/>
              <w:rPr>
                <w:szCs w:val="16"/>
              </w:rPr>
            </w:pPr>
            <w:r w:rsidRPr="00E106BD">
              <w:rPr>
                <w:szCs w:val="16"/>
              </w:rPr>
              <w:t>(4) A copy of a current Certificate of vaccination or a statement that vaccination has or will be administered and appropriate antibiotic prophylaxis has been prescribed; and</w:t>
            </w:r>
          </w:p>
          <w:p w:rsidR="00F05C1E" w:rsidRPr="00E106BD" w:rsidRDefault="00F05C1E" w:rsidP="00881477">
            <w:pPr>
              <w:pStyle w:val="mps3-data"/>
              <w:rPr>
                <w:szCs w:val="16"/>
              </w:rPr>
            </w:pPr>
            <w:r w:rsidRPr="00E106BD">
              <w:rPr>
                <w:szCs w:val="16"/>
              </w:rPr>
              <w:t>(5) A measurement of body weight at the time of application; and</w:t>
            </w:r>
          </w:p>
          <w:p w:rsidR="00F05C1E" w:rsidRPr="00E106BD" w:rsidRDefault="00F05C1E" w:rsidP="00881477">
            <w:pPr>
              <w:pStyle w:val="mps3-data"/>
              <w:rPr>
                <w:szCs w:val="16"/>
              </w:rPr>
            </w:pPr>
            <w:r w:rsidRPr="00E106BD">
              <w:rPr>
                <w:szCs w:val="16"/>
              </w:rPr>
              <w:t>(6) An identified genetic mutation, if applicable; and</w:t>
            </w:r>
          </w:p>
          <w:p w:rsidR="00F05C1E" w:rsidRPr="00E106BD" w:rsidRDefault="00F05C1E" w:rsidP="00881477">
            <w:pPr>
              <w:pStyle w:val="mps3-data"/>
              <w:rPr>
                <w:szCs w:val="16"/>
              </w:rPr>
            </w:pPr>
            <w:r w:rsidRPr="00E106BD">
              <w:rPr>
                <w:szCs w:val="16"/>
              </w:rPr>
              <w:t>(7) A family history of aHUS, if applicable; and</w:t>
            </w:r>
          </w:p>
          <w:p w:rsidR="00F05C1E" w:rsidRPr="00E106BD" w:rsidRDefault="00F05C1E" w:rsidP="00881477">
            <w:pPr>
              <w:pStyle w:val="mps3-data"/>
              <w:rPr>
                <w:szCs w:val="16"/>
              </w:rPr>
            </w:pPr>
            <w:r w:rsidRPr="00E106BD">
              <w:rPr>
                <w:szCs w:val="16"/>
              </w:rPr>
              <w:t>(8) A history of multiple episodes of aHUS before recommencing eculizumab treatment, if applicable; and</w:t>
            </w:r>
          </w:p>
          <w:p w:rsidR="00F05C1E" w:rsidRPr="00E106BD" w:rsidRDefault="00F05C1E" w:rsidP="00881477">
            <w:pPr>
              <w:pStyle w:val="mps3-data"/>
              <w:rPr>
                <w:szCs w:val="16"/>
              </w:rPr>
            </w:pPr>
            <w:r w:rsidRPr="00E106BD">
              <w:rPr>
                <w:szCs w:val="16"/>
              </w:rPr>
              <w:t>(9) A history of kidney transplant if applicable (especially if required due to aHUS); and</w:t>
            </w:r>
          </w:p>
          <w:p w:rsidR="00F05C1E" w:rsidRPr="00E106BD" w:rsidRDefault="00F05C1E" w:rsidP="00881477">
            <w:pPr>
              <w:pStyle w:val="mps3-data"/>
              <w:rPr>
                <w:szCs w:val="16"/>
              </w:rPr>
            </w:pPr>
            <w:r w:rsidRPr="00E106BD">
              <w:rPr>
                <w:szCs w:val="16"/>
              </w:rPr>
              <w:t>(10) An inclusion of the individual consequences of recurrent disease, if applicable; and</w:t>
            </w:r>
          </w:p>
          <w:p w:rsidR="00F05C1E" w:rsidRPr="00E106BD" w:rsidRDefault="00F05C1E" w:rsidP="00881477">
            <w:pPr>
              <w:pStyle w:val="mps3-data"/>
              <w:rPr>
                <w:szCs w:val="16"/>
              </w:rPr>
            </w:pPr>
            <w:r w:rsidRPr="00E106BD">
              <w:rPr>
                <w:szCs w:val="16"/>
              </w:rPr>
              <w:t>(11) Evidence that the patient has had a treatment response including haematological results of no more than 1 week old at the time of application (platelet count, haptoglobin and LDH); and an eGFR level of no more than 1 week old at the time of application; and</w:t>
            </w:r>
          </w:p>
          <w:p w:rsidR="00F05C1E" w:rsidRPr="00E106BD" w:rsidRDefault="00F05C1E" w:rsidP="00881477">
            <w:pPr>
              <w:pStyle w:val="mps3-data"/>
              <w:rPr>
                <w:szCs w:val="16"/>
              </w:rPr>
            </w:pPr>
            <w:r w:rsidRPr="00E106BD">
              <w:rPr>
                <w:szCs w:val="16"/>
              </w:rPr>
              <w:t>(12) Evidence that the patient has not experienced treatment failure, including a supporting statement with clinical evidence that the patient does not require dialysis, unless the indication for continuing eculizumab is severe extra</w:t>
            </w:r>
            <w:r>
              <w:rPr>
                <w:szCs w:val="16"/>
              </w:rPr>
              <w:noBreakHyphen/>
            </w:r>
            <w:r w:rsidRPr="00E106BD">
              <w:rPr>
                <w:szCs w:val="16"/>
              </w:rPr>
              <w:t>renal complications that have significantly improved; and</w:t>
            </w:r>
          </w:p>
          <w:p w:rsidR="00F05C1E" w:rsidRPr="00E106BD" w:rsidRDefault="00F05C1E" w:rsidP="00881477">
            <w:pPr>
              <w:pStyle w:val="mps3-data"/>
              <w:rPr>
                <w:szCs w:val="16"/>
              </w:rPr>
            </w:pPr>
            <w:r w:rsidRPr="00E106BD">
              <w:rPr>
                <w:szCs w:val="16"/>
              </w:rPr>
              <w:t>(13) If the indication for continuing eculizumab is severe extra</w:t>
            </w:r>
            <w:r>
              <w:rPr>
                <w:szCs w:val="16"/>
              </w:rPr>
              <w:noBreakHyphen/>
            </w:r>
            <w:r w:rsidRPr="00E106BD">
              <w:rPr>
                <w:szCs w:val="16"/>
              </w:rPr>
              <w:t>renal complications, then a supporting statement with clinical evidence that any initial extra</w:t>
            </w:r>
            <w:r>
              <w:rPr>
                <w:szCs w:val="16"/>
              </w:rPr>
              <w:noBreakHyphen/>
            </w:r>
            <w:r w:rsidRPr="00E106BD">
              <w:rPr>
                <w:szCs w:val="16"/>
              </w:rPr>
              <w:t>renal complications of TMA have significantly improved is required.</w:t>
            </w:r>
          </w:p>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52" w:type="dxa"/>
            <w:shd w:val="clear" w:color="auto" w:fill="auto"/>
            <w:tcMar>
              <w:top w:w="28" w:type="dxa"/>
              <w:left w:w="28" w:type="dxa"/>
              <w:right w:w="57" w:type="dxa"/>
            </w:tcMar>
          </w:tcPr>
          <w:p w:rsidR="00F05C1E" w:rsidRPr="00E106BD" w:rsidDel="00107F2B" w:rsidRDefault="00F05C1E"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bookmarkStart w:id="125" w:name="CU_131321455"/>
            <w:bookmarkStart w:id="126" w:name="CU_134322475"/>
            <w:bookmarkEnd w:id="125"/>
            <w:bookmarkEnd w:id="126"/>
            <w:r w:rsidRPr="00E106BD">
              <w:rPr>
                <w:rFonts w:ascii="Arial" w:hAnsi="Arial" w:cs="Arial"/>
                <w:sz w:val="16"/>
                <w:szCs w:val="16"/>
              </w:rPr>
              <w:t>Efavirenz</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r w:rsidRPr="00E106BD">
              <w:rPr>
                <w:rFonts w:ascii="Arial" w:hAnsi="Arial" w:cs="Arial"/>
                <w:sz w:val="16"/>
                <w:szCs w:val="16"/>
              </w:rPr>
              <w:t>C4454</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p>
          <w:p w:rsidR="00F05C1E" w:rsidRPr="00E106BD" w:rsidDel="00E46204" w:rsidRDefault="00F05C1E"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Del="00E46204" w:rsidRDefault="00F05C1E" w:rsidP="00984178">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r w:rsidRPr="00E106BD">
              <w:rPr>
                <w:rFonts w:ascii="Arial" w:hAnsi="Arial" w:cs="Arial"/>
                <w:sz w:val="16"/>
                <w:szCs w:val="16"/>
              </w:rPr>
              <w:t>C4512</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F05C1E" w:rsidRPr="00E106BD" w:rsidDel="00E46204" w:rsidRDefault="00F05C1E"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Del="00E46204" w:rsidRDefault="00F05C1E" w:rsidP="00984178">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bookmarkStart w:id="127" w:name="CU_136325018"/>
            <w:bookmarkStart w:id="128" w:name="CU_137326289"/>
            <w:bookmarkEnd w:id="127"/>
            <w:bookmarkEnd w:id="128"/>
            <w:r w:rsidRPr="00E106BD">
              <w:rPr>
                <w:rFonts w:ascii="Arial" w:hAnsi="Arial" w:cs="Arial"/>
                <w:sz w:val="16"/>
                <w:szCs w:val="16"/>
              </w:rPr>
              <w:t>Eltrombopag</w:t>
            </w: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C6724</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thrombocytopenia</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 xml:space="preserve">Initial treatment 2 </w:t>
            </w:r>
            <w:r>
              <w:rPr>
                <w:rFonts w:ascii="Arial" w:hAnsi="Arial" w:cs="Arial"/>
                <w:sz w:val="16"/>
                <w:szCs w:val="16"/>
              </w:rPr>
              <w:noBreakHyphen/>
            </w:r>
            <w:r w:rsidRPr="00E106BD">
              <w:rPr>
                <w:rFonts w:ascii="Arial" w:hAnsi="Arial" w:cs="Arial"/>
                <w:sz w:val="16"/>
                <w:szCs w:val="16"/>
              </w:rPr>
              <w:t xml:space="preserve"> New patient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not have had a splenectomy;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acheive an adequate response to, or be intolerant to, corticosteroid therapy at a dose equivalent to 0.5</w:t>
            </w:r>
            <w:r>
              <w:rPr>
                <w:rFonts w:ascii="Arial" w:hAnsi="Arial" w:cs="Arial"/>
                <w:sz w:val="16"/>
                <w:szCs w:val="16"/>
              </w:rPr>
              <w:noBreakHyphen/>
            </w:r>
            <w:r w:rsidRPr="00E106BD">
              <w:rPr>
                <w:rFonts w:ascii="Arial" w:hAnsi="Arial" w:cs="Arial"/>
                <w:sz w:val="16"/>
                <w:szCs w:val="16"/>
              </w:rPr>
              <w:t>2 mg/kg/day of prednisone for at least 4</w:t>
            </w:r>
            <w:r>
              <w:rPr>
                <w:rFonts w:ascii="Arial" w:hAnsi="Arial" w:cs="Arial"/>
                <w:sz w:val="16"/>
                <w:szCs w:val="16"/>
              </w:rPr>
              <w:noBreakHyphen/>
            </w:r>
            <w:r w:rsidRPr="00E106BD">
              <w:rPr>
                <w:rFonts w:ascii="Arial" w:hAnsi="Arial" w:cs="Arial"/>
                <w:sz w:val="16"/>
                <w:szCs w:val="16"/>
              </w:rPr>
              <w:t>6 weeks;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acheive an adequate response to, or be intolerant to, immunoglobulin therapy;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unsuitable for splenectomy due to medical reasons;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the sole PBS</w:t>
            </w:r>
            <w:r>
              <w:rPr>
                <w:rFonts w:ascii="Arial" w:hAnsi="Arial" w:cs="Arial"/>
                <w:sz w:val="16"/>
                <w:szCs w:val="16"/>
              </w:rPr>
              <w:noBreakHyphen/>
            </w:r>
            <w:r w:rsidRPr="00E106BD">
              <w:rPr>
                <w:rFonts w:ascii="Arial" w:hAnsi="Arial" w:cs="Arial"/>
                <w:sz w:val="16"/>
                <w:szCs w:val="16"/>
              </w:rPr>
              <w:t>subsidised thrombopoietin receptor agonist (TRA) for this condition.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an adult.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following criteria indicate failure to achieve an adequate response and must be demonstrated at the time of initial application;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 a platelet count of less than or equal to 20,000 million per L;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(b) a platelet count of 20,000 million to 30,000 million per L, where the patient is experiencing significant bleeding or has a history of significant bleeding in this platelet range.</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authority application must be made in writing and must include:</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(1) a completed authority prescription form,</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(2) a signed patient acknowledgement,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 xml:space="preserve">(3) a completed Idiopathic Thrombocytopenic Purpura Initial PBS Authority Application </w:t>
            </w:r>
            <w:r>
              <w:rPr>
                <w:rFonts w:ascii="Arial" w:hAnsi="Arial" w:cs="Arial"/>
                <w:sz w:val="16"/>
                <w:szCs w:val="16"/>
              </w:rPr>
              <w:noBreakHyphen/>
            </w:r>
            <w:r w:rsidRPr="00E106BD">
              <w:rPr>
                <w:rFonts w:ascii="Arial" w:hAnsi="Arial" w:cs="Arial"/>
                <w:sz w:val="16"/>
                <w:szCs w:val="16"/>
              </w:rPr>
              <w:t xml:space="preserve"> Supporting Information Form,</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(4) a copy of a full blood count pathology report supporting the diagnosis of ITP,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(5) where the application is sought on the basis of a medical contraindication to surgery, a signed and dated letter from the clinician making this assessment which includes the date upon which the patient was assessed for surgery and the clinical grounds upon which surgery is contraindicated.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full blood count must be no more than 1 month old at the time of application.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 maximum of 24 weeks of treatment with this drug will be authorised under this criterion.</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C6725</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thrombocytopenia</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First Continuing treatment or Re</w:t>
            </w:r>
            <w:r>
              <w:rPr>
                <w:rFonts w:ascii="Arial" w:hAnsi="Arial" w:cs="Arial"/>
                <w:sz w:val="16"/>
                <w:szCs w:val="16"/>
              </w:rPr>
              <w:noBreakHyphen/>
            </w:r>
            <w:r w:rsidRPr="00E106BD">
              <w:rPr>
                <w:rFonts w:ascii="Arial" w:hAnsi="Arial" w:cs="Arial"/>
                <w:sz w:val="16"/>
                <w:szCs w:val="16"/>
              </w:rPr>
              <w:t>initiation of interrupted treatment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initial treatment with this drug for this condition;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demonstrated a sustained platelet response to PBS</w:t>
            </w:r>
            <w:r>
              <w:rPr>
                <w:rFonts w:ascii="Arial" w:hAnsi="Arial" w:cs="Arial"/>
                <w:sz w:val="16"/>
                <w:szCs w:val="16"/>
              </w:rPr>
              <w:noBreakHyphen/>
            </w:r>
            <w:r w:rsidRPr="00E106BD">
              <w:rPr>
                <w:rFonts w:ascii="Arial" w:hAnsi="Arial" w:cs="Arial"/>
                <w:sz w:val="16"/>
                <w:szCs w:val="16"/>
              </w:rPr>
              <w:t>subsidised treatment with this drug for this condition under the Initial treatment restriction;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the sole PBS</w:t>
            </w:r>
            <w:r>
              <w:rPr>
                <w:rFonts w:ascii="Arial" w:hAnsi="Arial" w:cs="Arial"/>
                <w:sz w:val="16"/>
                <w:szCs w:val="16"/>
              </w:rPr>
              <w:noBreakHyphen/>
            </w:r>
            <w:r w:rsidRPr="00E106BD">
              <w:rPr>
                <w:rFonts w:ascii="Arial" w:hAnsi="Arial" w:cs="Arial"/>
                <w:sz w:val="16"/>
                <w:szCs w:val="16"/>
              </w:rPr>
              <w:t>subsidised thrombopoietin receptor agonist (TRA) for this condition.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an adult.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For the purposes of this restriction, a sustained platelet response is defined as:</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 use of rescue medication (corticosteroids or immunoglobulins) on no more than one occasion during the initial period of PBS</w:t>
            </w:r>
            <w:r>
              <w:rPr>
                <w:rFonts w:ascii="Arial" w:hAnsi="Arial" w:cs="Arial"/>
                <w:sz w:val="16"/>
                <w:szCs w:val="16"/>
              </w:rPr>
              <w:noBreakHyphen/>
            </w:r>
            <w:r w:rsidRPr="00E106BD">
              <w:rPr>
                <w:rFonts w:ascii="Arial" w:hAnsi="Arial" w:cs="Arial"/>
                <w:sz w:val="16"/>
                <w:szCs w:val="16"/>
              </w:rPr>
              <w:t>subsidised treatment with this drug,</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AND either of the following:</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(b) a platelet count greater than or equal to 50,000 million per L on at least four (4) occasions, each at least one week apart;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 a platelet count greater than 30,000 million per L and which is double the baseline (pre</w:t>
            </w:r>
            <w:r>
              <w:rPr>
                <w:rFonts w:ascii="Arial" w:hAnsi="Arial" w:cs="Arial"/>
                <w:sz w:val="16"/>
                <w:szCs w:val="16"/>
              </w:rPr>
              <w:noBreakHyphen/>
            </w:r>
            <w:r w:rsidRPr="00E106BD">
              <w:rPr>
                <w:rFonts w:ascii="Arial" w:hAnsi="Arial" w:cs="Arial"/>
                <w:sz w:val="16"/>
                <w:szCs w:val="16"/>
              </w:rPr>
              <w:t>treatment) platelet count on at least four (4) occasions, each at least one week apart.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Applications for the First continuing PBS</w:t>
            </w:r>
            <w:r>
              <w:rPr>
                <w:rFonts w:ascii="Arial" w:hAnsi="Arial" w:cs="Arial"/>
                <w:sz w:val="16"/>
                <w:szCs w:val="16"/>
              </w:rPr>
              <w:noBreakHyphen/>
            </w:r>
            <w:r w:rsidRPr="00E106BD">
              <w:rPr>
                <w:rFonts w:ascii="Arial" w:hAnsi="Arial" w:cs="Arial"/>
                <w:sz w:val="16"/>
                <w:szCs w:val="16"/>
              </w:rPr>
              <w:t>subsidised treatment or Re</w:t>
            </w:r>
            <w:r>
              <w:rPr>
                <w:rFonts w:ascii="Arial" w:hAnsi="Arial" w:cs="Arial"/>
                <w:sz w:val="16"/>
                <w:szCs w:val="16"/>
              </w:rPr>
              <w:noBreakHyphen/>
            </w:r>
            <w:r w:rsidRPr="00E106BD">
              <w:rPr>
                <w:rFonts w:ascii="Arial" w:hAnsi="Arial" w:cs="Arial"/>
                <w:sz w:val="16"/>
                <w:szCs w:val="16"/>
              </w:rPr>
              <w:t>initiation of interrupted PBS</w:t>
            </w:r>
            <w:r>
              <w:rPr>
                <w:rFonts w:ascii="Arial" w:hAnsi="Arial" w:cs="Arial"/>
                <w:sz w:val="16"/>
                <w:szCs w:val="16"/>
              </w:rPr>
              <w:noBreakHyphen/>
            </w:r>
            <w:r w:rsidRPr="00E106BD">
              <w:rPr>
                <w:rFonts w:ascii="Arial" w:hAnsi="Arial" w:cs="Arial"/>
                <w:sz w:val="16"/>
                <w:szCs w:val="16"/>
              </w:rPr>
              <w:t>subsidised treatment must be made in writing and must include:</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(1) a completed authority prescription form,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 xml:space="preserve">(2) a completed Idiopathic Thrombocytopenic Purpura Continuing PBS Authority Application </w:t>
            </w:r>
            <w:r>
              <w:rPr>
                <w:rFonts w:ascii="Arial" w:hAnsi="Arial" w:cs="Arial"/>
                <w:sz w:val="16"/>
                <w:szCs w:val="16"/>
              </w:rPr>
              <w:noBreakHyphen/>
            </w:r>
            <w:r w:rsidRPr="00E106BD">
              <w:rPr>
                <w:rFonts w:ascii="Arial" w:hAnsi="Arial" w:cs="Arial"/>
                <w:sz w:val="16"/>
                <w:szCs w:val="16"/>
              </w:rPr>
              <w:t xml:space="preserve"> Supporting Information Form ,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(3) copies of the platelet count pathology reports (unless previously provided for patients re</w:t>
            </w:r>
            <w:r>
              <w:rPr>
                <w:rFonts w:ascii="Arial" w:hAnsi="Arial" w:cs="Arial"/>
                <w:sz w:val="16"/>
                <w:szCs w:val="16"/>
              </w:rPr>
              <w:noBreakHyphen/>
            </w:r>
            <w:r w:rsidRPr="00E106BD">
              <w:rPr>
                <w:rFonts w:ascii="Arial" w:hAnsi="Arial" w:cs="Arial"/>
                <w:sz w:val="16"/>
                <w:szCs w:val="16"/>
              </w:rPr>
              <w:t>initiating therapy).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platelet count must be no more than one month old at the time of application.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 maximum of 24 weeks of treatment with this drug will be authorised under this criterion.</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C6738</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thrombocytopenia</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Initial 1, Initial 2, First Continuing treatment or Re</w:t>
            </w:r>
            <w:r>
              <w:rPr>
                <w:rFonts w:ascii="Arial" w:hAnsi="Arial" w:cs="Arial"/>
                <w:sz w:val="16"/>
                <w:szCs w:val="16"/>
              </w:rPr>
              <w:noBreakHyphen/>
            </w:r>
            <w:r w:rsidRPr="00E106BD">
              <w:rPr>
                <w:rFonts w:ascii="Arial" w:hAnsi="Arial" w:cs="Arial"/>
                <w:sz w:val="16"/>
                <w:szCs w:val="16"/>
              </w:rPr>
              <w:t xml:space="preserve">initiation of interrupted treatment, and Second and Subsequent Continuing treatment </w:t>
            </w:r>
            <w:r>
              <w:rPr>
                <w:rFonts w:ascii="Arial" w:hAnsi="Arial" w:cs="Arial"/>
                <w:sz w:val="16"/>
                <w:szCs w:val="16"/>
              </w:rPr>
              <w:noBreakHyphen/>
            </w:r>
            <w:r w:rsidRPr="00E106BD">
              <w:rPr>
                <w:rFonts w:ascii="Arial" w:hAnsi="Arial" w:cs="Arial"/>
                <w:sz w:val="16"/>
                <w:szCs w:val="16"/>
              </w:rPr>
              <w:t xml:space="preserve"> balance of supply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the sole PBS</w:t>
            </w:r>
            <w:r>
              <w:rPr>
                <w:rFonts w:ascii="Arial" w:hAnsi="Arial" w:cs="Arial"/>
                <w:sz w:val="16"/>
                <w:szCs w:val="16"/>
              </w:rPr>
              <w:noBreakHyphen/>
            </w:r>
            <w:r w:rsidRPr="00E106BD">
              <w:rPr>
                <w:rFonts w:ascii="Arial" w:hAnsi="Arial" w:cs="Arial"/>
                <w:sz w:val="16"/>
                <w:szCs w:val="16"/>
              </w:rPr>
              <w:t>subsidised thrombopoietin receptor agonist (TRA) for this condition;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received insufficient therapy with this drug for this condition under the Initial 1 restriction to complete 24 weeks treatment;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received insufficient therapy with this drug for this condition under the Initial 2 restriction to complete 24 weeks treatment;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received insufficient therapy with this drug for this condition under the First Continuing treatment or Re</w:t>
            </w:r>
            <w:r>
              <w:rPr>
                <w:rFonts w:ascii="Arial" w:hAnsi="Arial" w:cs="Arial"/>
                <w:sz w:val="16"/>
                <w:szCs w:val="16"/>
              </w:rPr>
              <w:noBreakHyphen/>
            </w:r>
            <w:r w:rsidRPr="00E106BD">
              <w:rPr>
                <w:rFonts w:ascii="Arial" w:hAnsi="Arial" w:cs="Arial"/>
                <w:sz w:val="16"/>
                <w:szCs w:val="16"/>
              </w:rPr>
              <w:t>initiation of interrupted treatment restriction to complete 24 weeks treatment;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received insufficient therapy with this drug for this condition under the Second and subsequent Continuing treatment restriction to complete 24 weeks treatment;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provide no more than the balance of up to 24 weeks treatment available under the above restriction.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an adult.</w:t>
            </w:r>
          </w:p>
        </w:tc>
        <w:tc>
          <w:tcPr>
            <w:tcW w:w="2552" w:type="dxa"/>
            <w:shd w:val="clear" w:color="auto" w:fill="auto"/>
            <w:tcMar>
              <w:top w:w="28" w:type="dxa"/>
              <w:left w:w="28" w:type="dxa"/>
              <w:right w:w="57" w:type="dxa"/>
            </w:tcMar>
          </w:tcPr>
          <w:p w:rsidR="00F05C1E" w:rsidRPr="00E106BD" w:rsidRDefault="00F05C1E" w:rsidP="003808CD">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C6739</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thrombocytopenia</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 xml:space="preserve">Initial treatment 1 </w:t>
            </w:r>
            <w:r>
              <w:rPr>
                <w:rFonts w:ascii="Arial" w:hAnsi="Arial" w:cs="Arial"/>
                <w:sz w:val="16"/>
                <w:szCs w:val="16"/>
              </w:rPr>
              <w:noBreakHyphen/>
            </w:r>
            <w:r w:rsidRPr="00E106BD">
              <w:rPr>
                <w:rFonts w:ascii="Arial" w:hAnsi="Arial" w:cs="Arial"/>
                <w:sz w:val="16"/>
                <w:szCs w:val="16"/>
              </w:rPr>
              <w:t xml:space="preserve"> New patient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had a splenectomy;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acheive an adequate response to, or be intolerant to, corticosteroid therapy following the splenectomy;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acheive an adequate response to, or be intolerant to, immunoglobulin therapy following the splenectomy;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the sole PBS</w:t>
            </w:r>
            <w:r>
              <w:rPr>
                <w:rFonts w:ascii="Arial" w:hAnsi="Arial" w:cs="Arial"/>
                <w:sz w:val="16"/>
                <w:szCs w:val="16"/>
              </w:rPr>
              <w:noBreakHyphen/>
            </w:r>
            <w:r w:rsidRPr="00E106BD">
              <w:rPr>
                <w:rFonts w:ascii="Arial" w:hAnsi="Arial" w:cs="Arial"/>
                <w:sz w:val="16"/>
                <w:szCs w:val="16"/>
              </w:rPr>
              <w:t>subsidised thrombopoietin receptor agonist (TRA) for this condition.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an adult.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following criteria indicate failure to achieve an adequate response and must be demonstrated at the time of initial application;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 a platelet count of less than or equal to 20,000 million per L;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(b) a platelet count of 20,000 million to 30,000 million per L, where the patient is experiencing significant bleeding or has a history of significant bleeding in this platelet range.</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authority application must be made in writing and must include:</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(1) a completed authority prescription form,</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(2) a signed patient acknowledgement,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 xml:space="preserve">(3) a completed Idiopathic Thrombocytopenic Purpura Initial PBS Authority Application </w:t>
            </w:r>
            <w:r>
              <w:rPr>
                <w:rFonts w:ascii="Arial" w:hAnsi="Arial" w:cs="Arial"/>
                <w:sz w:val="16"/>
                <w:szCs w:val="16"/>
              </w:rPr>
              <w:noBreakHyphen/>
            </w:r>
            <w:r w:rsidRPr="00E106BD">
              <w:rPr>
                <w:rFonts w:ascii="Arial" w:hAnsi="Arial" w:cs="Arial"/>
                <w:sz w:val="16"/>
                <w:szCs w:val="16"/>
              </w:rPr>
              <w:t xml:space="preserve"> Supporting Information Form,</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(4) a copy of a full blood count pathology report supporting the diagnosis of ITP,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(5) where the application is sought on the basis of a medical contraindication to surgery, a signed and dated letter from the clinician making this assessment which includes the date upon which the patient was assessed for surgery and the clinical grounds upon which surgery is contraindicated.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full blood count must be no more than 1 month old at the time of application.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 maximum of 24 weeks of treatment with this drug will be authorised under this criterion.</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C6790</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thrombocytopenia</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Second or subsequent Continuing treatment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demonstrated a continuing response to treatment with this drug;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the sole PBS</w:t>
            </w:r>
            <w:r>
              <w:rPr>
                <w:rFonts w:ascii="Arial" w:hAnsi="Arial" w:cs="Arial"/>
                <w:sz w:val="16"/>
                <w:szCs w:val="16"/>
              </w:rPr>
              <w:noBreakHyphen/>
            </w:r>
            <w:r w:rsidRPr="00E106BD">
              <w:rPr>
                <w:rFonts w:ascii="Arial" w:hAnsi="Arial" w:cs="Arial"/>
                <w:sz w:val="16"/>
                <w:szCs w:val="16"/>
              </w:rPr>
              <w:t>subsidised thrombopoietin receptor agonist (TRA) for this condition.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an adult.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For the purpose of this restriction, a continuing response to treatment with drug is defined as:</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 use of rescue medication (corticosteroids or immunoglobulins) on no more than one occasion during the most recent 24 week period of PBS</w:t>
            </w:r>
            <w:r>
              <w:rPr>
                <w:rFonts w:ascii="Arial" w:hAnsi="Arial" w:cs="Arial"/>
                <w:sz w:val="16"/>
                <w:szCs w:val="16"/>
              </w:rPr>
              <w:noBreakHyphen/>
            </w:r>
            <w:r w:rsidRPr="00E106BD">
              <w:rPr>
                <w:rFonts w:ascii="Arial" w:hAnsi="Arial" w:cs="Arial"/>
                <w:sz w:val="16"/>
                <w:szCs w:val="16"/>
              </w:rPr>
              <w:t>subsidised treatment with this drug</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AND either of the following:</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(b) a platelet count greater than or equal to 50,000 million per L</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 a platelet count greater than 30,000 million per L and which is double the baseline platelet count.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platelet count must be no more than one month old at the time of application.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Authority applications for second and subsequent periods of continuing therapy may be made by telephone</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bookmarkStart w:id="129" w:name="CU_142330554"/>
            <w:bookmarkEnd w:id="129"/>
            <w:r w:rsidRPr="00E106BD">
              <w:rPr>
                <w:rFonts w:ascii="Arial" w:hAnsi="Arial" w:cs="Arial"/>
                <w:sz w:val="16"/>
                <w:szCs w:val="16"/>
              </w:rPr>
              <w:t>Emtricitabine with rilpivirine with tenofovir alafenamide</w:t>
            </w: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C4470</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4470</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C4522</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r w:rsidRPr="00E106BD">
              <w:rPr>
                <w:rFonts w:ascii="Arial" w:hAnsi="Arial" w:cs="Arial"/>
                <w:sz w:val="16"/>
                <w:szCs w:val="16"/>
              </w:rPr>
              <w:br/>
              <w:t>Patient must be antiretroviral treatment naive.</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4522</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r w:rsidRPr="00E106BD">
              <w:rPr>
                <w:rFonts w:ascii="Arial" w:hAnsi="Arial" w:cs="Arial"/>
                <w:sz w:val="16"/>
                <w:szCs w:val="16"/>
              </w:rPr>
              <w:t>Emtricitabine with tenofovir alafenamide</w:t>
            </w: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C4454</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C4512</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r w:rsidRPr="00E106BD">
              <w:rPr>
                <w:rFonts w:ascii="Arial" w:hAnsi="Arial" w:cs="Arial"/>
                <w:sz w:val="16"/>
                <w:szCs w:val="16"/>
              </w:rPr>
              <w:br/>
              <w:t>Patient must be antiretroviral treatment naive;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05C1E" w:rsidRPr="00E106BD" w:rsidDel="00F12A78" w:rsidTr="008929EB">
        <w:tblPrEx>
          <w:tblLook w:val="01E0" w:firstRow="1" w:lastRow="1" w:firstColumn="1" w:lastColumn="1" w:noHBand="0" w:noVBand="0"/>
        </w:tblPrEx>
        <w:tc>
          <w:tcPr>
            <w:tcW w:w="1729" w:type="dxa"/>
            <w:tcMar>
              <w:top w:w="28" w:type="dxa"/>
              <w:left w:w="28" w:type="dxa"/>
            </w:tcMar>
          </w:tcPr>
          <w:p w:rsidR="00F05C1E" w:rsidRPr="00E106BD" w:rsidDel="00F12A78" w:rsidRDefault="00F05C1E" w:rsidP="00881477">
            <w:pPr>
              <w:spacing w:line="240" w:lineRule="auto"/>
              <w:rPr>
                <w:rFonts w:ascii="Arial" w:hAnsi="Arial" w:cs="Arial"/>
                <w:sz w:val="16"/>
                <w:szCs w:val="16"/>
              </w:rPr>
            </w:pPr>
            <w:r w:rsidRPr="00E106BD">
              <w:rPr>
                <w:rFonts w:ascii="Arial" w:hAnsi="Arial" w:cs="Arial"/>
                <w:sz w:val="16"/>
                <w:szCs w:val="16"/>
              </w:rPr>
              <w:t>Enfuvirtide</w:t>
            </w:r>
          </w:p>
        </w:tc>
        <w:tc>
          <w:tcPr>
            <w:tcW w:w="709" w:type="dxa"/>
            <w:tcMar>
              <w:top w:w="28" w:type="dxa"/>
              <w:left w:w="28" w:type="dxa"/>
            </w:tcMar>
          </w:tcPr>
          <w:p w:rsidR="00F05C1E" w:rsidRPr="00E106BD" w:rsidDel="00F12A78" w:rsidRDefault="00F05C1E" w:rsidP="00881477">
            <w:pPr>
              <w:spacing w:line="240" w:lineRule="auto"/>
              <w:rPr>
                <w:rFonts w:ascii="Arial" w:hAnsi="Arial" w:cs="Arial"/>
                <w:sz w:val="16"/>
                <w:szCs w:val="16"/>
              </w:rPr>
            </w:pPr>
            <w:r w:rsidRPr="00E106BD">
              <w:rPr>
                <w:rFonts w:ascii="Arial" w:hAnsi="Arial" w:cs="Arial"/>
                <w:sz w:val="16"/>
                <w:szCs w:val="16"/>
              </w:rPr>
              <w:t>C5014</w:t>
            </w:r>
          </w:p>
        </w:tc>
        <w:tc>
          <w:tcPr>
            <w:tcW w:w="709" w:type="dxa"/>
            <w:tcMar>
              <w:top w:w="28" w:type="dxa"/>
              <w:left w:w="28" w:type="dxa"/>
            </w:tcMar>
          </w:tcPr>
          <w:p w:rsidR="00F05C1E" w:rsidRPr="00E106BD" w:rsidDel="00F12A78"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F12A78"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The treatment must be in addition to optimised background therapy, AND</w:t>
            </w:r>
            <w:r w:rsidRPr="00E106BD">
              <w:rPr>
                <w:rFonts w:ascii="Arial" w:hAnsi="Arial" w:cs="Arial"/>
                <w:sz w:val="16"/>
                <w:szCs w:val="16"/>
              </w:rPr>
              <w:br/>
              <w:t>The treatment must be in combination with other antiretroviral agents, AND</w:t>
            </w:r>
            <w:r w:rsidRPr="00E106BD">
              <w:rPr>
                <w:rFonts w:ascii="Arial" w:hAnsi="Arial" w:cs="Arial"/>
                <w:sz w:val="16"/>
                <w:szCs w:val="16"/>
              </w:rPr>
              <w:br/>
              <w:t>Patient must be antiretroviral experienced, AND</w:t>
            </w:r>
            <w:r w:rsidRPr="00E106BD">
              <w:rPr>
                <w:rFonts w:ascii="Arial" w:hAnsi="Arial" w:cs="Arial"/>
                <w:sz w:val="16"/>
                <w:szCs w:val="16"/>
              </w:rPr>
              <w:br/>
              <w:t>Patient must have experienced virological failure or clinical failure or genotypic resistance after each of at least 3 different antiretroviral regimens that have included one drug from at least 3 different antiretroviral classes.</w:t>
            </w:r>
            <w:r w:rsidRPr="00E106BD">
              <w:rPr>
                <w:rFonts w:ascii="Arial" w:hAnsi="Arial" w:cs="Arial"/>
                <w:sz w:val="16"/>
                <w:szCs w:val="16"/>
              </w:rPr>
              <w:br/>
              <w:t>Virological failure is defined as a viral load greater than 400 copies per mL on two consecutive occasions, while clinical failure is linked to emerging signs and symptoms of progressing HIV infection or treatment</w:t>
            </w:r>
            <w:r>
              <w:rPr>
                <w:rFonts w:ascii="Arial" w:hAnsi="Arial" w:cs="Arial"/>
                <w:sz w:val="16"/>
                <w:szCs w:val="16"/>
              </w:rPr>
              <w:noBreakHyphen/>
            </w:r>
            <w:r w:rsidRPr="00E106BD">
              <w:rPr>
                <w:rFonts w:ascii="Arial" w:hAnsi="Arial" w:cs="Arial"/>
                <w:sz w:val="16"/>
                <w:szCs w:val="16"/>
              </w:rPr>
              <w:t>limiting toxicity.</w:t>
            </w:r>
          </w:p>
        </w:tc>
        <w:tc>
          <w:tcPr>
            <w:tcW w:w="2552" w:type="dxa"/>
            <w:tcMar>
              <w:top w:w="28" w:type="dxa"/>
              <w:left w:w="28" w:type="dxa"/>
              <w:right w:w="57" w:type="dxa"/>
            </w:tcMar>
          </w:tcPr>
          <w:p w:rsidR="00F05C1E" w:rsidRPr="00E106BD" w:rsidDel="00F12A78"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5014</w:t>
            </w:r>
          </w:p>
        </w:tc>
      </w:tr>
      <w:tr w:rsidR="00F05C1E" w:rsidRPr="00E106BD" w:rsidDel="00A024E9" w:rsidTr="008929EB">
        <w:trPr>
          <w:cantSplit/>
        </w:trPr>
        <w:tc>
          <w:tcPr>
            <w:tcW w:w="1729" w:type="dxa"/>
            <w:tcMar>
              <w:top w:w="28" w:type="dxa"/>
              <w:left w:w="28" w:type="dxa"/>
            </w:tcMar>
          </w:tcPr>
          <w:p w:rsidR="00F05C1E" w:rsidRPr="00E106BD" w:rsidDel="00A024E9" w:rsidRDefault="00F05C1E" w:rsidP="00881477">
            <w:pPr>
              <w:spacing w:line="240" w:lineRule="auto"/>
              <w:rPr>
                <w:rFonts w:ascii="Arial" w:hAnsi="Arial" w:cs="Arial"/>
                <w:sz w:val="16"/>
                <w:szCs w:val="16"/>
              </w:rPr>
            </w:pPr>
            <w:bookmarkStart w:id="130" w:name="CU_146333006"/>
            <w:bookmarkStart w:id="131" w:name="CU_151336173"/>
            <w:bookmarkEnd w:id="130"/>
            <w:bookmarkEnd w:id="131"/>
            <w:r w:rsidRPr="00E106BD">
              <w:rPr>
                <w:rFonts w:ascii="Arial" w:hAnsi="Arial" w:cs="Arial"/>
                <w:sz w:val="16"/>
                <w:szCs w:val="16"/>
              </w:rPr>
              <w:t>Entecavir</w:t>
            </w: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C4993</w:t>
            </w: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Chronic hepatitis B infection</w:t>
            </w:r>
            <w:r w:rsidRPr="00E106BD">
              <w:rPr>
                <w:rFonts w:ascii="Arial" w:hAnsi="Arial" w:cs="Arial"/>
                <w:sz w:val="16"/>
                <w:szCs w:val="16"/>
              </w:rPr>
              <w:br/>
              <w:t>Patient must not have cirrhosis, AND</w:t>
            </w:r>
            <w:r w:rsidRPr="00E106BD">
              <w:rPr>
                <w:rFonts w:ascii="Arial" w:hAnsi="Arial" w:cs="Arial"/>
                <w:sz w:val="16"/>
                <w:szCs w:val="16"/>
              </w:rPr>
              <w:br/>
              <w:t>Patient must have elevated HBV DNA levels greater than 20,000 IU/mL (100,000 copies/mL) if HBeAg positive, in conjunction with documented hepatitis B infection; OR</w:t>
            </w:r>
            <w:r w:rsidRPr="00E106BD">
              <w:rPr>
                <w:rFonts w:ascii="Arial" w:hAnsi="Arial" w:cs="Arial"/>
                <w:sz w:val="16"/>
                <w:szCs w:val="16"/>
              </w:rPr>
              <w:br/>
              <w:t>Patient must have elevated HBV DNA levels greater than 2,000 IU/mL (10,000 copies/mL) if HBeAg negative, in conjunction with documented hepatitis B infection, AND</w:t>
            </w:r>
            <w:r w:rsidRPr="00E106BD">
              <w:rPr>
                <w:rFonts w:ascii="Arial" w:hAnsi="Arial" w:cs="Arial"/>
                <w:sz w:val="16"/>
                <w:szCs w:val="16"/>
              </w:rPr>
              <w:br/>
              <w:t>Patient must have evidence of chronic liver injury determined by confirmed elevated serum ALT or liver biopsy.</w:t>
            </w:r>
          </w:p>
        </w:tc>
        <w:tc>
          <w:tcPr>
            <w:tcW w:w="2552" w:type="dxa"/>
            <w:tcMar>
              <w:top w:w="28" w:type="dxa"/>
              <w:left w:w="28" w:type="dxa"/>
              <w:right w:w="57" w:type="dxa"/>
            </w:tcMar>
          </w:tcPr>
          <w:p w:rsidR="00F05C1E" w:rsidRPr="00E106BD" w:rsidDel="00A024E9"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4993</w:t>
            </w:r>
          </w:p>
        </w:tc>
      </w:tr>
      <w:tr w:rsidR="00F05C1E" w:rsidRPr="00E106BD" w:rsidDel="00A024E9" w:rsidTr="008929EB">
        <w:trPr>
          <w:cantSplit/>
        </w:trPr>
        <w:tc>
          <w:tcPr>
            <w:tcW w:w="1729" w:type="dxa"/>
            <w:tcMar>
              <w:top w:w="28" w:type="dxa"/>
              <w:left w:w="28" w:type="dxa"/>
            </w:tcMar>
          </w:tcPr>
          <w:p w:rsidR="00F05C1E" w:rsidRPr="00E106BD" w:rsidDel="00A024E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C5036</w:t>
            </w: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Chronic hepatitis B infection</w:t>
            </w:r>
            <w:r w:rsidRPr="00E106BD">
              <w:rPr>
                <w:rFonts w:ascii="Arial" w:hAnsi="Arial" w:cs="Arial"/>
                <w:sz w:val="16"/>
                <w:szCs w:val="16"/>
              </w:rPr>
              <w:br/>
              <w:t>Patient must have cirrhosis, AND</w:t>
            </w:r>
            <w:r w:rsidRPr="00E106BD">
              <w:rPr>
                <w:rFonts w:ascii="Arial" w:hAnsi="Arial" w:cs="Arial"/>
                <w:sz w:val="16"/>
                <w:szCs w:val="16"/>
              </w:rPr>
              <w:br/>
              <w:t>Patient must have detectable HBV DNA.</w:t>
            </w:r>
            <w:r w:rsidRPr="00E106BD">
              <w:rPr>
                <w:rFonts w:ascii="Arial" w:hAnsi="Arial" w:cs="Arial"/>
                <w:sz w:val="16"/>
                <w:szCs w:val="16"/>
              </w:rPr>
              <w:br/>
              <w:t>Patients with Child</w:t>
            </w:r>
            <w:r w:rsidR="00A653CA">
              <w:rPr>
                <w:rFonts w:ascii="Arial" w:hAnsi="Arial" w:cs="Arial"/>
                <w:sz w:val="16"/>
                <w:szCs w:val="16"/>
              </w:rPr>
              <w:t>’</w:t>
            </w:r>
            <w:r w:rsidRPr="00E106BD">
              <w:rPr>
                <w:rFonts w:ascii="Arial" w:hAnsi="Arial" w:cs="Arial"/>
                <w:sz w:val="16"/>
                <w:szCs w:val="16"/>
              </w:rPr>
              <w:t>s class B or C cirrhosis (ascites, variceal bleeding, encephalopathy, albumin less than 30 g per L, bilirubin greater than 30 micromoles per L) should have their treatment discussed with a transplant unit prior to initiating therapy.</w:t>
            </w:r>
          </w:p>
        </w:tc>
        <w:tc>
          <w:tcPr>
            <w:tcW w:w="2552" w:type="dxa"/>
            <w:tcMar>
              <w:top w:w="28" w:type="dxa"/>
              <w:left w:w="28" w:type="dxa"/>
              <w:right w:w="57" w:type="dxa"/>
            </w:tcMar>
          </w:tcPr>
          <w:p w:rsidR="00F05C1E" w:rsidRPr="00E106BD" w:rsidDel="00A024E9"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5036</w:t>
            </w:r>
          </w:p>
        </w:tc>
      </w:tr>
      <w:tr w:rsidR="00F05C1E" w:rsidRPr="00E106BD" w:rsidDel="00A024E9" w:rsidTr="008929EB">
        <w:trPr>
          <w:cantSplit/>
        </w:trPr>
        <w:tc>
          <w:tcPr>
            <w:tcW w:w="1729" w:type="dxa"/>
            <w:tcMar>
              <w:top w:w="28" w:type="dxa"/>
              <w:left w:w="28" w:type="dxa"/>
            </w:tcMar>
          </w:tcPr>
          <w:p w:rsidR="00F05C1E" w:rsidRPr="00E106BD" w:rsidDel="00A024E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C5037</w:t>
            </w: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Chronic hepatitis B infection</w:t>
            </w:r>
            <w:r w:rsidRPr="00E106BD">
              <w:rPr>
                <w:rFonts w:ascii="Arial" w:hAnsi="Arial" w:cs="Arial"/>
                <w:sz w:val="16"/>
                <w:szCs w:val="16"/>
              </w:rPr>
              <w:br/>
              <w:t>Patient must have cirrhosis, AND</w:t>
            </w:r>
            <w:r w:rsidRPr="00E106BD">
              <w:rPr>
                <w:rFonts w:ascii="Arial" w:hAnsi="Arial" w:cs="Arial"/>
                <w:sz w:val="16"/>
                <w:szCs w:val="16"/>
              </w:rPr>
              <w:br/>
              <w:t>Patient must have failed lamivudine, AND</w:t>
            </w:r>
            <w:r w:rsidRPr="00E106BD">
              <w:rPr>
                <w:rFonts w:ascii="Arial" w:hAnsi="Arial" w:cs="Arial"/>
                <w:sz w:val="16"/>
                <w:szCs w:val="16"/>
              </w:rPr>
              <w:br/>
              <w:t>Patient must have detectable HBV DNA.</w:t>
            </w:r>
            <w:r w:rsidRPr="00E106BD">
              <w:rPr>
                <w:rFonts w:ascii="Arial" w:hAnsi="Arial" w:cs="Arial"/>
                <w:sz w:val="16"/>
                <w:szCs w:val="16"/>
              </w:rPr>
              <w:br/>
              <w:t>Patients with Child</w:t>
            </w:r>
            <w:r w:rsidR="00A653CA">
              <w:rPr>
                <w:rFonts w:ascii="Arial" w:hAnsi="Arial" w:cs="Arial"/>
                <w:sz w:val="16"/>
                <w:szCs w:val="16"/>
              </w:rPr>
              <w:t>’</w:t>
            </w:r>
            <w:r w:rsidRPr="00E106BD">
              <w:rPr>
                <w:rFonts w:ascii="Arial" w:hAnsi="Arial" w:cs="Arial"/>
                <w:sz w:val="16"/>
                <w:szCs w:val="16"/>
              </w:rPr>
              <w:t>s class B or C cirrhosis (ascites, variceal bleeding, encephalopathy, albumin less than 30 g per L, bilirubin greater than 30 micromoles per L) should have their treatment discussed with a transplant unit prior to initiating therapy.</w:t>
            </w:r>
          </w:p>
        </w:tc>
        <w:tc>
          <w:tcPr>
            <w:tcW w:w="2552" w:type="dxa"/>
            <w:tcMar>
              <w:top w:w="28" w:type="dxa"/>
              <w:left w:w="28" w:type="dxa"/>
              <w:right w:w="57" w:type="dxa"/>
            </w:tcMar>
          </w:tcPr>
          <w:p w:rsidR="00F05C1E" w:rsidRPr="00E106BD" w:rsidDel="00A024E9"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5037</w:t>
            </w:r>
          </w:p>
        </w:tc>
      </w:tr>
      <w:tr w:rsidR="00F05C1E" w:rsidRPr="00E106BD" w:rsidDel="00A024E9" w:rsidTr="008929EB">
        <w:tc>
          <w:tcPr>
            <w:tcW w:w="1729" w:type="dxa"/>
            <w:tcMar>
              <w:top w:w="28" w:type="dxa"/>
              <w:left w:w="28" w:type="dxa"/>
            </w:tcMar>
          </w:tcPr>
          <w:p w:rsidR="00F05C1E" w:rsidRPr="00E106BD" w:rsidDel="00A024E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C5044</w:t>
            </w: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Chronic hepatitis B infection</w:t>
            </w:r>
            <w:r w:rsidRPr="00E106BD">
              <w:rPr>
                <w:rFonts w:ascii="Arial" w:hAnsi="Arial" w:cs="Arial"/>
                <w:sz w:val="16"/>
                <w:szCs w:val="16"/>
              </w:rPr>
              <w:br/>
              <w:t>Patient must not have cirrhosis, AND</w:t>
            </w:r>
            <w:r w:rsidRPr="00E106BD">
              <w:rPr>
                <w:rFonts w:ascii="Arial" w:hAnsi="Arial" w:cs="Arial"/>
                <w:sz w:val="16"/>
                <w:szCs w:val="16"/>
              </w:rPr>
              <w:br/>
              <w:t>Patient must have failed lamivudine, AND</w:t>
            </w:r>
            <w:r w:rsidRPr="00E106BD">
              <w:rPr>
                <w:rFonts w:ascii="Arial" w:hAnsi="Arial" w:cs="Arial"/>
                <w:sz w:val="16"/>
                <w:szCs w:val="16"/>
              </w:rPr>
              <w:br/>
              <w:t>Patient must have repeatedly elevated serum ALT levels while on concurrent antihepadnaviral therapy of greater than or equal to 6 months duration, in conjunction with documented chronic hepatitis B infection; OR</w:t>
            </w:r>
            <w:r w:rsidRPr="00E106BD">
              <w:rPr>
                <w:rFonts w:ascii="Arial" w:hAnsi="Arial" w:cs="Arial"/>
                <w:sz w:val="16"/>
                <w:szCs w:val="16"/>
              </w:rPr>
              <w:br/>
              <w:t>Patient must have repeatedly elevated HBV DNA levels one log greater than the nadir value or failure to achieve a 1 log reduction in HBV DNA within 3 months whilst on previous antihepadnaviral therapy, except in patients with evidence of poor compliance.</w:t>
            </w:r>
          </w:p>
        </w:tc>
        <w:tc>
          <w:tcPr>
            <w:tcW w:w="2552" w:type="dxa"/>
            <w:tcMar>
              <w:top w:w="28" w:type="dxa"/>
              <w:left w:w="28" w:type="dxa"/>
              <w:right w:w="57" w:type="dxa"/>
            </w:tcMar>
          </w:tcPr>
          <w:p w:rsidR="00F05C1E" w:rsidRPr="00E106BD" w:rsidDel="00A024E9"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5044</w:t>
            </w:r>
          </w:p>
        </w:tc>
      </w:tr>
      <w:tr w:rsidR="00F05C1E" w:rsidRPr="00E106BD" w:rsidDel="00E02E18" w:rsidTr="008929EB">
        <w:trPr>
          <w:cantSplit/>
        </w:trPr>
        <w:tc>
          <w:tcPr>
            <w:tcW w:w="1729" w:type="dxa"/>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Epoetin Alfa</w:t>
            </w:r>
          </w:p>
        </w:tc>
        <w:tc>
          <w:tcPr>
            <w:tcW w:w="709" w:type="dxa"/>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C6294</w:t>
            </w:r>
          </w:p>
        </w:tc>
        <w:tc>
          <w:tcPr>
            <w:tcW w:w="709" w:type="dxa"/>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Mar>
              <w:top w:w="28" w:type="dxa"/>
              <w:left w:w="28" w:type="dxa"/>
              <w:right w:w="57" w:type="dxa"/>
            </w:tcMar>
          </w:tcPr>
          <w:p w:rsidR="00F05C1E" w:rsidRPr="00E106BD" w:rsidDel="00E02E18" w:rsidRDefault="00F05C1E" w:rsidP="005F59FC">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6294</w:t>
            </w:r>
          </w:p>
        </w:tc>
      </w:tr>
      <w:tr w:rsidR="00F05C1E" w:rsidRPr="00E106BD" w:rsidDel="00E02E18" w:rsidTr="008929EB">
        <w:trPr>
          <w:cantSplit/>
        </w:trPr>
        <w:tc>
          <w:tcPr>
            <w:tcW w:w="1729" w:type="dxa"/>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C9688</w:t>
            </w:r>
          </w:p>
        </w:tc>
        <w:tc>
          <w:tcPr>
            <w:tcW w:w="709" w:type="dxa"/>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Mar>
              <w:top w:w="28" w:type="dxa"/>
              <w:left w:w="28" w:type="dxa"/>
              <w:right w:w="57" w:type="dxa"/>
            </w:tcMar>
          </w:tcPr>
          <w:p w:rsidR="00F05C1E" w:rsidRPr="00E106BD" w:rsidRDefault="00F05C1E" w:rsidP="005F59FC">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9688</w:t>
            </w:r>
          </w:p>
        </w:tc>
      </w:tr>
      <w:tr w:rsidR="00F05C1E" w:rsidRPr="00E106BD" w:rsidDel="00FE20B2" w:rsidTr="008929EB">
        <w:tc>
          <w:tcPr>
            <w:tcW w:w="1729" w:type="dxa"/>
            <w:tcMar>
              <w:top w:w="28" w:type="dxa"/>
              <w:left w:w="28" w:type="dxa"/>
            </w:tcMar>
          </w:tcPr>
          <w:p w:rsidR="00F05C1E" w:rsidRPr="00E106BD" w:rsidDel="00FE20B2" w:rsidRDefault="00F05C1E" w:rsidP="00881477">
            <w:pPr>
              <w:spacing w:line="240" w:lineRule="auto"/>
              <w:rPr>
                <w:rFonts w:ascii="Arial" w:hAnsi="Arial" w:cs="Arial"/>
                <w:sz w:val="16"/>
                <w:szCs w:val="16"/>
              </w:rPr>
            </w:pPr>
            <w:r w:rsidRPr="00E106BD">
              <w:rPr>
                <w:rFonts w:ascii="Arial" w:hAnsi="Arial" w:cs="Arial"/>
                <w:sz w:val="16"/>
                <w:szCs w:val="16"/>
              </w:rPr>
              <w:t>Epoetin Beta</w:t>
            </w:r>
          </w:p>
        </w:tc>
        <w:tc>
          <w:tcPr>
            <w:tcW w:w="709" w:type="dxa"/>
            <w:tcMar>
              <w:top w:w="28" w:type="dxa"/>
              <w:left w:w="28" w:type="dxa"/>
            </w:tcMar>
          </w:tcPr>
          <w:p w:rsidR="00F05C1E" w:rsidRPr="00E106BD" w:rsidDel="00FE20B2" w:rsidRDefault="00F05C1E" w:rsidP="00881477">
            <w:pPr>
              <w:spacing w:line="240" w:lineRule="auto"/>
              <w:rPr>
                <w:rFonts w:ascii="Arial" w:hAnsi="Arial" w:cs="Arial"/>
                <w:sz w:val="16"/>
                <w:szCs w:val="16"/>
              </w:rPr>
            </w:pPr>
            <w:r w:rsidRPr="00E106BD">
              <w:rPr>
                <w:rFonts w:ascii="Arial" w:hAnsi="Arial" w:cs="Arial"/>
                <w:sz w:val="16"/>
                <w:szCs w:val="16"/>
              </w:rPr>
              <w:t>C6294</w:t>
            </w:r>
          </w:p>
        </w:tc>
        <w:tc>
          <w:tcPr>
            <w:tcW w:w="709" w:type="dxa"/>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FE20B2"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Mar>
              <w:top w:w="28" w:type="dxa"/>
              <w:left w:w="28" w:type="dxa"/>
              <w:right w:w="57" w:type="dxa"/>
            </w:tcMar>
          </w:tcPr>
          <w:p w:rsidR="00F05C1E" w:rsidRPr="00E106BD" w:rsidDel="00FE20B2"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6294</w:t>
            </w:r>
          </w:p>
        </w:tc>
      </w:tr>
      <w:tr w:rsidR="00F05C1E" w:rsidRPr="00E106BD" w:rsidDel="00FE20B2" w:rsidTr="008929EB">
        <w:tc>
          <w:tcPr>
            <w:tcW w:w="1729" w:type="dxa"/>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C9688</w:t>
            </w:r>
          </w:p>
        </w:tc>
        <w:tc>
          <w:tcPr>
            <w:tcW w:w="709" w:type="dxa"/>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9688</w:t>
            </w:r>
          </w:p>
        </w:tc>
      </w:tr>
      <w:tr w:rsidR="00F05C1E" w:rsidRPr="00E106BD" w:rsidDel="00FE20B2" w:rsidTr="008929EB">
        <w:trPr>
          <w:cantSplit/>
        </w:trPr>
        <w:tc>
          <w:tcPr>
            <w:tcW w:w="172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bookmarkStart w:id="132" w:name="CU_158339036"/>
            <w:bookmarkEnd w:id="132"/>
            <w:r w:rsidRPr="00E106BD">
              <w:rPr>
                <w:rFonts w:ascii="Arial" w:hAnsi="Arial" w:cs="Arial"/>
                <w:sz w:val="16"/>
                <w:szCs w:val="16"/>
              </w:rPr>
              <w:t>Epoetin lambda</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C6294</w:t>
            </w:r>
          </w:p>
        </w:tc>
        <w:tc>
          <w:tcPr>
            <w:tcW w:w="70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require transfusion;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a haemoglobin level of less than 100 g per L;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intrinsic renal disease, as assessed by a nephrologist.</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5F59FC">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6294</w:t>
            </w:r>
          </w:p>
        </w:tc>
      </w:tr>
      <w:tr w:rsidR="00F05C1E" w:rsidRPr="00E106BD" w:rsidDel="00FE20B2" w:rsidTr="008929EB">
        <w:trPr>
          <w:cantSplit/>
        </w:trPr>
        <w:tc>
          <w:tcPr>
            <w:tcW w:w="172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C9688</w:t>
            </w:r>
          </w:p>
        </w:tc>
        <w:tc>
          <w:tcPr>
            <w:tcW w:w="70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5F59FC">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9688</w:t>
            </w:r>
          </w:p>
        </w:tc>
      </w:tr>
      <w:tr w:rsidR="00F05C1E" w:rsidRPr="00E106BD" w:rsidDel="00FE20B2" w:rsidTr="008929EB">
        <w:trPr>
          <w:cantSplit/>
        </w:trPr>
        <w:tc>
          <w:tcPr>
            <w:tcW w:w="172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r w:rsidRPr="003A13C5">
              <w:rPr>
                <w:rFonts w:ascii="Arial" w:hAnsi="Arial" w:cs="Arial"/>
                <w:bCs/>
                <w:sz w:val="16"/>
                <w:lang w:eastAsia="en-AU"/>
              </w:rPr>
              <w:t>Epoprostenol</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lang w:eastAsia="en-AU"/>
              </w:rPr>
              <w:t>C10228</w:t>
            </w:r>
          </w:p>
        </w:tc>
        <w:tc>
          <w:tcPr>
            <w:tcW w:w="70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Continuing treatment</w:t>
            </w:r>
            <w:r w:rsidRPr="003A13C5">
              <w:rPr>
                <w:rFonts w:ascii="Arial" w:hAnsi="Arial" w:cs="Arial"/>
                <w:sz w:val="16"/>
                <w:szCs w:val="16"/>
              </w:rPr>
              <w:br/>
              <w:t>Patient must have received their most recent course of PBS-subsidised treatment with this PAH agent for this condition;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sidR="00A653CA">
              <w:rPr>
                <w:rFonts w:ascii="Arial" w:hAnsi="Arial" w:cs="Arial"/>
                <w:sz w:val="16"/>
                <w:szCs w:val="16"/>
              </w:rPr>
              <w:t>‘</w:t>
            </w:r>
            <w:r w:rsidRPr="003A13C5">
              <w:rPr>
                <w:rFonts w:ascii="Arial" w:hAnsi="Arial" w:cs="Arial"/>
                <w:sz w:val="16"/>
                <w:szCs w:val="16"/>
              </w:rPr>
              <w:t>PAH agents</w:t>
            </w:r>
            <w:r w:rsidR="00A653CA">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5F59FC">
            <w:pPr>
              <w:spacing w:line="240" w:lineRule="auto"/>
              <w:rPr>
                <w:rFonts w:ascii="Arial" w:hAnsi="Arial" w:cs="Arial"/>
                <w:sz w:val="16"/>
                <w:szCs w:val="16"/>
              </w:rPr>
            </w:pPr>
            <w:r w:rsidRPr="003A13C5">
              <w:rPr>
                <w:rFonts w:ascii="Arial" w:hAnsi="Arial" w:cs="Arial"/>
                <w:sz w:val="16"/>
                <w:szCs w:val="16"/>
                <w:lang w:eastAsia="en-AU"/>
              </w:rPr>
              <w:t>Compliance with Authority Required procedures</w:t>
            </w:r>
          </w:p>
        </w:tc>
      </w:tr>
      <w:tr w:rsidR="00F05C1E" w:rsidRPr="00E106BD" w:rsidDel="00FE20B2" w:rsidTr="008929EB">
        <w:tc>
          <w:tcPr>
            <w:tcW w:w="172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lang w:eastAsia="en-AU"/>
              </w:rPr>
              <w:t>C10240</w:t>
            </w:r>
          </w:p>
        </w:tc>
        <w:tc>
          <w:tcPr>
            <w:tcW w:w="70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1 (new patients)</w:t>
            </w:r>
            <w:r w:rsidRPr="003A13C5">
              <w:rPr>
                <w:rFonts w:ascii="Arial" w:hAnsi="Arial" w:cs="Arial"/>
                <w:sz w:val="16"/>
                <w:szCs w:val="16"/>
              </w:rPr>
              <w:br/>
              <w:t>Patient must not have received prior PBS-subsidised treatment with a pulmonary arterial hypertension (PAH) agent; AND</w:t>
            </w:r>
            <w:r w:rsidRPr="003A13C5">
              <w:rPr>
                <w:rFonts w:ascii="Arial" w:hAnsi="Arial" w:cs="Arial"/>
                <w:sz w:val="16"/>
                <w:szCs w:val="16"/>
              </w:rPr>
              <w:br/>
              <w:t>Patient must have been assessed by a physician with expertise in the management of PAH; AND</w:t>
            </w:r>
            <w:r w:rsidRPr="003A13C5">
              <w:rPr>
                <w:rFonts w:ascii="Arial" w:hAnsi="Arial" w:cs="Arial"/>
                <w:sz w:val="16"/>
                <w:szCs w:val="16"/>
              </w:rPr>
              <w:br/>
              <w:t>Patient must have WHO Functional Class IV PAH;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sidR="00A653CA">
              <w:rPr>
                <w:rFonts w:ascii="Arial" w:hAnsi="Arial" w:cs="Arial"/>
                <w:sz w:val="16"/>
                <w:szCs w:val="16"/>
              </w:rPr>
              <w:t>‘</w:t>
            </w:r>
            <w:r w:rsidRPr="003A13C5">
              <w:rPr>
                <w:rFonts w:ascii="Arial" w:hAnsi="Arial" w:cs="Arial"/>
                <w:sz w:val="16"/>
                <w:szCs w:val="16"/>
              </w:rPr>
              <w:t>PAH agents</w:t>
            </w:r>
            <w:r w:rsidR="00A653CA">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PAH (WHO Group 1 pulmonary hypertension) is defined as follows:</w:t>
            </w:r>
            <w:r w:rsidRPr="003A13C5">
              <w:rPr>
                <w:rFonts w:ascii="Arial" w:hAnsi="Arial" w:cs="Arial"/>
                <w:sz w:val="16"/>
                <w:szCs w:val="16"/>
              </w:rPr>
              <w:br/>
              <w:t>(i) mean pulmonary artery pressure (mPAP) greater than or equal to 25 mmHg at rest and pulmonary artery wedge pressure (PAWP) less than or equal to 15 mmHg; or</w:t>
            </w:r>
            <w:r w:rsidRPr="003A13C5">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3A13C5">
              <w:rPr>
                <w:rFonts w:ascii="Arial" w:hAnsi="Arial" w:cs="Arial"/>
                <w:sz w:val="16"/>
                <w:szCs w:val="16"/>
              </w:rPr>
              <w:br/>
              <w:t>Applications for authorisation must be in writing and must include:</w:t>
            </w:r>
            <w:r w:rsidRPr="003A13C5">
              <w:rPr>
                <w:rFonts w:ascii="Arial" w:hAnsi="Arial" w:cs="Arial"/>
                <w:sz w:val="16"/>
                <w:szCs w:val="16"/>
              </w:rPr>
              <w:br/>
              <w:t>(1) a completed authority prescription form; and</w:t>
            </w:r>
            <w:r w:rsidRPr="003A13C5">
              <w:rPr>
                <w:rFonts w:ascii="Arial" w:hAnsi="Arial" w:cs="Arial"/>
                <w:sz w:val="16"/>
                <w:szCs w:val="16"/>
              </w:rPr>
              <w:br/>
              <w:t>(2) a completed Pulmonary Arterial Hypertension PBS Authority Application - Supporting Information form which includes results from the three tests below, where available:</w:t>
            </w:r>
            <w:r w:rsidRPr="003A13C5">
              <w:rPr>
                <w:rFonts w:ascii="Arial" w:hAnsi="Arial" w:cs="Arial"/>
                <w:sz w:val="16"/>
                <w:szCs w:val="16"/>
              </w:rPr>
              <w:br/>
              <w:t>(i) RHC composite assessment; and</w:t>
            </w:r>
            <w:r w:rsidRPr="003A13C5">
              <w:rPr>
                <w:rFonts w:ascii="Arial" w:hAnsi="Arial" w:cs="Arial"/>
                <w:sz w:val="16"/>
                <w:szCs w:val="16"/>
              </w:rPr>
              <w:br/>
              <w:t>(ii) ECHO composite assessment; and</w:t>
            </w:r>
            <w:r w:rsidRPr="003A13C5">
              <w:rPr>
                <w:rFonts w:ascii="Arial" w:hAnsi="Arial" w:cs="Arial"/>
                <w:sz w:val="16"/>
                <w:szCs w:val="16"/>
              </w:rPr>
              <w:br/>
              <w:t>(iii) 6 Minute Walk Test (6MWT).</w:t>
            </w:r>
            <w:r w:rsidRPr="003A13C5">
              <w:rPr>
                <w:rFonts w:ascii="Arial"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3A13C5">
              <w:rPr>
                <w:rFonts w:ascii="Arial" w:hAnsi="Arial" w:cs="Arial"/>
                <w:sz w:val="16"/>
                <w:szCs w:val="16"/>
              </w:rPr>
              <w:br/>
              <w:t>(1) RHC plus ECHO composite assessments;</w:t>
            </w:r>
            <w:r w:rsidRPr="003A13C5">
              <w:rPr>
                <w:rFonts w:ascii="Arial" w:hAnsi="Arial" w:cs="Arial"/>
                <w:sz w:val="16"/>
                <w:szCs w:val="16"/>
              </w:rPr>
              <w:br/>
              <w:t>(2) RHC composite assessment plus 6MWT;</w:t>
            </w:r>
            <w:r w:rsidRPr="003A13C5">
              <w:rPr>
                <w:rFonts w:ascii="Arial" w:hAnsi="Arial" w:cs="Arial"/>
                <w:sz w:val="16"/>
                <w:szCs w:val="16"/>
              </w:rPr>
              <w:br/>
              <w:t>(3) RHC composite assessment only.</w:t>
            </w:r>
            <w:r w:rsidRPr="003A13C5">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hAnsi="Arial" w:cs="Arial"/>
                <w:sz w:val="16"/>
                <w:szCs w:val="16"/>
              </w:rPr>
              <w:br/>
              <w:t>(1) ECHO composite assessment plus 6MWT;</w:t>
            </w:r>
            <w:r w:rsidRPr="003A13C5">
              <w:rPr>
                <w:rFonts w:ascii="Arial" w:hAnsi="Arial" w:cs="Arial"/>
                <w:sz w:val="16"/>
                <w:szCs w:val="16"/>
              </w:rPr>
              <w:br/>
              <w:t>(2) ECHO composite assessment only.</w:t>
            </w:r>
            <w:r w:rsidRPr="003A13C5">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3A13C5">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3A13C5">
              <w:rPr>
                <w:rFonts w:ascii="Arial" w:hAnsi="Arial" w:cs="Arial"/>
                <w:sz w:val="16"/>
                <w:szCs w:val="16"/>
              </w:rPr>
              <w:br/>
              <w:t>The test results provided must not be more than 2 months old at the time of application.</w:t>
            </w:r>
            <w:r w:rsidRPr="003A13C5">
              <w:rPr>
                <w:rFonts w:ascii="Arial" w:hAnsi="Arial" w:cs="Arial"/>
                <w:sz w:val="16"/>
                <w:szCs w:val="16"/>
              </w:rPr>
              <w:br/>
              <w:t>The maximum quantity authorised will be limited to provide sufficient supply for 1 month of treatment, based on the dosage recommendations in the Therapeutic Goods Administration (TGA) 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5F59FC">
            <w:pPr>
              <w:spacing w:line="240" w:lineRule="auto"/>
              <w:rPr>
                <w:rFonts w:ascii="Arial" w:hAnsi="Arial" w:cs="Arial"/>
                <w:sz w:val="16"/>
                <w:szCs w:val="16"/>
              </w:rPr>
            </w:pPr>
            <w:r w:rsidRPr="003A13C5">
              <w:rPr>
                <w:rFonts w:ascii="Arial" w:hAnsi="Arial" w:cs="Arial"/>
                <w:sz w:val="16"/>
                <w:szCs w:val="16"/>
                <w:lang w:eastAsia="en-AU"/>
              </w:rPr>
              <w:t>Compliance with Written Authority Required procedures</w:t>
            </w:r>
          </w:p>
        </w:tc>
      </w:tr>
      <w:tr w:rsidR="00F05C1E" w:rsidRPr="00E106BD" w:rsidDel="00FE20B2" w:rsidTr="008929EB">
        <w:trPr>
          <w:cantSplit/>
        </w:trPr>
        <w:tc>
          <w:tcPr>
            <w:tcW w:w="172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lang w:eastAsia="en-AU"/>
              </w:rPr>
              <w:t>C10241</w:t>
            </w:r>
          </w:p>
        </w:tc>
        <w:tc>
          <w:tcPr>
            <w:tcW w:w="70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2 (change)</w:t>
            </w:r>
            <w:r w:rsidRPr="003A13C5">
              <w:rPr>
                <w:rFonts w:ascii="Arial" w:hAnsi="Arial" w:cs="Arial"/>
                <w:sz w:val="16"/>
                <w:szCs w:val="16"/>
              </w:rPr>
              <w:br/>
              <w:t>Patient must have documented WHO Functional Class III PAH or WHO Functional Class IV PAH; AND</w:t>
            </w:r>
            <w:r w:rsidRPr="003A13C5">
              <w:rPr>
                <w:rFonts w:ascii="Arial" w:hAnsi="Arial" w:cs="Arial"/>
                <w:sz w:val="16"/>
                <w:szCs w:val="16"/>
              </w:rPr>
              <w:br/>
              <w:t>Patient must have had their most recent course of PBS-subsidised treatment for this condition with a PAH agent other than this agent;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sidR="00A653CA">
              <w:rPr>
                <w:rFonts w:ascii="Arial" w:hAnsi="Arial" w:cs="Arial"/>
                <w:sz w:val="16"/>
                <w:szCs w:val="16"/>
              </w:rPr>
              <w:t>‘</w:t>
            </w:r>
            <w:r w:rsidRPr="003A13C5">
              <w:rPr>
                <w:rFonts w:ascii="Arial" w:hAnsi="Arial" w:cs="Arial"/>
                <w:sz w:val="16"/>
                <w:szCs w:val="16"/>
              </w:rPr>
              <w:t>PAH agents</w:t>
            </w:r>
            <w:r w:rsidR="00A653CA">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sidR="00A653CA">
              <w:rPr>
                <w:rFonts w:ascii="Arial" w:hAnsi="Arial" w:cs="Arial"/>
                <w:sz w:val="16"/>
                <w:szCs w:val="16"/>
              </w:rPr>
              <w:t>’</w:t>
            </w:r>
            <w:r w:rsidRPr="003A13C5">
              <w:rPr>
                <w:rFonts w:ascii="Arial" w:hAnsi="Arial" w:cs="Arial"/>
                <w:sz w:val="16"/>
                <w:szCs w:val="16"/>
              </w:rPr>
              <w:t>s restriction, irrespective of the severity of their disease at the time the application to swap therapy is submitted.</w:t>
            </w:r>
            <w:r w:rsidRPr="003A13C5">
              <w:rPr>
                <w:rFonts w:ascii="Arial" w:hAnsi="Arial" w:cs="Arial"/>
                <w:sz w:val="16"/>
                <w:szCs w:val="16"/>
              </w:rPr>
              <w:br/>
              <w:t>Applications to swap between the 8 PAH agents must be made under the relevant initial treatment (monotherapy) restriction.</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5F59FC">
            <w:pPr>
              <w:spacing w:line="240" w:lineRule="auto"/>
              <w:rPr>
                <w:rFonts w:ascii="Arial" w:hAnsi="Arial" w:cs="Arial"/>
                <w:sz w:val="16"/>
                <w:szCs w:val="16"/>
              </w:rPr>
            </w:pPr>
            <w:r w:rsidRPr="003A13C5">
              <w:rPr>
                <w:rFonts w:ascii="Arial" w:hAnsi="Arial" w:cs="Arial"/>
                <w:sz w:val="16"/>
                <w:szCs w:val="16"/>
                <w:lang w:eastAsia="en-AU"/>
              </w:rPr>
              <w:t>Compliance with Authority Required procedures</w:t>
            </w:r>
          </w:p>
        </w:tc>
      </w:tr>
      <w:tr w:rsidR="00F05C1E" w:rsidRPr="00E106BD" w:rsidTr="008929EB">
        <w:tblPrEx>
          <w:tblLook w:val="01E0" w:firstRow="1" w:lastRow="1" w:firstColumn="1" w:lastColumn="1" w:noHBand="0" w:noVBand="0"/>
        </w:tblPrEx>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bookmarkStart w:id="133" w:name="CU_159339412"/>
            <w:bookmarkStart w:id="134" w:name="CU_160340554"/>
            <w:bookmarkStart w:id="135" w:name="CU_161345631"/>
            <w:bookmarkStart w:id="136" w:name="CU_162349769"/>
            <w:bookmarkStart w:id="137" w:name="CU_163354136"/>
            <w:bookmarkStart w:id="138" w:name="CU_164354781"/>
            <w:bookmarkStart w:id="139" w:name="CU_165359261"/>
            <w:bookmarkStart w:id="140" w:name="CU_166362719"/>
            <w:bookmarkEnd w:id="133"/>
            <w:bookmarkEnd w:id="134"/>
            <w:bookmarkEnd w:id="135"/>
            <w:bookmarkEnd w:id="136"/>
            <w:bookmarkEnd w:id="137"/>
            <w:bookmarkEnd w:id="138"/>
            <w:bookmarkEnd w:id="139"/>
            <w:bookmarkEnd w:id="140"/>
            <w:r w:rsidRPr="00E106BD">
              <w:rPr>
                <w:rFonts w:ascii="Arial" w:hAnsi="Arial" w:cs="Arial"/>
                <w:sz w:val="16"/>
                <w:szCs w:val="16"/>
              </w:rPr>
              <w:t>Etanercept</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lang w:eastAsia="en-AU"/>
              </w:rPr>
              <w:t>C9384</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active juvenile idiopathic arthritis</w:t>
            </w:r>
            <w:r w:rsidRPr="00E106BD">
              <w:rPr>
                <w:rFonts w:ascii="Arial" w:hAnsi="Arial" w:cs="Arial"/>
                <w:sz w:val="16"/>
                <w:szCs w:val="16"/>
              </w:rPr>
              <w:br/>
              <w:t xml:space="preserve">Continuing treatment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Patient must be undergoing treatment under the supervision of a paediatric rheumatology treatment centre.</w:t>
            </w:r>
            <w:r w:rsidRPr="00E106BD">
              <w:rPr>
                <w:rFonts w:ascii="Arial" w:hAnsi="Arial" w:cs="Arial"/>
                <w:sz w:val="16"/>
                <w:szCs w:val="16"/>
              </w:rPr>
              <w:br/>
              <w:t>Patient must have received insufficient therapy with this drug for this condition under the continuing treatment restriction to complete 24 weeks treatment; AND</w:t>
            </w:r>
            <w:r w:rsidRPr="00E106BD">
              <w:rPr>
                <w:rFonts w:ascii="Arial" w:hAnsi="Arial" w:cs="Arial"/>
                <w:sz w:val="16"/>
                <w:szCs w:val="16"/>
              </w:rPr>
              <w:br/>
              <w:t>The treatment must provide no more than the balance of up to 24 weeks treatment available under the above restriction.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lang w:eastAsia="en-AU"/>
              </w:rPr>
              <w:t>Compliance with Authority Required procedures</w:t>
            </w:r>
          </w:p>
        </w:tc>
      </w:tr>
      <w:tr w:rsidR="00F05C1E" w:rsidRPr="00E106BD" w:rsidTr="008929EB">
        <w:tblPrEx>
          <w:tblLook w:val="01E0" w:firstRow="1" w:lastRow="1" w:firstColumn="1" w:lastColumn="1" w:noHBand="0" w:noVBand="0"/>
        </w:tblPrEx>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lang w:eastAsia="en-AU"/>
              </w:rPr>
              <w:t>C9417</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active juvenile idiopathic arthritis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1 (new patient) or Initial 2 (change or recommencement of treatment after a break in biological medicine of less than 12 months) or Initial 3 (recommencement of treatment after a break in biological medicine of more than 12 months)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paediatric rheumatologist; OR</w:t>
            </w:r>
            <w:r w:rsidRPr="00E106BD">
              <w:rPr>
                <w:rFonts w:ascii="Arial" w:hAnsi="Arial" w:cs="Arial"/>
                <w:sz w:val="16"/>
                <w:szCs w:val="16"/>
              </w:rPr>
              <w:br/>
              <w:t>Patient must be undergoing treatment under the supervision of a paediatric rheumatology treatment centre.</w:t>
            </w:r>
            <w:r w:rsidRPr="00E106BD">
              <w:rPr>
                <w:rFonts w:ascii="Arial" w:hAnsi="Arial" w:cs="Arial"/>
                <w:sz w:val="16"/>
                <w:szCs w:val="16"/>
              </w:rPr>
              <w:br/>
              <w:t>Patient must have received insufficient therapy with this drug for this condition under the Initial 1 (new patient) restriction to complete 16 weeks treatment;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12 months) restriction to complete 16 weeks treatment;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12 months) restriction to complete 16 weeks treatment; AND</w:t>
            </w:r>
            <w:r w:rsidRPr="00E106BD">
              <w:rPr>
                <w:rFonts w:ascii="Arial" w:hAnsi="Arial" w:cs="Arial"/>
                <w:sz w:val="16"/>
                <w:szCs w:val="16"/>
              </w:rPr>
              <w:br/>
              <w:t>The treatment must provide no more than the balance of up to 16 weeks treatment available under the above restrictions.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lang w:eastAsia="en-AU"/>
              </w:rPr>
              <w:t>Compliance with Authority Required procedures</w:t>
            </w:r>
          </w:p>
        </w:tc>
      </w:tr>
      <w:tr w:rsidR="00F05C1E" w:rsidRPr="00E106BD" w:rsidTr="008929EB">
        <w:tblPrEx>
          <w:tblLook w:val="01E0" w:firstRow="1" w:lastRow="1" w:firstColumn="1" w:lastColumn="1" w:noHBand="0" w:noVBand="0"/>
        </w:tblPrEx>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280D39">
              <w:rPr>
                <w:rFonts w:ascii="Arial" w:hAnsi="Arial" w:cs="Arial"/>
                <w:sz w:val="16"/>
                <w:szCs w:val="16"/>
                <w:lang w:eastAsia="en-AU"/>
              </w:rPr>
              <w:t>C10548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280D39">
              <w:rPr>
                <w:rFonts w:ascii="Arial" w:hAnsi="Arial" w:cs="Arial"/>
                <w:sz w:val="16"/>
                <w:szCs w:val="16"/>
              </w:rPr>
              <w:t>Severe active juvenile idiopathic arthritis</w:t>
            </w:r>
            <w:r w:rsidRPr="00280D39">
              <w:rPr>
                <w:rFonts w:ascii="Arial" w:hAnsi="Arial" w:cs="Arial"/>
                <w:sz w:val="16"/>
                <w:szCs w:val="16"/>
              </w:rPr>
              <w:br/>
              <w:t>Initial treatment - Initial 1 (new patient)</w:t>
            </w:r>
            <w:r w:rsidRPr="00280D39">
              <w:rPr>
                <w:rFonts w:ascii="Arial" w:hAnsi="Arial" w:cs="Arial"/>
                <w:sz w:val="16"/>
                <w:szCs w:val="16"/>
              </w:rPr>
              <w:br/>
              <w:t>Must be treated by a paediatric rheumatologist; OR</w:t>
            </w:r>
            <w:r w:rsidRPr="00280D39">
              <w:rPr>
                <w:rFonts w:ascii="Arial" w:hAnsi="Arial" w:cs="Arial"/>
                <w:sz w:val="16"/>
                <w:szCs w:val="16"/>
              </w:rPr>
              <w:br/>
              <w:t>Patient must be undergoing treatment under the supervision of a paediatric rheumatology treatment centre.</w:t>
            </w:r>
            <w:r w:rsidRPr="00280D39">
              <w:rPr>
                <w:rFonts w:ascii="Arial" w:hAnsi="Arial" w:cs="Arial"/>
                <w:sz w:val="16"/>
                <w:szCs w:val="16"/>
              </w:rPr>
              <w:br/>
              <w:t>Patient must not have received PBS-subsidised treatment with a biological medicine for this condition; AND</w:t>
            </w:r>
            <w:r w:rsidRPr="00280D39">
              <w:rPr>
                <w:rFonts w:ascii="Arial" w:hAnsi="Arial" w:cs="Arial"/>
                <w:sz w:val="16"/>
                <w:szCs w:val="16"/>
              </w:rPr>
              <w:br/>
              <w:t>Patient must have demonstrated severe intolerance of, or toxicity due to, methotrexate; OR</w:t>
            </w:r>
            <w:r w:rsidRPr="00280D39">
              <w:rPr>
                <w:rFonts w:ascii="Arial" w:hAnsi="Arial" w:cs="Arial"/>
                <w:sz w:val="16"/>
                <w:szCs w:val="16"/>
              </w:rPr>
              <w:br/>
              <w:t>Patient must have demonstrated failure to achieve an adequate response to 1 or more of the following treatment regimens: (i) oral or parenteral methotrexate at a dose of at least 20 mg per square metre weekly, alone or in combination with oral or intra-articular corticosteroids, for a minimum of 3 months; or (ii) oral methotrexate at a dose of at least 10 mg per square metre weekly together with at least 1 other disease modifying anti-rheumatic drug (DMARD), alone or in combination with corticosteroids, for a minimum of 3 months; AND</w:t>
            </w:r>
            <w:r w:rsidRPr="00280D39">
              <w:rPr>
                <w:rFonts w:ascii="Arial" w:hAnsi="Arial" w:cs="Arial"/>
                <w:sz w:val="16"/>
                <w:szCs w:val="16"/>
              </w:rPr>
              <w:br/>
              <w:t>Patient must not receive more than 16 weeks of treatment under this restriction.</w:t>
            </w:r>
            <w:r w:rsidRPr="00280D39">
              <w:rPr>
                <w:rFonts w:ascii="Arial" w:hAnsi="Arial" w:cs="Arial"/>
                <w:sz w:val="16"/>
                <w:szCs w:val="16"/>
              </w:rPr>
              <w:br/>
              <w:t>Patient must be under 18 years of age.</w:t>
            </w:r>
            <w:r w:rsidRPr="00280D39">
              <w:rPr>
                <w:rFonts w:ascii="Arial" w:hAnsi="Arial" w:cs="Arial"/>
                <w:sz w:val="16"/>
                <w:szCs w:val="16"/>
              </w:rPr>
              <w:br/>
              <w:t>Severe intolerance to methotrexate is defined as intractable nausea and vomiting and general malaise unresponsive to manoeuvres, including reducing or omitting concomitant non-steroidal anti-inflammatory drugs (NSAIDs) on the day of methotrexate administration, use of folic acid supplementation, or administering the dose of methotrexate in 2 divided doses over 24 hours.</w:t>
            </w:r>
            <w:r w:rsidRPr="00280D39">
              <w:rPr>
                <w:rFonts w:ascii="Arial" w:hAnsi="Arial" w:cs="Arial"/>
                <w:sz w:val="16"/>
                <w:szCs w:val="16"/>
              </w:rPr>
              <w:br/>
              <w:t>Toxicity due to methotrexate is defined as evidence of hepatotoxicity with repeated elevations of transaminases, bone marrow suppression temporally related to methotrexate use, pneumonitis, or serious sepsis.</w:t>
            </w:r>
            <w:r w:rsidRPr="00280D39">
              <w:rPr>
                <w:rFonts w:ascii="Arial" w:hAnsi="Arial" w:cs="Arial"/>
                <w:sz w:val="16"/>
                <w:szCs w:val="16"/>
              </w:rPr>
              <w:br/>
              <w:t>If treatment with methotrexate alone or in combination with another DMARD is contraindicated according to the relevant TGA-approved Product Information, details must be provided at the time of application.</w:t>
            </w:r>
            <w:r w:rsidRPr="00280D39">
              <w:rPr>
                <w:rFonts w:ascii="Arial" w:hAnsi="Arial" w:cs="Arial"/>
                <w:sz w:val="16"/>
                <w:szCs w:val="16"/>
              </w:rPr>
              <w:br/>
              <w:t>If intolerance to treatment develops during the relevant period of use, which is of a severity necessitating permanent treatment withdrawal, details of this toxicity must be provided at the time of application.</w:t>
            </w:r>
            <w:r w:rsidRPr="00280D39">
              <w:rPr>
                <w:rFonts w:ascii="Arial" w:hAnsi="Arial" w:cs="Arial"/>
                <w:sz w:val="16"/>
                <w:szCs w:val="16"/>
              </w:rPr>
              <w:br/>
              <w:t>The following criteria indicate failure to achieve an adequate response and must be demonstrated in all patients at the time of the initial application:</w:t>
            </w:r>
            <w:r w:rsidRPr="00280D39">
              <w:rPr>
                <w:rFonts w:ascii="Arial" w:hAnsi="Arial" w:cs="Arial"/>
                <w:sz w:val="16"/>
                <w:szCs w:val="16"/>
              </w:rPr>
              <w:br/>
              <w:t>(a) an active joint count of at least 20 active (swollen and tender) joints; OR</w:t>
            </w:r>
            <w:r w:rsidRPr="00280D39">
              <w:rPr>
                <w:rFonts w:ascii="Arial" w:hAnsi="Arial" w:cs="Arial"/>
                <w:sz w:val="16"/>
                <w:szCs w:val="16"/>
              </w:rPr>
              <w:br/>
              <w:t>(b) at least 4 active joints from the following list:</w:t>
            </w:r>
            <w:r w:rsidRPr="00280D39">
              <w:rPr>
                <w:rFonts w:ascii="Arial" w:hAnsi="Arial" w:cs="Arial"/>
                <w:sz w:val="16"/>
                <w:szCs w:val="16"/>
              </w:rPr>
              <w:br/>
              <w:t>(i) elbow, wrist, knee and/or ankle (assessed as swollen and tender); and/or</w:t>
            </w:r>
            <w:r w:rsidRPr="00280D39">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280D39">
              <w:rPr>
                <w:rFonts w:ascii="Arial" w:hAnsi="Arial" w:cs="Arial"/>
                <w:sz w:val="16"/>
                <w:szCs w:val="16"/>
              </w:rPr>
              <w:br/>
              <w:t>The joint count assessment must be performed preferably whilst still on DMARD treatment, but no longer than 4 weeks following cessation of the most recent prior treatment.</w:t>
            </w:r>
            <w:r w:rsidRPr="00280D39">
              <w:rPr>
                <w:rFonts w:ascii="Arial" w:hAnsi="Arial" w:cs="Arial"/>
                <w:sz w:val="16"/>
                <w:szCs w:val="16"/>
              </w:rPr>
              <w:br/>
              <w:t>The authority application must be made in writing and must include:</w:t>
            </w:r>
            <w:r w:rsidRPr="00280D39">
              <w:rPr>
                <w:rFonts w:ascii="Arial" w:hAnsi="Arial" w:cs="Arial"/>
                <w:sz w:val="16"/>
                <w:szCs w:val="16"/>
              </w:rPr>
              <w:br/>
              <w:t>(1) completed authority prescription form(s); and</w:t>
            </w:r>
            <w:r w:rsidRPr="00280D39">
              <w:rPr>
                <w:rFonts w:ascii="Arial" w:hAnsi="Arial" w:cs="Arial"/>
                <w:sz w:val="16"/>
                <w:szCs w:val="16"/>
              </w:rPr>
              <w:br/>
              <w:t>(2) a completed Juvenile Idiopathic Arthritis PBS Authority Application - Supporting Information Form.</w:t>
            </w:r>
            <w:r w:rsidRPr="00280D39">
              <w:rPr>
                <w:rFonts w:ascii="Arial" w:hAnsi="Arial" w:cs="Arial"/>
                <w:sz w:val="16"/>
                <w:szCs w:val="16"/>
              </w:rPr>
              <w:br/>
              <w:t>At the time of authority application, medical practitioners must request the appropriate number of injections to provide sufficient for four weeks of treatment. Up to a maximum of 3 repeats will be authorised.</w:t>
            </w:r>
            <w:r w:rsidRPr="00280D39">
              <w:rPr>
                <w:rFonts w:ascii="Arial" w:hAnsi="Arial" w:cs="Arial"/>
                <w:sz w:val="16"/>
                <w:szCs w:val="16"/>
              </w:rPr>
              <w:br/>
              <w:t>An assessment of a patient</w:t>
            </w:r>
            <w:r w:rsidR="00A653CA">
              <w:rPr>
                <w:rFonts w:ascii="Arial" w:hAnsi="Arial" w:cs="Arial"/>
                <w:sz w:val="16"/>
                <w:szCs w:val="16"/>
              </w:rPr>
              <w:t>’</w:t>
            </w:r>
            <w:r w:rsidRPr="00280D39">
              <w:rPr>
                <w:rFonts w:ascii="Arial" w:hAnsi="Arial" w:cs="Arial"/>
                <w:sz w:val="16"/>
                <w:szCs w:val="16"/>
              </w:rPr>
              <w: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r w:rsidRPr="00280D39">
              <w:rPr>
                <w:rFonts w:ascii="Arial" w:hAnsi="Arial" w:cs="Arial"/>
                <w:sz w:val="16"/>
                <w:szCs w:val="16"/>
              </w:rPr>
              <w:br/>
              <w:t>Where the response assessment is not submitted within this timeframe, the patient will be deemed to have failed to respond to treatment with this drug.</w:t>
            </w:r>
            <w:r w:rsidRPr="00280D39">
              <w:rPr>
                <w:rFonts w:ascii="Arial" w:hAnsi="Arial" w:cs="Arial"/>
                <w:sz w:val="16"/>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280D39">
              <w:rPr>
                <w:rFonts w:ascii="Arial" w:hAnsi="Arial" w:cs="Arial"/>
                <w:sz w:val="16"/>
                <w:szCs w:val="16"/>
              </w:rPr>
              <w:t>Compliance with Written Authority Required procedures</w:t>
            </w:r>
          </w:p>
        </w:tc>
      </w:tr>
      <w:tr w:rsidR="00F05C1E" w:rsidRPr="00E106BD" w:rsidTr="008929EB">
        <w:tblPrEx>
          <w:tblLook w:val="01E0" w:firstRow="1" w:lastRow="1" w:firstColumn="1" w:lastColumn="1" w:noHBand="0" w:noVBand="0"/>
        </w:tblPrEx>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280D39">
              <w:rPr>
                <w:rFonts w:ascii="Arial" w:hAnsi="Arial" w:cs="Arial"/>
                <w:sz w:val="16"/>
                <w:szCs w:val="16"/>
              </w:rPr>
              <w:t>C10578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280D39">
              <w:rPr>
                <w:rFonts w:ascii="Arial" w:hAnsi="Arial" w:cs="Arial"/>
                <w:sz w:val="16"/>
                <w:szCs w:val="16"/>
              </w:rPr>
              <w:t>Severe active juvenile idiopathic arthritis</w:t>
            </w:r>
            <w:r w:rsidRPr="00280D39">
              <w:rPr>
                <w:rFonts w:ascii="Arial" w:hAnsi="Arial" w:cs="Arial"/>
                <w:sz w:val="16"/>
                <w:szCs w:val="16"/>
              </w:rPr>
              <w:br/>
              <w:t>Initial treatment - Initial 2 (change or recommencement of treatment after a break in biological medicine of less than 12 months)</w:t>
            </w:r>
            <w:r w:rsidRPr="00280D39">
              <w:rPr>
                <w:rFonts w:ascii="Arial" w:hAnsi="Arial" w:cs="Arial"/>
                <w:sz w:val="16"/>
                <w:szCs w:val="16"/>
              </w:rPr>
              <w:br/>
              <w:t>Must be treated by a paediatric rheumatologist; OR</w:t>
            </w:r>
            <w:r w:rsidRPr="00280D39">
              <w:rPr>
                <w:rFonts w:ascii="Arial" w:hAnsi="Arial" w:cs="Arial"/>
                <w:sz w:val="16"/>
                <w:szCs w:val="16"/>
              </w:rPr>
              <w:br/>
              <w:t>Patient must be undergoing treatment under the supervision of a paediatric rheumatology treatment centre.</w:t>
            </w:r>
            <w:r w:rsidRPr="00280D39">
              <w:rPr>
                <w:rFonts w:ascii="Arial" w:hAnsi="Arial" w:cs="Arial"/>
                <w:sz w:val="16"/>
                <w:szCs w:val="16"/>
              </w:rPr>
              <w:br/>
              <w:t>Patient must have received prior PBS-subsidised treatment with a biological medicine for this condition in this treatment cycle; AND</w:t>
            </w:r>
            <w:r w:rsidRPr="00280D39">
              <w:rPr>
                <w:rFonts w:ascii="Arial" w:hAnsi="Arial" w:cs="Arial"/>
                <w:sz w:val="16"/>
                <w:szCs w:val="16"/>
              </w:rPr>
              <w:br/>
              <w:t>Patient must not have already failed, or ceased to respond to, PBS-subsidised treatment with this drug for this condition during the current treatment cycle; AND</w:t>
            </w:r>
            <w:r w:rsidRPr="00280D39">
              <w:rPr>
                <w:rFonts w:ascii="Arial" w:hAnsi="Arial" w:cs="Arial"/>
                <w:sz w:val="16"/>
                <w:szCs w:val="16"/>
              </w:rPr>
              <w:br/>
              <w:t>Patient must not receive more than 16 weeks of treatment under this restriction.</w:t>
            </w:r>
            <w:r w:rsidRPr="00280D39">
              <w:rPr>
                <w:rFonts w:ascii="Arial" w:hAnsi="Arial" w:cs="Arial"/>
                <w:sz w:val="16"/>
                <w:szCs w:val="16"/>
              </w:rPr>
              <w:br/>
              <w:t>An adequate response to treatment is defined as:</w:t>
            </w:r>
            <w:r w:rsidRPr="00280D39">
              <w:rPr>
                <w:rFonts w:ascii="Arial" w:hAnsi="Arial" w:cs="Arial"/>
                <w:sz w:val="16"/>
                <w:szCs w:val="16"/>
              </w:rPr>
              <w:br/>
              <w:t>(a) a reduction in the total active (swollen and tender) joint count by at least 50% from baseline, where baseline is at least 20 active joints; or</w:t>
            </w:r>
            <w:r w:rsidRPr="00280D39">
              <w:rPr>
                <w:rFonts w:ascii="Arial" w:hAnsi="Arial" w:cs="Arial"/>
                <w:sz w:val="16"/>
                <w:szCs w:val="16"/>
              </w:rPr>
              <w:br/>
              <w:t>(b) a reduction in the number of the following active joints, from at least 4, by at least 50%:</w:t>
            </w:r>
            <w:r w:rsidRPr="00280D39">
              <w:rPr>
                <w:rFonts w:ascii="Arial" w:hAnsi="Arial" w:cs="Arial"/>
                <w:sz w:val="16"/>
                <w:szCs w:val="16"/>
              </w:rPr>
              <w:br/>
              <w:t>(i) elbow, wrist, knee and/or ankle (assessed as swollen and tender); and/or</w:t>
            </w:r>
            <w:r w:rsidRPr="00280D39">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280D39">
              <w:rPr>
                <w:rFonts w:ascii="Arial" w:hAnsi="Arial" w:cs="Arial"/>
                <w:sz w:val="16"/>
                <w:szCs w:val="16"/>
              </w:rPr>
              <w:br/>
              <w:t>At the time of authority application, medical practitioners must request the appropriate number of injections to provide sufficient for four weeks of treatment. Up to a maximum of 3 repeats will be authorised.</w:t>
            </w:r>
            <w:r w:rsidRPr="00280D39">
              <w:rPr>
                <w:rFonts w:ascii="Arial" w:hAnsi="Arial" w:cs="Arial"/>
                <w:sz w:val="16"/>
                <w:szCs w:val="16"/>
              </w:rPr>
              <w:br/>
              <w:t>The authority application must be made in writing and must include:</w:t>
            </w:r>
            <w:r w:rsidRPr="00280D39">
              <w:rPr>
                <w:rFonts w:ascii="Arial" w:hAnsi="Arial" w:cs="Arial"/>
                <w:sz w:val="16"/>
                <w:szCs w:val="16"/>
              </w:rPr>
              <w:br/>
              <w:t>(1) completed authority prescription form(s); and</w:t>
            </w:r>
            <w:r w:rsidRPr="00280D39">
              <w:rPr>
                <w:rFonts w:ascii="Arial" w:hAnsi="Arial" w:cs="Arial"/>
                <w:sz w:val="16"/>
                <w:szCs w:val="16"/>
              </w:rPr>
              <w:br/>
              <w:t>(2) a completed Juvenile Idiopathic Arthritis PBS Authority Application - Supporting Information Form.</w:t>
            </w:r>
            <w:r w:rsidRPr="00280D39">
              <w:rPr>
                <w:rFonts w:ascii="Arial" w:hAnsi="Arial" w:cs="Arial"/>
                <w:sz w:val="16"/>
                <w:szCs w:val="16"/>
              </w:rPr>
              <w:br/>
              <w:t>An application for a patient who has received PBS-subsidised biological medicine treatment for this condition who wishes to change or recommence therapy with this drug, must be accompanied by evidence of a response to the patient</w:t>
            </w:r>
            <w:r w:rsidR="00A653CA">
              <w:rPr>
                <w:rFonts w:ascii="Arial" w:hAnsi="Arial" w:cs="Arial"/>
                <w:sz w:val="16"/>
                <w:szCs w:val="16"/>
              </w:rPr>
              <w:t>’</w:t>
            </w:r>
            <w:r w:rsidRPr="00280D39">
              <w:rPr>
                <w:rFonts w:ascii="Arial" w:hAnsi="Arial" w:cs="Arial"/>
                <w:sz w:val="16"/>
                <w:szCs w:val="16"/>
              </w:rPr>
              <w:t>s most recent course of PBS-subsidised biological medicine treatment, within the timeframes specified below.</w:t>
            </w:r>
            <w:r w:rsidRPr="00280D39">
              <w:rPr>
                <w:rFonts w:ascii="Arial" w:hAnsi="Arial" w:cs="Arial"/>
                <w:sz w:val="16"/>
                <w:szCs w:val="16"/>
              </w:rPr>
              <w:br/>
              <w:t>Where the most recent course of PBS-subsidised biological medicine treatment was approved under either Initial 1, Initial 2, Initial 3 or continuing treatment restrictions, an assessment of a patient</w:t>
            </w:r>
            <w:r w:rsidR="00A653CA">
              <w:rPr>
                <w:rFonts w:ascii="Arial" w:hAnsi="Arial" w:cs="Arial"/>
                <w:sz w:val="16"/>
                <w:szCs w:val="16"/>
              </w:rPr>
              <w:t>’</w:t>
            </w:r>
            <w:r w:rsidRPr="00280D39">
              <w:rPr>
                <w:rFonts w:ascii="Arial" w:hAnsi="Arial" w:cs="Arial"/>
                <w:sz w:val="16"/>
                <w:szCs w:val="16"/>
              </w:rPr>
              <w:t>s response must have been conducted following a minimum of 12 weeks of therapy and submitted no later than 4 weeks from the date of completion of treatment.</w:t>
            </w:r>
            <w:r w:rsidRPr="00280D39">
              <w:rPr>
                <w:rFonts w:ascii="Arial" w:hAnsi="Arial" w:cs="Arial"/>
                <w:sz w:val="16"/>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280D39">
              <w:rPr>
                <w:rFonts w:ascii="Arial" w:hAnsi="Arial" w:cs="Arial"/>
                <w:sz w:val="16"/>
                <w:szCs w:val="16"/>
              </w:rPr>
              <w:br/>
              <w:t>Where the response assessment is not submitted within this timeframe, the patient will be deemed to have failed to respond to treatment with this drug.</w:t>
            </w:r>
            <w:r w:rsidRPr="00280D39">
              <w:rPr>
                <w:rFonts w:ascii="Arial" w:hAnsi="Arial" w:cs="Arial"/>
                <w:sz w:val="16"/>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280D39">
              <w:rPr>
                <w:rFonts w:ascii="Arial" w:hAnsi="Arial" w:cs="Arial"/>
                <w:sz w:val="16"/>
                <w:szCs w:val="16"/>
              </w:rPr>
              <w:br/>
              <w:t>A patient who fails to demonstrate a response to treatment with this drug under this restriction will not be eligible to receive further PBS-subsidised treatment with this drug in this treatment cycle. 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280D39">
              <w:rPr>
                <w:rFonts w:ascii="Arial" w:hAnsi="Arial" w:cs="Arial"/>
                <w:sz w:val="16"/>
                <w:szCs w:val="16"/>
              </w:rPr>
              <w:br/>
              <w:t>If a patient fails to respond to PBS-subsidised biological medicine treatment 3 times (once with each agent) they will not be eligible to receive further PBS-subsidised biological medicine therapy in this treatment cycle.</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280D39">
              <w:rPr>
                <w:rFonts w:ascii="Arial" w:hAnsi="Arial" w:cs="Arial"/>
                <w:sz w:val="16"/>
                <w:szCs w:val="16"/>
              </w:rPr>
              <w:t>Compliance with Written Authority Required procedures</w:t>
            </w:r>
          </w:p>
        </w:tc>
      </w:tr>
      <w:tr w:rsidR="00F05C1E" w:rsidRPr="005348A2" w:rsidTr="008929EB">
        <w:tblPrEx>
          <w:tblLook w:val="01E0" w:firstRow="1" w:lastRow="1" w:firstColumn="1" w:lastColumn="1" w:noHBand="0" w:noVBand="0"/>
        </w:tblPrEx>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280D39">
              <w:rPr>
                <w:rFonts w:ascii="Arial" w:hAnsi="Arial" w:cs="Arial"/>
                <w:sz w:val="16"/>
                <w:szCs w:val="16"/>
              </w:rPr>
              <w:t>C10579</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280D39">
              <w:rPr>
                <w:rFonts w:ascii="Arial" w:hAnsi="Arial" w:cs="Arial"/>
                <w:sz w:val="16"/>
                <w:szCs w:val="16"/>
              </w:rPr>
              <w:t>Severe active juvenile idiopathic arthritis</w:t>
            </w:r>
            <w:r w:rsidRPr="00280D39">
              <w:rPr>
                <w:rFonts w:ascii="Arial" w:hAnsi="Arial" w:cs="Arial"/>
                <w:sz w:val="16"/>
                <w:szCs w:val="16"/>
              </w:rPr>
              <w:br/>
              <w:t>Continuing treatment</w:t>
            </w:r>
            <w:r w:rsidRPr="00280D39">
              <w:rPr>
                <w:rFonts w:ascii="Arial" w:hAnsi="Arial" w:cs="Arial"/>
                <w:sz w:val="16"/>
                <w:szCs w:val="16"/>
              </w:rPr>
              <w:br/>
              <w:t>Must be treated by a rheumatologist; OR</w:t>
            </w:r>
            <w:r w:rsidRPr="00280D39">
              <w:rPr>
                <w:rFonts w:ascii="Arial" w:hAnsi="Arial" w:cs="Arial"/>
                <w:sz w:val="16"/>
                <w:szCs w:val="16"/>
              </w:rPr>
              <w:br/>
              <w:t>Patient must be undergoing treatment under the supervision of a paediatric rheumatology treatment centre.</w:t>
            </w:r>
            <w:r w:rsidRPr="00280D39">
              <w:rPr>
                <w:rFonts w:ascii="Arial" w:hAnsi="Arial" w:cs="Arial"/>
                <w:sz w:val="16"/>
                <w:szCs w:val="16"/>
              </w:rPr>
              <w:br/>
              <w:t>Patient must have received this drug as their most recent course of PBS-subsidised biological medicine treatment for this condition; AND</w:t>
            </w:r>
            <w:r w:rsidRPr="00280D39">
              <w:rPr>
                <w:rFonts w:ascii="Arial" w:hAnsi="Arial" w:cs="Arial"/>
                <w:sz w:val="16"/>
                <w:szCs w:val="16"/>
              </w:rPr>
              <w:br/>
              <w:t>Patient must have demonstrated an adequate response to treatment with this drug; AND</w:t>
            </w:r>
            <w:r w:rsidRPr="00280D39">
              <w:rPr>
                <w:rFonts w:ascii="Arial" w:hAnsi="Arial" w:cs="Arial"/>
                <w:sz w:val="16"/>
                <w:szCs w:val="16"/>
              </w:rPr>
              <w:br/>
              <w:t>Patient must not receive more than 24 weeks of treatment per continuing treatment course authorised under this restriction.</w:t>
            </w:r>
            <w:r w:rsidRPr="00280D39">
              <w:rPr>
                <w:rFonts w:ascii="Arial" w:hAnsi="Arial" w:cs="Arial"/>
                <w:sz w:val="16"/>
                <w:szCs w:val="16"/>
              </w:rPr>
              <w:br/>
              <w:t>An adequate response to treatment is defined as:</w:t>
            </w:r>
            <w:r w:rsidRPr="00280D39">
              <w:rPr>
                <w:rFonts w:ascii="Arial" w:hAnsi="Arial" w:cs="Arial"/>
                <w:sz w:val="16"/>
                <w:szCs w:val="16"/>
              </w:rPr>
              <w:br/>
              <w:t>(a) a reduction in the total active (swollen and tender) joint count by at least 50% from baseline, where baseline is at least 20 active joints; or</w:t>
            </w:r>
            <w:r w:rsidRPr="00280D39">
              <w:rPr>
                <w:rFonts w:ascii="Arial" w:hAnsi="Arial" w:cs="Arial"/>
                <w:sz w:val="16"/>
                <w:szCs w:val="16"/>
              </w:rPr>
              <w:br/>
              <w:t>(b) a reduction in the number of the following active joints, from at least 4, by at least 50%:</w:t>
            </w:r>
            <w:r w:rsidRPr="00280D39">
              <w:rPr>
                <w:rFonts w:ascii="Arial" w:hAnsi="Arial" w:cs="Arial"/>
                <w:sz w:val="16"/>
                <w:szCs w:val="16"/>
              </w:rPr>
              <w:br/>
              <w:t>(i) elbow, wrist, knee and/or ankle (assessed as swollen and tender); and/or</w:t>
            </w:r>
            <w:r w:rsidRPr="00280D39">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280D39">
              <w:rPr>
                <w:rFonts w:ascii="Arial" w:hAnsi="Arial" w:cs="Arial"/>
                <w:sz w:val="16"/>
                <w:szCs w:val="16"/>
              </w:rPr>
              <w:br/>
              <w:t>Determination of whether a response has been demonstrated to initial and subsequent courses of treatment will be based on the baseline measurement of joint count submitted with the initial treatment application.</w:t>
            </w:r>
            <w:r w:rsidRPr="00280D39">
              <w:rPr>
                <w:rFonts w:ascii="Arial" w:hAnsi="Arial" w:cs="Arial"/>
                <w:sz w:val="16"/>
                <w:szCs w:val="16"/>
              </w:rPr>
              <w:br/>
              <w:t>The authority application must be made in writing and must include:</w:t>
            </w:r>
            <w:r w:rsidRPr="00280D39">
              <w:rPr>
                <w:rFonts w:ascii="Arial" w:hAnsi="Arial" w:cs="Arial"/>
                <w:sz w:val="16"/>
                <w:szCs w:val="16"/>
              </w:rPr>
              <w:br/>
              <w:t>(1) completed authority prescription form(s); and</w:t>
            </w:r>
            <w:r w:rsidRPr="00280D39">
              <w:rPr>
                <w:rFonts w:ascii="Arial" w:hAnsi="Arial" w:cs="Arial"/>
                <w:sz w:val="16"/>
                <w:szCs w:val="16"/>
              </w:rPr>
              <w:br/>
              <w:t>(2) a completed Juvenile Idiopathic Arthritis PBS Authority Application - Supporting Information Form.</w:t>
            </w:r>
            <w:r w:rsidRPr="00280D39">
              <w:rPr>
                <w:rFonts w:ascii="Arial" w:hAnsi="Arial" w:cs="Arial"/>
                <w:sz w:val="16"/>
                <w:szCs w:val="16"/>
              </w:rPr>
              <w:br/>
              <w:t>At the time of authority application, medical practitioners must request the appropriate number of injections to provide sufficient for four weeks of treatment. Up to a maximum of 5 repeats will be authorised.</w:t>
            </w:r>
            <w:r w:rsidRPr="00280D39">
              <w:rPr>
                <w:rFonts w:ascii="Arial" w:hAnsi="Arial" w:cs="Arial"/>
                <w:sz w:val="16"/>
                <w:szCs w:val="16"/>
              </w:rPr>
              <w:br/>
              <w:t>Where the most recent course of PBS-subsidised treatment with this drug was approved under either Initial 1, Initial 2, or Initial 3 treatment restrictions, an assessment of a patient</w:t>
            </w:r>
            <w:r w:rsidR="00A653CA">
              <w:rPr>
                <w:rFonts w:ascii="Arial" w:hAnsi="Arial" w:cs="Arial"/>
                <w:sz w:val="16"/>
                <w:szCs w:val="16"/>
              </w:rPr>
              <w:t>’</w:t>
            </w:r>
            <w:r w:rsidRPr="00280D39">
              <w:rPr>
                <w:rFonts w:ascii="Arial" w:hAnsi="Arial" w:cs="Arial"/>
                <w:sz w:val="16"/>
                <w:szCs w:val="16"/>
              </w:rPr>
              <w:t>s response must have been conducted following a minimum of 12 weeks of therapy and submitted no later than 4 weeks from the date of completion of treatment.</w:t>
            </w:r>
            <w:r w:rsidRPr="00280D39">
              <w:rPr>
                <w:rFonts w:ascii="Arial" w:hAnsi="Arial" w:cs="Arial"/>
                <w:sz w:val="16"/>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280D39">
              <w:rPr>
                <w:rFonts w:ascii="Arial" w:hAnsi="Arial" w:cs="Arial"/>
                <w:sz w:val="16"/>
                <w:szCs w:val="16"/>
              </w:rPr>
              <w:br/>
              <w:t>Where the response assessment is not submitted within this timeframe, the patient will be deemed to have failed to respond to treatment with this drug.</w:t>
            </w:r>
            <w:r w:rsidRPr="00280D39">
              <w:rPr>
                <w:rFonts w:ascii="Arial" w:hAnsi="Arial" w:cs="Arial"/>
                <w:sz w:val="16"/>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280D39">
              <w:rPr>
                <w:rFonts w:ascii="Arial" w:hAnsi="Arial" w:cs="Arial"/>
                <w:sz w:val="16"/>
                <w:szCs w:val="16"/>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280D39">
              <w:rPr>
                <w:rFonts w:ascii="Arial" w:hAnsi="Arial" w:cs="Arial"/>
                <w:sz w:val="16"/>
                <w:szCs w:val="16"/>
              </w:rPr>
              <w:br/>
              <w:t>If a patient fails to respond to PBS-subsidised biological medicine treatment 3 times (once with each agent) they will not be eligible to receive further PBS-subsidised biological medicine therapy in this treatment cycle.</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280D39">
              <w:rPr>
                <w:rFonts w:ascii="Arial" w:hAnsi="Arial" w:cs="Arial"/>
                <w:sz w:val="16"/>
                <w:szCs w:val="16"/>
              </w:rPr>
              <w:t>Compliance with Written Authority Required procedures</w:t>
            </w:r>
          </w:p>
        </w:tc>
      </w:tr>
      <w:tr w:rsidR="00F05C1E" w:rsidRPr="005348A2" w:rsidTr="008929EB">
        <w:tblPrEx>
          <w:tblLook w:val="01E0" w:firstRow="1" w:lastRow="1" w:firstColumn="1" w:lastColumn="1" w:noHBand="0" w:noVBand="0"/>
        </w:tblPrEx>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5348A2" w:rsidRDefault="00F05C1E" w:rsidP="00881477">
            <w:pPr>
              <w:spacing w:line="240" w:lineRule="auto"/>
              <w:rPr>
                <w:rFonts w:ascii="Arial" w:hAnsi="Arial" w:cs="Arial"/>
                <w:sz w:val="16"/>
                <w:szCs w:val="16"/>
              </w:rPr>
            </w:pPr>
            <w:r w:rsidRPr="00280D39">
              <w:rPr>
                <w:rFonts w:ascii="Arial" w:hAnsi="Arial" w:cs="Arial"/>
                <w:sz w:val="16"/>
                <w:szCs w:val="16"/>
              </w:rPr>
              <w:t>C10599</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5348A2" w:rsidRDefault="00F05C1E" w:rsidP="00881477">
            <w:pPr>
              <w:spacing w:line="240" w:lineRule="auto"/>
              <w:rPr>
                <w:rFonts w:ascii="Arial" w:hAnsi="Arial" w:cs="Arial"/>
                <w:sz w:val="16"/>
                <w:szCs w:val="16"/>
              </w:rPr>
            </w:pPr>
            <w:r w:rsidRPr="00280D39">
              <w:rPr>
                <w:rFonts w:ascii="Arial" w:hAnsi="Arial" w:cs="Arial"/>
                <w:sz w:val="16"/>
                <w:szCs w:val="16"/>
              </w:rPr>
              <w:t>Severe active juvenile idiopathic arthritis</w:t>
            </w:r>
            <w:r w:rsidRPr="00280D39">
              <w:rPr>
                <w:rFonts w:ascii="Arial" w:hAnsi="Arial" w:cs="Arial"/>
                <w:sz w:val="16"/>
                <w:szCs w:val="16"/>
              </w:rPr>
              <w:br/>
              <w:t>Initial treatment - Initial 3 (recommencement of treatment after a break in biological medicine of more than 12 months)</w:t>
            </w:r>
            <w:r w:rsidRPr="00280D39">
              <w:rPr>
                <w:rFonts w:ascii="Arial" w:hAnsi="Arial" w:cs="Arial"/>
                <w:sz w:val="16"/>
                <w:szCs w:val="16"/>
              </w:rPr>
              <w:br/>
              <w:t>Must be treated by a paediatric rheumatologist; OR</w:t>
            </w:r>
            <w:r w:rsidRPr="00280D39">
              <w:rPr>
                <w:rFonts w:ascii="Arial" w:hAnsi="Arial" w:cs="Arial"/>
                <w:sz w:val="16"/>
                <w:szCs w:val="16"/>
              </w:rPr>
              <w:br/>
              <w:t>Patient must be undergoing treatment under the supervision of a paediatric rheumatology treatment centre.</w:t>
            </w:r>
            <w:r w:rsidRPr="00280D39">
              <w:rPr>
                <w:rFonts w:ascii="Arial" w:hAnsi="Arial" w:cs="Arial"/>
                <w:sz w:val="16"/>
                <w:szCs w:val="16"/>
              </w:rPr>
              <w:br/>
              <w:t>Patient must have previously received PBS-subsidised treatment with a biological medicine for this condition; AND</w:t>
            </w:r>
            <w:r w:rsidRPr="00280D39">
              <w:rPr>
                <w:rFonts w:ascii="Arial" w:hAnsi="Arial" w:cs="Arial"/>
                <w:sz w:val="16"/>
                <w:szCs w:val="16"/>
              </w:rPr>
              <w:br/>
              <w:t>Patient must have had a break in treatment of 12 months or more from the most recently approved PBS-subsidised biological medicine for this condition; AND</w:t>
            </w:r>
            <w:r w:rsidRPr="00280D39">
              <w:rPr>
                <w:rFonts w:ascii="Arial" w:hAnsi="Arial" w:cs="Arial"/>
                <w:sz w:val="16"/>
                <w:szCs w:val="16"/>
              </w:rPr>
              <w:br/>
              <w:t>The condition must have either (a) a total active joint count of at least 20 active (swollen and tender) joints; or (b) at least 4 active major joints; AND</w:t>
            </w:r>
            <w:r w:rsidRPr="00280D39">
              <w:rPr>
                <w:rFonts w:ascii="Arial" w:hAnsi="Arial" w:cs="Arial"/>
                <w:sz w:val="16"/>
                <w:szCs w:val="16"/>
              </w:rPr>
              <w:br/>
              <w:t>Patient must not receive more than 16 weeks of treatment under this restriction.</w:t>
            </w:r>
            <w:r w:rsidRPr="00280D39">
              <w:rPr>
                <w:rFonts w:ascii="Arial" w:hAnsi="Arial" w:cs="Arial"/>
                <w:sz w:val="16"/>
                <w:szCs w:val="16"/>
              </w:rPr>
              <w:br/>
              <w:t>Active joints are defined as:</w:t>
            </w:r>
            <w:r w:rsidRPr="00280D39">
              <w:rPr>
                <w:rFonts w:ascii="Arial" w:hAnsi="Arial" w:cs="Arial"/>
                <w:sz w:val="16"/>
                <w:szCs w:val="16"/>
              </w:rPr>
              <w:br/>
              <w:t>(i) elbow, wrist, knee and/or ankle (assessed as swollen and tender); and/or</w:t>
            </w:r>
            <w:r w:rsidRPr="00280D39">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280D39">
              <w:rPr>
                <w:rFonts w:ascii="Arial" w:hAnsi="Arial" w:cs="Arial"/>
                <w:sz w:val="16"/>
                <w:szCs w:val="16"/>
              </w:rPr>
              <w:br/>
              <w:t>All measures of joint count must be no more than 4 weeks old at the time of this application.</w:t>
            </w:r>
            <w:r w:rsidRPr="00280D39">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active joints, the response must be demonstrated on the total number of active joints.</w:t>
            </w:r>
            <w:r w:rsidRPr="00280D39">
              <w:rPr>
                <w:rFonts w:ascii="Arial" w:hAnsi="Arial" w:cs="Arial"/>
                <w:sz w:val="16"/>
                <w:szCs w:val="16"/>
              </w:rPr>
              <w:br/>
              <w:t>At the time of authority application, medical practitioners must request the appropriate number of injections to provide sufficient for four weeks of treatment. Up to a maximum of 3 repeats will be authorised.</w:t>
            </w:r>
            <w:r w:rsidRPr="00280D39">
              <w:rPr>
                <w:rFonts w:ascii="Arial" w:hAnsi="Arial" w:cs="Arial"/>
                <w:sz w:val="16"/>
                <w:szCs w:val="16"/>
              </w:rPr>
              <w:br/>
              <w:t>The authority application must be made in writing and must include:</w:t>
            </w:r>
            <w:r w:rsidRPr="00280D39">
              <w:rPr>
                <w:rFonts w:ascii="Arial" w:hAnsi="Arial" w:cs="Arial"/>
                <w:sz w:val="16"/>
                <w:szCs w:val="16"/>
              </w:rPr>
              <w:br/>
              <w:t>(1) completed authority prescription form(s); and</w:t>
            </w:r>
            <w:r w:rsidRPr="00280D39">
              <w:rPr>
                <w:rFonts w:ascii="Arial" w:hAnsi="Arial" w:cs="Arial"/>
                <w:sz w:val="16"/>
                <w:szCs w:val="16"/>
              </w:rPr>
              <w:br/>
              <w:t>(2) a completed Juvenile Idiopathic Arthritis PBS Authority Application - Supporting Information Form.</w:t>
            </w:r>
            <w:r w:rsidRPr="00280D39">
              <w:rPr>
                <w:rFonts w:ascii="Arial" w:hAnsi="Arial" w:cs="Arial"/>
                <w:sz w:val="16"/>
                <w:szCs w:val="16"/>
              </w:rPr>
              <w:br/>
              <w:t>An application for a patient who has received PBS-subsidised biological medicine treatment for this condition who wishes to recommence therapy with this drug, must be accompanied by evidence of a response to the patient</w:t>
            </w:r>
            <w:r w:rsidR="00A653CA">
              <w:rPr>
                <w:rFonts w:ascii="Arial" w:hAnsi="Arial" w:cs="Arial"/>
                <w:sz w:val="16"/>
                <w:szCs w:val="16"/>
              </w:rPr>
              <w:t>’</w:t>
            </w:r>
            <w:r w:rsidRPr="00280D39">
              <w:rPr>
                <w:rFonts w:ascii="Arial" w:hAnsi="Arial" w:cs="Arial"/>
                <w:sz w:val="16"/>
                <w:szCs w:val="16"/>
              </w:rPr>
              <w:t>s most recent course of PBS-subsidised biological medicine treatment, within the timeframes specified below.</w:t>
            </w:r>
            <w:r w:rsidRPr="00280D39">
              <w:rPr>
                <w:rFonts w:ascii="Arial" w:hAnsi="Arial" w:cs="Arial"/>
                <w:sz w:val="16"/>
                <w:szCs w:val="16"/>
              </w:rPr>
              <w:br/>
              <w:t>Where the most recent course of PBS-subsidised biological medicine treatment was approved under either Initial 1, Initial 2, Initial 3 or continuing treatment restrictions, an assessment of a patient</w:t>
            </w:r>
            <w:r w:rsidR="00A653CA">
              <w:rPr>
                <w:rFonts w:ascii="Arial" w:hAnsi="Arial" w:cs="Arial"/>
                <w:sz w:val="16"/>
                <w:szCs w:val="16"/>
              </w:rPr>
              <w:t>’</w:t>
            </w:r>
            <w:r w:rsidRPr="00280D39">
              <w:rPr>
                <w:rFonts w:ascii="Arial" w:hAnsi="Arial" w:cs="Arial"/>
                <w:sz w:val="16"/>
                <w:szCs w:val="16"/>
              </w:rPr>
              <w:t>s response must have been conducted following a minimum of 12 weeks of therapy and submitted no later than 4 weeks from the date of completion of treatment.</w:t>
            </w:r>
            <w:r w:rsidRPr="00280D39">
              <w:rPr>
                <w:rFonts w:ascii="Arial" w:hAnsi="Arial" w:cs="Arial"/>
                <w:sz w:val="16"/>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280D39">
              <w:rPr>
                <w:rFonts w:ascii="Arial" w:hAnsi="Arial" w:cs="Arial"/>
                <w:sz w:val="16"/>
                <w:szCs w:val="16"/>
              </w:rPr>
              <w:br/>
              <w:t>Where the response assessment is not submitted within this timeframe, the patient will be deemed to have failed to respond to treatment with this drug.</w:t>
            </w:r>
            <w:r w:rsidRPr="00280D39">
              <w:rPr>
                <w:rFonts w:ascii="Arial" w:hAnsi="Arial" w:cs="Arial"/>
                <w:sz w:val="16"/>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5348A2" w:rsidRDefault="00F05C1E" w:rsidP="00DC20A5">
            <w:pPr>
              <w:spacing w:line="240" w:lineRule="auto"/>
              <w:rPr>
                <w:rFonts w:ascii="Arial" w:hAnsi="Arial" w:cs="Arial"/>
                <w:sz w:val="16"/>
                <w:szCs w:val="16"/>
              </w:rPr>
            </w:pPr>
            <w:r w:rsidRPr="00280D39">
              <w:rPr>
                <w:rFonts w:ascii="Arial" w:hAnsi="Arial" w:cs="Arial"/>
                <w:sz w:val="16"/>
                <w:szCs w:val="16"/>
              </w:rPr>
              <w:t>Compliance with Written Authority Required procedures</w:t>
            </w:r>
          </w:p>
        </w:tc>
      </w:tr>
      <w:tr w:rsidR="00F05C1E" w:rsidRPr="00E106BD" w:rsidTr="008929EB">
        <w:tblPrEx>
          <w:tblLook w:val="01E0" w:firstRow="1" w:lastRow="1" w:firstColumn="1" w:lastColumn="1" w:noHBand="0" w:noVBand="0"/>
        </w:tblPrEx>
        <w:trPr>
          <w:cantSplit/>
        </w:trPr>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Etravirine</w:t>
            </w:r>
          </w:p>
        </w:tc>
        <w:tc>
          <w:tcPr>
            <w:tcW w:w="709" w:type="dxa"/>
            <w:tcBorders>
              <w:bottom w:val="single" w:sz="4" w:space="0" w:color="auto"/>
            </w:tcBorders>
            <w:tcMar>
              <w:top w:w="28" w:type="dxa"/>
              <w:left w:w="28" w:type="dxa"/>
            </w:tcMar>
          </w:tcPr>
          <w:p w:rsidR="00F05C1E" w:rsidRPr="00E106BD" w:rsidDel="0015124D" w:rsidRDefault="00F05C1E" w:rsidP="00881477">
            <w:pPr>
              <w:spacing w:line="240" w:lineRule="auto"/>
              <w:rPr>
                <w:rFonts w:ascii="Arial" w:hAnsi="Arial" w:cs="Arial"/>
                <w:sz w:val="16"/>
                <w:szCs w:val="16"/>
              </w:rPr>
            </w:pPr>
            <w:r w:rsidRPr="00E106BD">
              <w:rPr>
                <w:rFonts w:ascii="Arial" w:hAnsi="Arial" w:cs="Arial"/>
                <w:sz w:val="16"/>
                <w:szCs w:val="16"/>
              </w:rPr>
              <w:t>C5014</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15124D" w:rsidRDefault="00F05C1E" w:rsidP="00881477">
            <w:pPr>
              <w:spacing w:line="240" w:lineRule="auto"/>
              <w:rPr>
                <w:rFonts w:ascii="Arial" w:hAnsi="Arial" w:cs="Arial"/>
                <w:sz w:val="16"/>
                <w:szCs w:val="16"/>
              </w:rPr>
            </w:pPr>
            <w:r w:rsidRPr="00E106BD">
              <w:rPr>
                <w:rFonts w:ascii="Arial" w:hAnsi="Arial" w:cs="Arial"/>
                <w:sz w:val="16"/>
                <w:szCs w:val="16"/>
              </w:rPr>
              <w:t xml:space="preserve">HIV infection </w:t>
            </w:r>
            <w:r w:rsidRPr="00E106BD">
              <w:rPr>
                <w:rFonts w:ascii="Arial" w:hAnsi="Arial" w:cs="Arial"/>
                <w:sz w:val="16"/>
                <w:szCs w:val="16"/>
              </w:rPr>
              <w:br/>
              <w:t>The treatment must be in addition to optimised background therapy, AND</w:t>
            </w:r>
            <w:r w:rsidRPr="00E106BD">
              <w:rPr>
                <w:rFonts w:ascii="Arial" w:hAnsi="Arial" w:cs="Arial"/>
                <w:sz w:val="16"/>
                <w:szCs w:val="16"/>
              </w:rPr>
              <w:br/>
              <w:t>The treatment must be in combination with other antiretroviral agents, AND</w:t>
            </w:r>
            <w:r w:rsidRPr="00E106BD">
              <w:rPr>
                <w:rFonts w:ascii="Arial" w:hAnsi="Arial" w:cs="Arial"/>
                <w:sz w:val="16"/>
                <w:szCs w:val="16"/>
              </w:rPr>
              <w:br/>
              <w:t>Patient must be antiretroviral experienced, AND</w:t>
            </w:r>
            <w:r w:rsidRPr="00E106BD">
              <w:rPr>
                <w:rFonts w:ascii="Arial" w:hAnsi="Arial" w:cs="Arial"/>
                <w:sz w:val="16"/>
                <w:szCs w:val="16"/>
              </w:rPr>
              <w:br/>
              <w:t>Patient must have experienced virological failure or clinical failure or genotypic resistance after each of at least 3 different antiretroviral regimens that have included one drug from at least 3 different antiretroviral classes.</w:t>
            </w:r>
            <w:r w:rsidRPr="00E106BD">
              <w:rPr>
                <w:rFonts w:ascii="Arial" w:hAnsi="Arial" w:cs="Arial"/>
                <w:sz w:val="16"/>
                <w:szCs w:val="16"/>
              </w:rPr>
              <w:br/>
              <w:t>Virological failure is defined as a viral load greater than 400 copies per mL on two consecutive occasions, while clinical failure is linked to emerging signs and symptoms of progressing HIV infection or treatment</w:t>
            </w:r>
            <w:r>
              <w:rPr>
                <w:rFonts w:ascii="Arial" w:hAnsi="Arial" w:cs="Arial"/>
                <w:sz w:val="16"/>
                <w:szCs w:val="16"/>
              </w:rPr>
              <w:noBreakHyphen/>
            </w:r>
            <w:r w:rsidRPr="00E106BD">
              <w:rPr>
                <w:rFonts w:ascii="Arial" w:hAnsi="Arial" w:cs="Arial"/>
                <w:sz w:val="16"/>
                <w:szCs w:val="16"/>
              </w:rPr>
              <w:t>limiting toxicity.</w:t>
            </w:r>
          </w:p>
        </w:tc>
        <w:tc>
          <w:tcPr>
            <w:tcW w:w="2552" w:type="dxa"/>
            <w:tcBorders>
              <w:bottom w:val="single" w:sz="4" w:space="0" w:color="auto"/>
            </w:tcBorders>
            <w:tcMar>
              <w:top w:w="28" w:type="dxa"/>
              <w:left w:w="28" w:type="dxa"/>
              <w:right w:w="57" w:type="dxa"/>
            </w:tcMar>
          </w:tcPr>
          <w:p w:rsidR="00F05C1E" w:rsidRPr="00E106BD" w:rsidDel="0015124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5014</w:t>
            </w:r>
          </w:p>
        </w:tc>
      </w:tr>
      <w:tr w:rsidR="00F05C1E" w:rsidRPr="00E106BD" w:rsidDel="000B62DD" w:rsidTr="008929EB">
        <w:tc>
          <w:tcPr>
            <w:tcW w:w="1729" w:type="dxa"/>
            <w:tcMar>
              <w:top w:w="28" w:type="dxa"/>
              <w:left w:w="28" w:type="dxa"/>
            </w:tcMar>
          </w:tcPr>
          <w:p w:rsidR="00F05C1E" w:rsidRPr="00E106BD" w:rsidDel="000B62DD" w:rsidRDefault="00F05C1E" w:rsidP="00881477">
            <w:pPr>
              <w:spacing w:line="240" w:lineRule="auto"/>
              <w:rPr>
                <w:rFonts w:ascii="Arial" w:hAnsi="Arial" w:cs="Arial"/>
                <w:sz w:val="16"/>
                <w:szCs w:val="16"/>
              </w:rPr>
            </w:pPr>
            <w:bookmarkStart w:id="141" w:name="CU_170368457"/>
            <w:bookmarkEnd w:id="141"/>
            <w:r w:rsidRPr="00E106BD">
              <w:rPr>
                <w:rFonts w:ascii="Arial" w:hAnsi="Arial" w:cs="Arial"/>
                <w:sz w:val="16"/>
                <w:szCs w:val="16"/>
              </w:rPr>
              <w:t>Everolimus</w:t>
            </w:r>
          </w:p>
        </w:tc>
        <w:tc>
          <w:tcPr>
            <w:tcW w:w="709" w:type="dxa"/>
            <w:tcMar>
              <w:top w:w="28" w:type="dxa"/>
              <w:left w:w="28" w:type="dxa"/>
            </w:tcMar>
          </w:tcPr>
          <w:p w:rsidR="00F05C1E" w:rsidRPr="00E106BD" w:rsidDel="000B62DD" w:rsidRDefault="00F05C1E" w:rsidP="00881477">
            <w:pPr>
              <w:spacing w:line="240" w:lineRule="auto"/>
              <w:rPr>
                <w:rFonts w:ascii="Arial" w:hAnsi="Arial" w:cs="Arial"/>
                <w:sz w:val="16"/>
                <w:szCs w:val="16"/>
              </w:rPr>
            </w:pPr>
            <w:r w:rsidRPr="00E106BD">
              <w:rPr>
                <w:rFonts w:ascii="Arial" w:hAnsi="Arial" w:cs="Arial"/>
                <w:sz w:val="16"/>
                <w:szCs w:val="16"/>
              </w:rPr>
              <w:t>C5554</w:t>
            </w:r>
          </w:p>
        </w:tc>
        <w:tc>
          <w:tcPr>
            <w:tcW w:w="709" w:type="dxa"/>
            <w:tcMar>
              <w:top w:w="28" w:type="dxa"/>
              <w:left w:w="28" w:type="dxa"/>
            </w:tcMar>
          </w:tcPr>
          <w:p w:rsidR="00F05C1E" w:rsidRPr="00E106BD" w:rsidDel="000B62D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0B62DD" w:rsidRDefault="00F05C1E" w:rsidP="00881477">
            <w:pPr>
              <w:spacing w:line="240" w:lineRule="auto"/>
              <w:rPr>
                <w:rFonts w:ascii="Arial" w:hAnsi="Arial" w:cs="Arial"/>
                <w:sz w:val="16"/>
                <w:szCs w:val="16"/>
              </w:rPr>
            </w:pPr>
            <w:r w:rsidRPr="00E106BD">
              <w:rPr>
                <w:rFonts w:ascii="Arial" w:hAnsi="Arial" w:cs="Arial"/>
                <w:sz w:val="16"/>
                <w:szCs w:val="16"/>
              </w:rPr>
              <w:t>Management of cardiac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cardiac allograft rejection,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05C1E" w:rsidRPr="00E106BD" w:rsidDel="000B62D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5554</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r w:rsidRPr="00E106BD">
              <w:rPr>
                <w:rFonts w:ascii="Arial" w:hAnsi="Arial" w:cs="Arial"/>
                <w:sz w:val="16"/>
                <w:szCs w:val="16"/>
              </w:rPr>
              <w:t>C5795</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6B1D16" w:rsidRDefault="00F05C1E" w:rsidP="00881477">
            <w:pPr>
              <w:spacing w:line="240" w:lineRule="auto"/>
              <w:rPr>
                <w:rFonts w:ascii="Arial" w:hAnsi="Arial" w:cs="Arial"/>
                <w:sz w:val="16"/>
                <w:szCs w:val="16"/>
              </w:rPr>
            </w:pPr>
            <w:r w:rsidRPr="00E106BD">
              <w:rPr>
                <w:rFonts w:ascii="Arial" w:hAnsi="Arial" w:cs="Arial"/>
                <w:sz w:val="16"/>
                <w:szCs w:val="16"/>
              </w:rPr>
              <w:t>Management of renal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renal allograft rejection,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05C1E" w:rsidRPr="00E106BD" w:rsidDel="006B1D16"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5795</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C9691</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Management of renal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renal allograft rejection;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9691</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C9693</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Management of cardiac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cardiac allograft rejection;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9693</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r w:rsidRPr="00E106BD">
              <w:rPr>
                <w:rFonts w:ascii="Arial" w:hAnsi="Arial" w:cs="Arial"/>
                <w:sz w:val="16"/>
                <w:szCs w:val="16"/>
              </w:rPr>
              <w:t>Filgrastim</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C6621</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chronic neutropenia</w:t>
            </w:r>
            <w:r w:rsidRPr="00E106BD">
              <w:rPr>
                <w:rFonts w:ascii="Arial" w:hAnsi="Arial" w:cs="Arial"/>
                <w:sz w:val="16"/>
                <w:szCs w:val="16"/>
              </w:rPr>
              <w:br/>
              <w:t>Patient must have an absolute neutrophil count of less than 1,000 million cells per litre measured on 3 occasions, with readings at least 2 weeks apart; OR</w:t>
            </w:r>
            <w:r w:rsidRPr="00E106BD">
              <w:rPr>
                <w:rFonts w:ascii="Arial" w:hAnsi="Arial" w:cs="Arial"/>
                <w:sz w:val="16"/>
                <w:szCs w:val="16"/>
              </w:rPr>
              <w:br/>
              <w:t>Patient must have neutrophil dysfunction; AND</w:t>
            </w:r>
            <w:r w:rsidRPr="00E106BD">
              <w:rPr>
                <w:rFonts w:ascii="Arial" w:hAnsi="Arial" w:cs="Arial"/>
                <w:sz w:val="16"/>
                <w:szCs w:val="16"/>
              </w:rPr>
              <w:br/>
              <w:t>Patient must have experienced a life</w:t>
            </w:r>
            <w:r>
              <w:rPr>
                <w:rFonts w:ascii="Arial" w:hAnsi="Arial" w:cs="Arial"/>
                <w:sz w:val="16"/>
                <w:szCs w:val="16"/>
              </w:rPr>
              <w:noBreakHyphen/>
            </w:r>
            <w:r w:rsidRPr="00E106BD">
              <w:rPr>
                <w:rFonts w:ascii="Arial" w:hAnsi="Arial" w:cs="Arial"/>
                <w:sz w:val="16"/>
                <w:szCs w:val="16"/>
              </w:rPr>
              <w:t>threatening infectious episode requiring hospitalisation and treatment with intravenous antibiotics in the previous 12 months; OR</w:t>
            </w:r>
            <w:r w:rsidRPr="00E106BD">
              <w:rPr>
                <w:rFonts w:ascii="Arial" w:hAnsi="Arial" w:cs="Arial"/>
                <w:sz w:val="16"/>
                <w:szCs w:val="16"/>
              </w:rPr>
              <w:br/>
              <w:t>Patient must have had at least 3 recurrent clinically significant infections in the previous 12 months.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6621</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C6640</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cyclical neutropenia</w:t>
            </w:r>
            <w:r w:rsidRPr="00E106BD">
              <w:rPr>
                <w:rFonts w:ascii="Arial" w:hAnsi="Arial" w:cs="Arial"/>
                <w:sz w:val="16"/>
                <w:szCs w:val="16"/>
              </w:rPr>
              <w:br/>
              <w:t>Patient must have an absolute neutrophil count of less than 500 million cells per litre lasting for 3 days per cycle, measured over 3 separate cycles; AND</w:t>
            </w:r>
            <w:r w:rsidRPr="00E106BD">
              <w:rPr>
                <w:rFonts w:ascii="Arial" w:hAnsi="Arial" w:cs="Arial"/>
                <w:sz w:val="16"/>
                <w:szCs w:val="16"/>
              </w:rPr>
              <w:br/>
              <w:t>Patient must have experienced a life</w:t>
            </w:r>
            <w:r>
              <w:rPr>
                <w:rFonts w:ascii="Arial" w:hAnsi="Arial" w:cs="Arial"/>
                <w:sz w:val="16"/>
                <w:szCs w:val="16"/>
              </w:rPr>
              <w:noBreakHyphen/>
            </w:r>
            <w:r w:rsidRPr="00E106BD">
              <w:rPr>
                <w:rFonts w:ascii="Arial" w:hAnsi="Arial" w:cs="Arial"/>
                <w:sz w:val="16"/>
                <w:szCs w:val="16"/>
              </w:rPr>
              <w:t>threatening infectious episode requiring hospitalisation and treatment with intravenous antibiotics; OR</w:t>
            </w:r>
            <w:r w:rsidRPr="00E106BD">
              <w:rPr>
                <w:rFonts w:ascii="Arial" w:hAnsi="Arial" w:cs="Arial"/>
                <w:sz w:val="16"/>
                <w:szCs w:val="16"/>
              </w:rPr>
              <w:br/>
              <w:t>Patient must have had at least 3 recurrent clinically significant infections in the previous 12 months.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6640</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C6653</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Mobilisation of peripheral blood progenitor cells</w:t>
            </w:r>
            <w:r w:rsidRPr="00E106BD">
              <w:rPr>
                <w:rFonts w:ascii="Arial" w:hAnsi="Arial" w:cs="Arial"/>
                <w:sz w:val="16"/>
                <w:szCs w:val="16"/>
              </w:rPr>
              <w:br/>
              <w:t>The treatment must be to facilitate harvest of peripheral blood progenitor cells for autologous transplantation into a patient with a non</w:t>
            </w:r>
            <w:r>
              <w:rPr>
                <w:rFonts w:ascii="Arial" w:hAnsi="Arial" w:cs="Arial"/>
                <w:sz w:val="16"/>
                <w:szCs w:val="16"/>
              </w:rPr>
              <w:noBreakHyphen/>
            </w:r>
            <w:r w:rsidRPr="00E106BD">
              <w:rPr>
                <w:rFonts w:ascii="Arial" w:hAnsi="Arial" w:cs="Arial"/>
                <w:sz w:val="16"/>
                <w:szCs w:val="16"/>
              </w:rPr>
              <w:t>myeloid malignancy who has had myeloablative or myelosuppressive therapy.</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6653</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C6654</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Mobilisation of peripheral blood progenitor cells</w:t>
            </w:r>
            <w:r w:rsidRPr="00E106BD">
              <w:rPr>
                <w:rFonts w:ascii="Arial" w:hAnsi="Arial" w:cs="Arial"/>
                <w:sz w:val="16"/>
                <w:szCs w:val="16"/>
              </w:rPr>
              <w:br/>
              <w:t>The treatment must be in a normal volunteer for use in allogeneic transplantation.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6654</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C6655</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Assisting autologous peripheral blood progenitor cell transplantation</w:t>
            </w:r>
            <w:r w:rsidRPr="00E106BD">
              <w:rPr>
                <w:rFonts w:ascii="Arial" w:hAnsi="Arial" w:cs="Arial"/>
                <w:sz w:val="16"/>
                <w:szCs w:val="16"/>
              </w:rPr>
              <w:br/>
              <w:t>The treatment must be following marrow</w:t>
            </w:r>
            <w:r>
              <w:rPr>
                <w:rFonts w:ascii="Arial" w:hAnsi="Arial" w:cs="Arial"/>
                <w:sz w:val="16"/>
                <w:szCs w:val="16"/>
              </w:rPr>
              <w:noBreakHyphen/>
            </w:r>
            <w:r w:rsidRPr="00E106BD">
              <w:rPr>
                <w:rFonts w:ascii="Arial" w:hAnsi="Arial" w:cs="Arial"/>
                <w:sz w:val="16"/>
                <w:szCs w:val="16"/>
              </w:rPr>
              <w:t>ablative chemotherapy for non</w:t>
            </w:r>
            <w:r>
              <w:rPr>
                <w:rFonts w:ascii="Arial" w:hAnsi="Arial" w:cs="Arial"/>
                <w:sz w:val="16"/>
                <w:szCs w:val="16"/>
              </w:rPr>
              <w:noBreakHyphen/>
            </w:r>
            <w:r w:rsidRPr="00E106BD">
              <w:rPr>
                <w:rFonts w:ascii="Arial" w:hAnsi="Arial" w:cs="Arial"/>
                <w:sz w:val="16"/>
                <w:szCs w:val="16"/>
              </w:rPr>
              <w:t>myeloid malignancy prior to the transplantation.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6655</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C6679</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Assisting bone marrow transplantation</w:t>
            </w:r>
            <w:r w:rsidRPr="00E106BD">
              <w:rPr>
                <w:rFonts w:ascii="Arial" w:hAnsi="Arial" w:cs="Arial"/>
                <w:sz w:val="16"/>
                <w:szCs w:val="16"/>
              </w:rPr>
              <w:br/>
              <w:t>Patient must be receiving marrow</w:t>
            </w:r>
            <w:r>
              <w:rPr>
                <w:rFonts w:ascii="Arial" w:hAnsi="Arial" w:cs="Arial"/>
                <w:sz w:val="16"/>
                <w:szCs w:val="16"/>
              </w:rPr>
              <w:noBreakHyphen/>
            </w:r>
            <w:r w:rsidRPr="00E106BD">
              <w:rPr>
                <w:rFonts w:ascii="Arial" w:hAnsi="Arial" w:cs="Arial"/>
                <w:sz w:val="16"/>
                <w:szCs w:val="16"/>
              </w:rPr>
              <w:t>ablative chemotherapy prior to the transplantation.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6679</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C6680</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congenital neutropenia</w:t>
            </w:r>
            <w:r w:rsidRPr="00E106BD">
              <w:rPr>
                <w:rFonts w:ascii="Arial" w:hAnsi="Arial" w:cs="Arial"/>
                <w:sz w:val="16"/>
                <w:szCs w:val="16"/>
              </w:rPr>
              <w:br/>
              <w:t>Patient must have an absolute neutrophil count of less than 100 million cells per litre measured on 3 occasions, with readings at least 2 weeks apart; AND</w:t>
            </w:r>
            <w:r w:rsidRPr="00E106BD">
              <w:rPr>
                <w:rFonts w:ascii="Arial" w:hAnsi="Arial" w:cs="Arial"/>
                <w:sz w:val="16"/>
                <w:szCs w:val="16"/>
              </w:rPr>
              <w:br/>
              <w:t>Patient must have had a bone marrow examination that has shown evidence of maturational arrest of the neutrophil lineage.</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6680</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C7822</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rFonts w:ascii="Arial" w:hAnsi="Arial" w:cs="Arial"/>
                <w:sz w:val="16"/>
                <w:szCs w:val="16"/>
              </w:rPr>
              <w:br/>
              <w:t>Patient must be receiving chemotherapy with the intention of achieving a cure or a substantial remission; AND</w:t>
            </w:r>
            <w:r w:rsidRPr="00E106BD">
              <w:rPr>
                <w:rFonts w:ascii="Arial" w:hAnsi="Arial" w:cs="Arial"/>
                <w:sz w:val="16"/>
                <w:szCs w:val="16"/>
              </w:rPr>
              <w:br/>
              <w:t>Patient must be at greater than 20% risk of developing febrile neutropenia; OR</w:t>
            </w:r>
            <w:r w:rsidRPr="00E106BD">
              <w:rPr>
                <w:rFonts w:ascii="Arial" w:hAnsi="Arial" w:cs="Arial"/>
                <w:sz w:val="16"/>
                <w:szCs w:val="16"/>
              </w:rPr>
              <w:br/>
              <w:t>Patient must be at substantial risk (greater than 20%) of prolonged severe neutropenia for more than or equal to seven days.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7822</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C7843</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rFonts w:ascii="Arial" w:hAnsi="Arial" w:cs="Arial"/>
                <w:sz w:val="16"/>
                <w:szCs w:val="16"/>
              </w:rPr>
              <w:br/>
              <w:t>Patient must be receiving chemotherapy with the intention of achieving a cure or a substantial remission; AND</w:t>
            </w:r>
            <w:r w:rsidRPr="00E106BD">
              <w:rPr>
                <w:rFonts w:ascii="Arial" w:hAnsi="Arial" w:cs="Arial"/>
                <w:sz w:val="16"/>
                <w:szCs w:val="16"/>
              </w:rPr>
              <w:br/>
              <w:t>Patient must have had a prior episode of febrile neutropenia; OR</w:t>
            </w:r>
            <w:r w:rsidRPr="00E106BD">
              <w:rPr>
                <w:rFonts w:ascii="Arial" w:hAnsi="Arial" w:cs="Arial"/>
                <w:sz w:val="16"/>
                <w:szCs w:val="16"/>
              </w:rPr>
              <w:br/>
              <w:t>Patient must have had a prior episode of prolonged severe neutropenia for more than or equal to seven days.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7843</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C8667</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rFonts w:ascii="Arial" w:hAnsi="Arial" w:cs="Arial"/>
                <w:sz w:val="16"/>
                <w:szCs w:val="16"/>
              </w:rPr>
              <w:br/>
              <w:t>Patient must be receiving chemotherapy with the intention of achieving a cure or a substantial remission; AND</w:t>
            </w:r>
            <w:r w:rsidRPr="00E106BD">
              <w:rPr>
                <w:rFonts w:ascii="Arial" w:hAnsi="Arial" w:cs="Arial"/>
                <w:sz w:val="16"/>
                <w:szCs w:val="16"/>
              </w:rPr>
              <w:br/>
              <w:t>Patient must have had a prior episode of febrile neutropenia; OR</w:t>
            </w:r>
            <w:r w:rsidRPr="00E106BD">
              <w:rPr>
                <w:rFonts w:ascii="Arial" w:hAnsi="Arial" w:cs="Arial"/>
                <w:sz w:val="16"/>
                <w:szCs w:val="16"/>
              </w:rPr>
              <w:br/>
              <w:t>Patient must have had a prior episode of prolonged severe neutropenia for more than or equal to seven days.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8667</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C8668</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Mobilisation of peripheral blood progenitor cells</w:t>
            </w:r>
            <w:r w:rsidRPr="00E106BD">
              <w:rPr>
                <w:rFonts w:ascii="Arial" w:hAnsi="Arial" w:cs="Arial"/>
                <w:sz w:val="16"/>
                <w:szCs w:val="16"/>
              </w:rPr>
              <w:br/>
              <w:t>The treatment must be in a normal volunteer for use in allogeneic transplantation.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8668</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C8669</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congenital neutropenia</w:t>
            </w:r>
            <w:r w:rsidRPr="00E106BD">
              <w:rPr>
                <w:rFonts w:ascii="Arial" w:hAnsi="Arial" w:cs="Arial"/>
                <w:sz w:val="16"/>
                <w:szCs w:val="16"/>
              </w:rPr>
              <w:br/>
              <w:t>Patient must have an absolute neutrophil count of less than 100 million cells per litre measured on 3 occasions, with readings at least 2 weeks apart; AND</w:t>
            </w:r>
            <w:r w:rsidRPr="00E106BD">
              <w:rPr>
                <w:rFonts w:ascii="Arial" w:hAnsi="Arial" w:cs="Arial"/>
                <w:sz w:val="16"/>
                <w:szCs w:val="16"/>
              </w:rPr>
              <w:br/>
              <w:t>Patient must have had a bone marrow examination that has shown evidence of maturational arrest of the neutrophil lineage.</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8669</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C8670</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chronic neutropenia</w:t>
            </w:r>
            <w:r w:rsidRPr="00E106BD">
              <w:rPr>
                <w:rFonts w:ascii="Arial" w:hAnsi="Arial" w:cs="Arial"/>
                <w:sz w:val="16"/>
                <w:szCs w:val="16"/>
              </w:rPr>
              <w:br/>
              <w:t>Patient must have an absolute neutrophil count of less than 1,000 million cells per litre measured on 3 occasions, with readings at least 2 weeks apart; OR</w:t>
            </w:r>
            <w:r w:rsidRPr="00E106BD">
              <w:rPr>
                <w:rFonts w:ascii="Arial" w:hAnsi="Arial" w:cs="Arial"/>
                <w:sz w:val="16"/>
                <w:szCs w:val="16"/>
              </w:rPr>
              <w:br/>
              <w:t>Patient must have neutrophil dysfunction; AND</w:t>
            </w:r>
            <w:r w:rsidRPr="00E106BD">
              <w:rPr>
                <w:rFonts w:ascii="Arial" w:hAnsi="Arial" w:cs="Arial"/>
                <w:sz w:val="16"/>
                <w:szCs w:val="16"/>
              </w:rPr>
              <w:br/>
              <w:t>Patient must have experienced a life</w:t>
            </w:r>
            <w:r>
              <w:rPr>
                <w:rFonts w:ascii="Arial" w:hAnsi="Arial" w:cs="Arial"/>
                <w:sz w:val="16"/>
                <w:szCs w:val="16"/>
              </w:rPr>
              <w:noBreakHyphen/>
            </w:r>
            <w:r w:rsidRPr="00E106BD">
              <w:rPr>
                <w:rFonts w:ascii="Arial" w:hAnsi="Arial" w:cs="Arial"/>
                <w:sz w:val="16"/>
                <w:szCs w:val="16"/>
              </w:rPr>
              <w:t>threatening infectious episode requiring hospitalisation and treatment with intravenous antibiotics in the previous 12 months; OR</w:t>
            </w:r>
            <w:r w:rsidRPr="00E106BD">
              <w:rPr>
                <w:rFonts w:ascii="Arial" w:hAnsi="Arial" w:cs="Arial"/>
                <w:sz w:val="16"/>
                <w:szCs w:val="16"/>
              </w:rPr>
              <w:br/>
              <w:t>Patient must have had at least 3 recurrent clinically significant infections in the previous 12 months.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8670</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C8671</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Assisting bone marrow transplantation</w:t>
            </w:r>
            <w:r w:rsidRPr="00E106BD">
              <w:rPr>
                <w:rFonts w:ascii="Arial" w:hAnsi="Arial" w:cs="Arial"/>
                <w:sz w:val="16"/>
                <w:szCs w:val="16"/>
              </w:rPr>
              <w:br/>
              <w:t>Patient must be receiving marrow</w:t>
            </w:r>
            <w:r>
              <w:rPr>
                <w:rFonts w:ascii="Arial" w:hAnsi="Arial" w:cs="Arial"/>
                <w:sz w:val="16"/>
                <w:szCs w:val="16"/>
              </w:rPr>
              <w:noBreakHyphen/>
            </w:r>
            <w:r w:rsidRPr="00E106BD">
              <w:rPr>
                <w:rFonts w:ascii="Arial" w:hAnsi="Arial" w:cs="Arial"/>
                <w:sz w:val="16"/>
                <w:szCs w:val="16"/>
              </w:rPr>
              <w:t>ablative chemotherapy prior to the transplantation.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8671</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C8672</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Mobilisation of peripheral blood progenitor cells</w:t>
            </w:r>
            <w:r w:rsidRPr="00E106BD">
              <w:rPr>
                <w:rFonts w:ascii="Arial" w:hAnsi="Arial" w:cs="Arial"/>
                <w:sz w:val="16"/>
                <w:szCs w:val="16"/>
              </w:rPr>
              <w:br/>
              <w:t>The treatment must be to facilitate harvest of peripheral blood progenitor cells for autologous transplantation into a patient with a non</w:t>
            </w:r>
            <w:r>
              <w:rPr>
                <w:rFonts w:ascii="Arial" w:hAnsi="Arial" w:cs="Arial"/>
                <w:sz w:val="16"/>
                <w:szCs w:val="16"/>
              </w:rPr>
              <w:noBreakHyphen/>
            </w:r>
            <w:r w:rsidRPr="00E106BD">
              <w:rPr>
                <w:rFonts w:ascii="Arial" w:hAnsi="Arial" w:cs="Arial"/>
                <w:sz w:val="16"/>
                <w:szCs w:val="16"/>
              </w:rPr>
              <w:t>myeloid malignancy who has had myeloablative or myelosuppressive therapy.</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8672</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C8673</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cyclical neutropenia</w:t>
            </w:r>
            <w:r w:rsidRPr="00E106BD">
              <w:rPr>
                <w:rFonts w:ascii="Arial" w:hAnsi="Arial" w:cs="Arial"/>
                <w:sz w:val="16"/>
                <w:szCs w:val="16"/>
              </w:rPr>
              <w:br/>
              <w:t>Patient must have an absolute neutrophil count of less than 500 million cells per litre lasting for 3 days per cycle, measured over 3 separate cycles; AND</w:t>
            </w:r>
            <w:r w:rsidRPr="00E106BD">
              <w:rPr>
                <w:rFonts w:ascii="Arial" w:hAnsi="Arial" w:cs="Arial"/>
                <w:sz w:val="16"/>
                <w:szCs w:val="16"/>
              </w:rPr>
              <w:br/>
              <w:t>Patient must have experienced a life</w:t>
            </w:r>
            <w:r>
              <w:rPr>
                <w:rFonts w:ascii="Arial" w:hAnsi="Arial" w:cs="Arial"/>
                <w:sz w:val="16"/>
                <w:szCs w:val="16"/>
              </w:rPr>
              <w:noBreakHyphen/>
            </w:r>
            <w:r w:rsidRPr="00E106BD">
              <w:rPr>
                <w:rFonts w:ascii="Arial" w:hAnsi="Arial" w:cs="Arial"/>
                <w:sz w:val="16"/>
                <w:szCs w:val="16"/>
              </w:rPr>
              <w:t>threatening infectious episode requiring hospitalisation and treatment with intravenous antibiotics; OR</w:t>
            </w:r>
            <w:r w:rsidRPr="00E106BD">
              <w:rPr>
                <w:rFonts w:ascii="Arial" w:hAnsi="Arial" w:cs="Arial"/>
                <w:sz w:val="16"/>
                <w:szCs w:val="16"/>
              </w:rPr>
              <w:br/>
              <w:t>Patient must have had at least 3 recurrent clinically significant infections in the previous 12 months.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8673</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C8674</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rFonts w:ascii="Arial" w:hAnsi="Arial" w:cs="Arial"/>
                <w:sz w:val="16"/>
                <w:szCs w:val="16"/>
              </w:rPr>
              <w:br/>
              <w:t>Patient must be receiving chemotherapy with the intention of achieving a cure or a substantial remission; AND</w:t>
            </w:r>
            <w:r w:rsidRPr="00E106BD">
              <w:rPr>
                <w:rFonts w:ascii="Arial" w:hAnsi="Arial" w:cs="Arial"/>
                <w:sz w:val="16"/>
                <w:szCs w:val="16"/>
              </w:rPr>
              <w:br/>
              <w:t>Patient must be at greater than 20% risk of developing febrile neutropenia; OR</w:t>
            </w:r>
            <w:r w:rsidRPr="00E106BD">
              <w:rPr>
                <w:rFonts w:ascii="Arial" w:hAnsi="Arial" w:cs="Arial"/>
                <w:sz w:val="16"/>
                <w:szCs w:val="16"/>
              </w:rPr>
              <w:br/>
              <w:t>Patient must be at substantial risk (greater than 20%) of prolonged severe neutropenia for more than or equal to seven days.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8674</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C8696</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Assisting autologous peripheral blood progenitor cell transplantation</w:t>
            </w:r>
            <w:r w:rsidRPr="00E106BD">
              <w:rPr>
                <w:rFonts w:ascii="Arial" w:hAnsi="Arial" w:cs="Arial"/>
                <w:sz w:val="16"/>
                <w:szCs w:val="16"/>
              </w:rPr>
              <w:br/>
              <w:t>The treatment must be following marrow</w:t>
            </w:r>
            <w:r>
              <w:rPr>
                <w:rFonts w:ascii="Arial" w:hAnsi="Arial" w:cs="Arial"/>
                <w:sz w:val="16"/>
                <w:szCs w:val="16"/>
              </w:rPr>
              <w:noBreakHyphen/>
            </w:r>
            <w:r w:rsidRPr="00E106BD">
              <w:rPr>
                <w:rFonts w:ascii="Arial" w:hAnsi="Arial" w:cs="Arial"/>
                <w:sz w:val="16"/>
                <w:szCs w:val="16"/>
              </w:rPr>
              <w:t>ablative chemotherapy for non</w:t>
            </w:r>
            <w:r>
              <w:rPr>
                <w:rFonts w:ascii="Arial" w:hAnsi="Arial" w:cs="Arial"/>
                <w:sz w:val="16"/>
                <w:szCs w:val="16"/>
              </w:rPr>
              <w:noBreakHyphen/>
            </w:r>
            <w:r w:rsidRPr="00E106BD">
              <w:rPr>
                <w:rFonts w:ascii="Arial" w:hAnsi="Arial" w:cs="Arial"/>
                <w:sz w:val="16"/>
                <w:szCs w:val="16"/>
              </w:rPr>
              <w:t>myeloid malignancy prior to the transplantation.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8696</w:t>
            </w:r>
          </w:p>
        </w:tc>
      </w:tr>
      <w:tr w:rsidR="00F05C1E" w:rsidRPr="00E106BD" w:rsidDel="0015124D" w:rsidTr="008929EB">
        <w:tblPrEx>
          <w:tblLook w:val="01E0" w:firstRow="1" w:lastRow="1" w:firstColumn="1" w:lastColumn="1" w:noHBand="0" w:noVBand="0"/>
        </w:tblPrEx>
        <w:tc>
          <w:tcPr>
            <w:tcW w:w="1729" w:type="dxa"/>
            <w:tcMar>
              <w:top w:w="28" w:type="dxa"/>
              <w:left w:w="28" w:type="dxa"/>
            </w:tcMar>
          </w:tcPr>
          <w:p w:rsidR="00F05C1E" w:rsidRPr="00E106BD" w:rsidDel="0015124D" w:rsidRDefault="00F05C1E" w:rsidP="00881477">
            <w:pPr>
              <w:spacing w:line="240" w:lineRule="auto"/>
              <w:rPr>
                <w:rFonts w:ascii="Arial" w:hAnsi="Arial" w:cs="Arial"/>
                <w:sz w:val="16"/>
                <w:szCs w:val="16"/>
              </w:rPr>
            </w:pPr>
            <w:bookmarkStart w:id="142" w:name="CU_178371207"/>
            <w:bookmarkStart w:id="143" w:name="CU_185374818"/>
            <w:bookmarkStart w:id="144" w:name="CU_193377275"/>
            <w:bookmarkStart w:id="145" w:name="CU_200380240"/>
            <w:bookmarkStart w:id="146" w:name="CU_206383840"/>
            <w:bookmarkStart w:id="147" w:name="CU_213386914"/>
            <w:bookmarkStart w:id="148" w:name="CU_219389013"/>
            <w:bookmarkEnd w:id="142"/>
            <w:bookmarkEnd w:id="143"/>
            <w:bookmarkEnd w:id="144"/>
            <w:bookmarkEnd w:id="145"/>
            <w:bookmarkEnd w:id="146"/>
            <w:bookmarkEnd w:id="147"/>
            <w:bookmarkEnd w:id="148"/>
            <w:r w:rsidRPr="00E106BD">
              <w:rPr>
                <w:rFonts w:ascii="Arial" w:hAnsi="Arial" w:cs="Arial"/>
                <w:sz w:val="16"/>
                <w:szCs w:val="16"/>
              </w:rPr>
              <w:t>Fosamprenavir</w:t>
            </w:r>
          </w:p>
        </w:tc>
        <w:tc>
          <w:tcPr>
            <w:tcW w:w="709" w:type="dxa"/>
            <w:tcMar>
              <w:top w:w="28" w:type="dxa"/>
              <w:left w:w="28" w:type="dxa"/>
            </w:tcMar>
          </w:tcPr>
          <w:p w:rsidR="00F05C1E" w:rsidRPr="00E106BD" w:rsidDel="0015124D" w:rsidRDefault="00F05C1E" w:rsidP="00881477">
            <w:pPr>
              <w:spacing w:line="240" w:lineRule="auto"/>
              <w:rPr>
                <w:rFonts w:ascii="Arial" w:hAnsi="Arial" w:cs="Arial"/>
                <w:sz w:val="16"/>
                <w:szCs w:val="16"/>
              </w:rPr>
            </w:pPr>
            <w:r w:rsidRPr="00E106BD">
              <w:rPr>
                <w:rFonts w:ascii="Arial" w:hAnsi="Arial" w:cs="Arial"/>
                <w:sz w:val="16"/>
                <w:szCs w:val="16"/>
              </w:rPr>
              <w:t>C4454</w:t>
            </w:r>
          </w:p>
        </w:tc>
        <w:tc>
          <w:tcPr>
            <w:tcW w:w="709" w:type="dxa"/>
            <w:tcMar>
              <w:top w:w="28" w:type="dxa"/>
              <w:left w:w="28" w:type="dxa"/>
            </w:tcMar>
          </w:tcPr>
          <w:p w:rsidR="00F05C1E" w:rsidRPr="00E106BD" w:rsidDel="0015124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E106BD" w:rsidRDefault="00F05C1E" w:rsidP="00881477">
            <w:pPr>
              <w:pStyle w:val="mps3-data"/>
              <w:spacing w:before="0"/>
              <w:rPr>
                <w:szCs w:val="16"/>
              </w:rPr>
            </w:pPr>
            <w:r w:rsidRPr="00E106BD">
              <w:rPr>
                <w:szCs w:val="16"/>
              </w:rPr>
              <w:t>HIV infection</w:t>
            </w:r>
            <w:r w:rsidRPr="00E106BD">
              <w:rPr>
                <w:szCs w:val="16"/>
              </w:rPr>
              <w:br/>
              <w:t>Continuing</w:t>
            </w:r>
          </w:p>
          <w:p w:rsidR="00F05C1E" w:rsidRPr="00E106BD" w:rsidDel="0015124D" w:rsidRDefault="00F05C1E"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tcMar>
              <w:top w:w="28" w:type="dxa"/>
              <w:left w:w="28" w:type="dxa"/>
              <w:right w:w="57" w:type="dxa"/>
            </w:tcMar>
          </w:tcPr>
          <w:p w:rsidR="00F05C1E" w:rsidRPr="00E106BD" w:rsidDel="0015124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05C1E" w:rsidRPr="00E106BD" w:rsidDel="0015124D" w:rsidTr="008929EB">
        <w:tblPrEx>
          <w:tblLook w:val="01E0" w:firstRow="1" w:lastRow="1" w:firstColumn="1" w:lastColumn="1" w:noHBand="0" w:noVBand="0"/>
        </w:tblPrEx>
        <w:tc>
          <w:tcPr>
            <w:tcW w:w="1729" w:type="dxa"/>
            <w:tcMar>
              <w:top w:w="28" w:type="dxa"/>
              <w:left w:w="28" w:type="dxa"/>
            </w:tcMar>
          </w:tcPr>
          <w:p w:rsidR="00F05C1E" w:rsidRPr="00E106BD" w:rsidDel="0015124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15124D" w:rsidRDefault="00F05C1E" w:rsidP="00881477">
            <w:pPr>
              <w:spacing w:line="240" w:lineRule="auto"/>
              <w:rPr>
                <w:rFonts w:ascii="Arial" w:hAnsi="Arial" w:cs="Arial"/>
                <w:sz w:val="16"/>
                <w:szCs w:val="16"/>
              </w:rPr>
            </w:pPr>
            <w:r w:rsidRPr="00E106BD">
              <w:rPr>
                <w:rFonts w:ascii="Arial" w:hAnsi="Arial" w:cs="Arial"/>
                <w:sz w:val="16"/>
                <w:szCs w:val="16"/>
              </w:rPr>
              <w:t>C4512</w:t>
            </w:r>
          </w:p>
        </w:tc>
        <w:tc>
          <w:tcPr>
            <w:tcW w:w="709" w:type="dxa"/>
            <w:tcMar>
              <w:top w:w="28" w:type="dxa"/>
              <w:left w:w="28" w:type="dxa"/>
            </w:tcMar>
          </w:tcPr>
          <w:p w:rsidR="00F05C1E" w:rsidRPr="00E106BD" w:rsidDel="0015124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F05C1E" w:rsidRPr="00E106BD" w:rsidDel="0015124D" w:rsidRDefault="00F05C1E"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tcMar>
              <w:top w:w="28" w:type="dxa"/>
              <w:left w:w="28" w:type="dxa"/>
              <w:right w:w="57" w:type="dxa"/>
            </w:tcMar>
          </w:tcPr>
          <w:p w:rsidR="00F05C1E" w:rsidRPr="00E106BD" w:rsidDel="0015124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bookmarkStart w:id="149" w:name="CU_226391096"/>
            <w:bookmarkEnd w:id="149"/>
            <w:r w:rsidRPr="00E106BD">
              <w:rPr>
                <w:rFonts w:ascii="Arial" w:hAnsi="Arial" w:cs="Arial"/>
                <w:sz w:val="16"/>
                <w:szCs w:val="16"/>
              </w:rPr>
              <w:t>Ganciclovir</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C4972</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Cytomegalovirus disease</w:t>
            </w:r>
            <w:r w:rsidRPr="00E106BD">
              <w:rPr>
                <w:rFonts w:ascii="Arial" w:hAnsi="Arial" w:cs="Arial"/>
                <w:sz w:val="16"/>
                <w:szCs w:val="16"/>
              </w:rPr>
              <w:br/>
              <w:t>Prophylaxis</w:t>
            </w:r>
            <w:r w:rsidRPr="00E106BD">
              <w:rPr>
                <w:rFonts w:ascii="Arial" w:hAnsi="Arial" w:cs="Arial"/>
                <w:sz w:val="16"/>
                <w:szCs w:val="16"/>
              </w:rPr>
              <w:br/>
              <w:t>Patient must be a bone marrow transplant recipient at risk of cytomegalovirus disease.</w:t>
            </w:r>
          </w:p>
        </w:tc>
        <w:tc>
          <w:tcPr>
            <w:tcW w:w="2552" w:type="dxa"/>
            <w:tcMar>
              <w:top w:w="28" w:type="dxa"/>
              <w:left w:w="28" w:type="dxa"/>
              <w:right w:w="57" w:type="dxa"/>
            </w:tcMar>
            <w:vAlign w:val="center"/>
          </w:tcPr>
          <w:p w:rsidR="00F05C1E" w:rsidRPr="00E106BD" w:rsidDel="00024299" w:rsidRDefault="00F05C1E" w:rsidP="008454B6">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4972</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C4999</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654" w:type="dxa"/>
            <w:tcMar>
              <w:top w:w="28" w:type="dxa"/>
              <w:left w:w="28" w:type="dxa"/>
            </w:tcMar>
            <w:vAlign w:val="cente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Cytomegalovirus disease</w:t>
            </w:r>
            <w:r w:rsidRPr="00E106BD">
              <w:rPr>
                <w:rFonts w:ascii="Arial" w:hAnsi="Arial" w:cs="Arial"/>
                <w:sz w:val="16"/>
                <w:szCs w:val="16"/>
              </w:rPr>
              <w:br/>
              <w:t>Prophylaxis</w:t>
            </w:r>
            <w:r w:rsidRPr="00E106BD">
              <w:rPr>
                <w:rFonts w:ascii="Arial" w:hAnsi="Arial" w:cs="Arial"/>
                <w:sz w:val="16"/>
                <w:szCs w:val="16"/>
              </w:rPr>
              <w:br/>
              <w:t>Patient must be a solid organ transplant recipient at risk of cytomegalovirus disease.</w:t>
            </w:r>
          </w:p>
        </w:tc>
        <w:tc>
          <w:tcPr>
            <w:tcW w:w="2552" w:type="dxa"/>
            <w:tcMar>
              <w:top w:w="28" w:type="dxa"/>
              <w:left w:w="28" w:type="dxa"/>
              <w:right w:w="57" w:type="dxa"/>
            </w:tcMar>
            <w:vAlign w:val="center"/>
          </w:tcPr>
          <w:p w:rsidR="00F05C1E" w:rsidRPr="00E106BD" w:rsidDel="00024299"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4999</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C5000</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Cytomegalovirus retinitis</w:t>
            </w:r>
            <w:r w:rsidRPr="00E106BD">
              <w:rPr>
                <w:rFonts w:ascii="Arial" w:hAnsi="Arial" w:cs="Arial"/>
                <w:sz w:val="16"/>
                <w:szCs w:val="16"/>
              </w:rPr>
              <w:br/>
              <w:t>Patient must be severely immunocompromised, including due to HIV infection.</w:t>
            </w:r>
          </w:p>
        </w:tc>
        <w:tc>
          <w:tcPr>
            <w:tcW w:w="2552" w:type="dxa"/>
            <w:tcMar>
              <w:top w:w="28" w:type="dxa"/>
              <w:left w:w="28" w:type="dxa"/>
              <w:right w:w="57" w:type="dxa"/>
            </w:tcMar>
          </w:tcPr>
          <w:p w:rsidR="00F05C1E" w:rsidRPr="00E106BD" w:rsidDel="00024299"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5000</w:t>
            </w:r>
          </w:p>
        </w:tc>
      </w:tr>
      <w:tr w:rsidR="00F05C1E" w:rsidRPr="00E106BD" w:rsidDel="00AF5F81" w:rsidTr="008929EB">
        <w:tc>
          <w:tcPr>
            <w:tcW w:w="1729" w:type="dxa"/>
            <w:tcMar>
              <w:top w:w="28" w:type="dxa"/>
              <w:left w:w="28" w:type="dxa"/>
            </w:tcMar>
          </w:tcPr>
          <w:p w:rsidR="00F05C1E" w:rsidRPr="00E106BD" w:rsidDel="00AF5F81"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AF5F81" w:rsidRDefault="00F05C1E" w:rsidP="00881477">
            <w:pPr>
              <w:spacing w:line="240" w:lineRule="auto"/>
              <w:rPr>
                <w:rFonts w:ascii="Arial" w:hAnsi="Arial" w:cs="Arial"/>
                <w:sz w:val="16"/>
                <w:szCs w:val="16"/>
              </w:rPr>
            </w:pPr>
            <w:r w:rsidRPr="00E106BD">
              <w:rPr>
                <w:rFonts w:ascii="Arial" w:hAnsi="Arial" w:cs="Arial"/>
                <w:sz w:val="16"/>
                <w:szCs w:val="16"/>
              </w:rPr>
              <w:t>C9404</w:t>
            </w:r>
          </w:p>
        </w:tc>
        <w:tc>
          <w:tcPr>
            <w:tcW w:w="709" w:type="dxa"/>
            <w:tcMar>
              <w:top w:w="28" w:type="dxa"/>
              <w:left w:w="28" w:type="dxa"/>
            </w:tcMar>
          </w:tcPr>
          <w:p w:rsidR="00F05C1E" w:rsidRPr="00E106BD" w:rsidDel="00AF5F81"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AF5F81" w:rsidRDefault="00F05C1E" w:rsidP="00881477">
            <w:pPr>
              <w:spacing w:line="240" w:lineRule="auto"/>
              <w:rPr>
                <w:rFonts w:ascii="Arial" w:hAnsi="Arial" w:cs="Arial"/>
                <w:sz w:val="16"/>
                <w:szCs w:val="16"/>
              </w:rPr>
            </w:pPr>
            <w:r w:rsidRPr="00E106BD">
              <w:rPr>
                <w:rFonts w:ascii="Arial" w:hAnsi="Arial" w:cs="Arial"/>
                <w:sz w:val="16"/>
                <w:szCs w:val="16"/>
              </w:rPr>
              <w:t>Cytomegalovirus disease</w:t>
            </w:r>
            <w:r w:rsidRPr="00E106BD">
              <w:rPr>
                <w:rFonts w:ascii="Arial" w:hAnsi="Arial" w:cs="Arial"/>
                <w:sz w:val="16"/>
                <w:szCs w:val="16"/>
              </w:rPr>
              <w:br/>
              <w:t>Prophylaxis</w:t>
            </w:r>
            <w:r w:rsidRPr="00E106BD">
              <w:rPr>
                <w:rFonts w:ascii="Arial" w:hAnsi="Arial" w:cs="Arial"/>
                <w:sz w:val="16"/>
                <w:szCs w:val="16"/>
              </w:rPr>
              <w:br/>
              <w:t>Patient must be a bone marrow transplant recipient at risk of cytomegalovirus disease.</w:t>
            </w:r>
          </w:p>
        </w:tc>
        <w:tc>
          <w:tcPr>
            <w:tcW w:w="2552" w:type="dxa"/>
            <w:tcMar>
              <w:top w:w="28" w:type="dxa"/>
              <w:left w:w="28" w:type="dxa"/>
              <w:right w:w="57" w:type="dxa"/>
            </w:tcMar>
          </w:tcPr>
          <w:p w:rsidR="00F05C1E" w:rsidRPr="00E106BD" w:rsidDel="00AF5F81"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9404</w:t>
            </w:r>
          </w:p>
        </w:tc>
      </w:tr>
      <w:tr w:rsidR="00F05C1E" w:rsidRPr="00E106BD" w:rsidDel="00AF5F81" w:rsidTr="008929EB">
        <w:tc>
          <w:tcPr>
            <w:tcW w:w="1729" w:type="dxa"/>
            <w:tcMar>
              <w:top w:w="28" w:type="dxa"/>
              <w:left w:w="28" w:type="dxa"/>
            </w:tcMar>
          </w:tcPr>
          <w:p w:rsidR="00F05C1E" w:rsidRPr="00E106BD" w:rsidDel="00AF5F81"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AF5F81" w:rsidRDefault="00F05C1E" w:rsidP="00881477">
            <w:pPr>
              <w:spacing w:line="240" w:lineRule="auto"/>
              <w:rPr>
                <w:rFonts w:ascii="Arial" w:hAnsi="Arial" w:cs="Arial"/>
                <w:sz w:val="16"/>
                <w:szCs w:val="16"/>
              </w:rPr>
            </w:pPr>
            <w:r w:rsidRPr="00E106BD">
              <w:rPr>
                <w:rFonts w:ascii="Arial" w:hAnsi="Arial" w:cs="Arial"/>
                <w:sz w:val="16"/>
                <w:szCs w:val="16"/>
              </w:rPr>
              <w:t>C9526</w:t>
            </w:r>
          </w:p>
        </w:tc>
        <w:tc>
          <w:tcPr>
            <w:tcW w:w="709" w:type="dxa"/>
            <w:tcMar>
              <w:top w:w="28" w:type="dxa"/>
              <w:left w:w="28" w:type="dxa"/>
            </w:tcMar>
          </w:tcPr>
          <w:p w:rsidR="00F05C1E" w:rsidRPr="00E106BD" w:rsidDel="00AF5F81"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AF5F81" w:rsidRDefault="00F05C1E" w:rsidP="00881477">
            <w:pPr>
              <w:spacing w:line="240" w:lineRule="auto"/>
              <w:rPr>
                <w:rFonts w:ascii="Arial" w:hAnsi="Arial" w:cs="Arial"/>
                <w:sz w:val="16"/>
                <w:szCs w:val="16"/>
              </w:rPr>
            </w:pPr>
            <w:r w:rsidRPr="00E106BD">
              <w:rPr>
                <w:rFonts w:ascii="Arial" w:hAnsi="Arial" w:cs="Arial"/>
                <w:sz w:val="16"/>
                <w:szCs w:val="16"/>
              </w:rPr>
              <w:t>Cytomegalovirus disease</w:t>
            </w:r>
            <w:r w:rsidRPr="00E106BD">
              <w:rPr>
                <w:rFonts w:ascii="Arial" w:hAnsi="Arial" w:cs="Arial"/>
                <w:sz w:val="16"/>
                <w:szCs w:val="16"/>
              </w:rPr>
              <w:br/>
              <w:t>Prophylaxis</w:t>
            </w:r>
            <w:r w:rsidRPr="00E106BD">
              <w:rPr>
                <w:rFonts w:ascii="Arial" w:hAnsi="Arial" w:cs="Arial"/>
                <w:sz w:val="16"/>
                <w:szCs w:val="16"/>
              </w:rPr>
              <w:br/>
              <w:t>Patient must be a solid organ transplant recipient at risk of cytomegalovirus disease.</w:t>
            </w:r>
          </w:p>
        </w:tc>
        <w:tc>
          <w:tcPr>
            <w:tcW w:w="2552" w:type="dxa"/>
            <w:tcMar>
              <w:top w:w="28" w:type="dxa"/>
              <w:left w:w="28" w:type="dxa"/>
              <w:right w:w="57" w:type="dxa"/>
            </w:tcMar>
          </w:tcPr>
          <w:p w:rsidR="00F05C1E" w:rsidRPr="00E106BD" w:rsidDel="00AF5F81"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9526</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Glecaprevir with pibrentasvir</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C7593</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P7593</w:t>
            </w:r>
          </w:p>
        </w:tc>
        <w:tc>
          <w:tcPr>
            <w:tcW w:w="7654" w:type="dxa"/>
            <w:tcMar>
              <w:top w:w="28" w:type="dxa"/>
              <w:left w:w="28" w:type="dxa"/>
            </w:tcMar>
          </w:tcPr>
          <w:p w:rsidR="00F05C1E" w:rsidRPr="00E106BD" w:rsidRDefault="00F05C1E"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Chronic hepatitis C infection</w:t>
            </w:r>
          </w:p>
          <w:p w:rsidR="00F05C1E" w:rsidRPr="00E106BD" w:rsidRDefault="00F05C1E" w:rsidP="00881477">
            <w:pPr>
              <w:spacing w:line="240" w:lineRule="auto"/>
              <w:rPr>
                <w:rFonts w:ascii="Arial" w:hAnsi="Arial" w:cs="Arial"/>
                <w:sz w:val="16"/>
                <w:szCs w:val="16"/>
              </w:rPr>
            </w:pPr>
            <w:r w:rsidRPr="00E106BD">
              <w:rPr>
                <w:rFonts w:ascii="Arial" w:eastAsia="Times New Roman" w:hAnsi="Arial" w:cs="Arial"/>
                <w:sz w:val="16"/>
                <w:szCs w:val="16"/>
              </w:rPr>
              <w:t>Patient must meet the criteria set out in the General Statement for Drugs for the Treatment of Hepatitis C; AND</w:t>
            </w:r>
            <w:r w:rsidRPr="00E106BD">
              <w:rPr>
                <w:rFonts w:ascii="Arial" w:eastAsia="Times New Roman"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Times New Roman" w:hAnsi="Arial" w:cs="Arial"/>
                <w:sz w:val="16"/>
                <w:szCs w:val="16"/>
              </w:rPr>
              <w:br/>
              <w:t>The treatment must be limited to a maximum duration of 8 weeks.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C7615</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P7615</w:t>
            </w:r>
          </w:p>
        </w:tc>
        <w:tc>
          <w:tcPr>
            <w:tcW w:w="7654" w:type="dxa"/>
            <w:tcMar>
              <w:top w:w="28" w:type="dxa"/>
              <w:left w:w="28" w:type="dxa"/>
            </w:tcMar>
          </w:tcPr>
          <w:p w:rsidR="00F05C1E" w:rsidRPr="00E106BD" w:rsidRDefault="00F05C1E"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Chronic hepatitis C infection</w:t>
            </w:r>
          </w:p>
          <w:p w:rsidR="00F05C1E" w:rsidRPr="00E106BD" w:rsidRDefault="00F05C1E" w:rsidP="00881477">
            <w:pPr>
              <w:spacing w:line="240" w:lineRule="auto"/>
              <w:rPr>
                <w:rFonts w:ascii="Arial" w:hAnsi="Arial" w:cs="Arial"/>
                <w:sz w:val="16"/>
                <w:szCs w:val="16"/>
              </w:rPr>
            </w:pPr>
            <w:r w:rsidRPr="00E106BD">
              <w:rPr>
                <w:rFonts w:ascii="Arial" w:eastAsia="Times New Roman" w:hAnsi="Arial" w:cs="Arial"/>
                <w:sz w:val="16"/>
                <w:szCs w:val="16"/>
              </w:rPr>
              <w:t>Patient must meet the criteria set out in the General Statement for Drugs for the Treatment of Hepatitis C; AND</w:t>
            </w:r>
            <w:r w:rsidRPr="00E106BD">
              <w:rPr>
                <w:rFonts w:ascii="Arial" w:eastAsia="Times New Roman"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Times New Roman" w:hAnsi="Arial" w:cs="Arial"/>
                <w:sz w:val="16"/>
                <w:szCs w:val="16"/>
              </w:rPr>
              <w:br/>
              <w:t>The treatment must be limited to a maximum duration of 12 weeks.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C10268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P10268</w:t>
            </w:r>
          </w:p>
        </w:tc>
        <w:tc>
          <w:tcPr>
            <w:tcW w:w="7654" w:type="dxa"/>
            <w:tcMar>
              <w:top w:w="28" w:type="dxa"/>
              <w:left w:w="28" w:type="dxa"/>
            </w:tcMar>
          </w:tcPr>
          <w:p w:rsidR="00F05C1E" w:rsidRPr="00E106BD" w:rsidRDefault="00F05C1E" w:rsidP="00881477">
            <w:pPr>
              <w:spacing w:after="60" w:line="240" w:lineRule="auto"/>
              <w:rPr>
                <w:rFonts w:ascii="Arial" w:eastAsia="Times New Roman" w:hAnsi="Arial" w:cs="Arial"/>
                <w:sz w:val="16"/>
                <w:szCs w:val="16"/>
              </w:rPr>
            </w:pPr>
            <w:r w:rsidRPr="00E106BD">
              <w:rPr>
                <w:rFonts w:ascii="Arial" w:hAnsi="Arial" w:cs="Arial"/>
                <w:sz w:val="16"/>
                <w:szCs w:val="16"/>
              </w:rPr>
              <w:t>Chronic hepatitis C infection</w:t>
            </w:r>
            <w:r w:rsidRPr="00E106BD">
              <w:rPr>
                <w:rFonts w:ascii="Arial" w:hAnsi="Arial" w:cs="Arial"/>
                <w:sz w:val="16"/>
                <w:szCs w:val="16"/>
              </w:rPr>
              <w:br/>
              <w:t>Patient must meet the criteria set out in the General Statement for Drugs for the Treatment of Hepatitis C; AND</w:t>
            </w:r>
            <w:r w:rsidRPr="00E106BD">
              <w:rPr>
                <w:rFonts w:ascii="Arial"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hAnsi="Arial" w:cs="Arial"/>
                <w:sz w:val="16"/>
                <w:szCs w:val="16"/>
              </w:rPr>
              <w:br/>
              <w:t>The treatment must be limited to a maximum duration of 16 weeks.</w:t>
            </w:r>
            <w:r w:rsidRPr="00E106BD">
              <w:rPr>
                <w:rFonts w:ascii="Arial" w:hAnsi="Arial" w:cs="Arial"/>
                <w:sz w:val="16"/>
                <w:szCs w:val="16"/>
              </w:rPr>
              <w:br/>
              <w:t>The application must include details of the prior treatment regimen containing an NS5A inhibitor.</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eastAsia="Arial" w:hAnsi="Arial" w:cs="Arial"/>
                <w:sz w:val="16"/>
                <w:szCs w:val="16"/>
                <w:lang w:eastAsia="zh-CN"/>
              </w:rPr>
              <w:t>Compliance with Authority Required procedures</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Grazoprevir with elbasvir</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C5969</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P5969</w:t>
            </w: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hepatitis C infection</w:t>
            </w:r>
          </w:p>
          <w:p w:rsidR="00F05C1E" w:rsidRPr="00E106BD" w:rsidRDefault="00F05C1E" w:rsidP="00881477">
            <w:pPr>
              <w:pStyle w:val="mps3-data"/>
              <w:rPr>
                <w:b/>
                <w:szCs w:val="16"/>
              </w:rPr>
            </w:pPr>
            <w:r w:rsidRPr="00E106BD">
              <w:rPr>
                <w:szCs w:val="16"/>
              </w:rPr>
              <w:t>Patient must meet the criteria set out in the General Statement for Drugs for the Treatment of Hepatitis C; AND</w:t>
            </w:r>
          </w:p>
          <w:p w:rsidR="00F05C1E" w:rsidRPr="00E106BD" w:rsidRDefault="00F05C1E" w:rsidP="00881477">
            <w:pPr>
              <w:pStyle w:val="mps3-data"/>
              <w:rPr>
                <w:b/>
                <w:szCs w:val="16"/>
              </w:rPr>
            </w:pPr>
            <w:r w:rsidRPr="00E106BD">
              <w:rPr>
                <w:szCs w:val="16"/>
              </w:rPr>
              <w:t>Patient must be taking this drug as part of a regimen set out in the matrix in the General Statement for Drugs for the Treatment of Hepatitis C, based on the hepatitis C virus genotype, patient treatment history and cirrhotic status;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limited to a maximum duration of 12 weeks.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C6625</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P6625</w:t>
            </w: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hepatitis C infection</w:t>
            </w:r>
          </w:p>
          <w:p w:rsidR="00F05C1E" w:rsidRPr="00E106BD" w:rsidRDefault="00F05C1E" w:rsidP="00881477">
            <w:pPr>
              <w:pStyle w:val="mps3-data"/>
              <w:rPr>
                <w:szCs w:val="16"/>
              </w:rPr>
            </w:pPr>
            <w:r w:rsidRPr="00E106BD">
              <w:rPr>
                <w:szCs w:val="16"/>
              </w:rPr>
              <w:t>Patient must meet the criteria set out in the General Statement for Drugs for the Treatment of Hepatitis C; AND</w:t>
            </w:r>
          </w:p>
          <w:p w:rsidR="00F05C1E" w:rsidRPr="00E106BD" w:rsidRDefault="00F05C1E" w:rsidP="00881477">
            <w:pPr>
              <w:pStyle w:val="mps3-data"/>
              <w:rPr>
                <w:szCs w:val="16"/>
              </w:rPr>
            </w:pPr>
            <w:r w:rsidRPr="00E106BD">
              <w:rPr>
                <w:szCs w:val="16"/>
              </w:rPr>
              <w:t>Patient must be taking this drug as part of a regimen set out in the matrix in the General Statement for Drugs for the Treatment of Hepatitis C, based on the hepatitis C virus genotype, patient treatment history and cirrhotic status;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limited to a maximum duration of 16 weeks.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rPr>
          <w:cantSplit/>
        </w:trPr>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bookmarkStart w:id="150" w:name="CU_233392834"/>
            <w:bookmarkEnd w:id="150"/>
            <w:r w:rsidRPr="00E106BD">
              <w:rPr>
                <w:rFonts w:ascii="Arial" w:hAnsi="Arial" w:cs="Arial"/>
                <w:sz w:val="16"/>
                <w:szCs w:val="16"/>
              </w:rPr>
              <w:t>Ibandronic acid</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C5291</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Bone metastases</w:t>
            </w:r>
            <w:r w:rsidRPr="00E106BD">
              <w:rPr>
                <w:rFonts w:ascii="Arial" w:hAnsi="Arial" w:cs="Arial"/>
                <w:sz w:val="16"/>
                <w:szCs w:val="16"/>
              </w:rPr>
              <w:br/>
              <w:t>The condition must be due to breast cancer.</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5291</w:t>
            </w:r>
          </w:p>
        </w:tc>
      </w:tr>
      <w:tr w:rsidR="00F05C1E" w:rsidRPr="00E106BD" w:rsidTr="008929EB">
        <w:trPr>
          <w:cantSplit/>
        </w:trPr>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C9333</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Bone metastases</w:t>
            </w:r>
            <w:r w:rsidRPr="00E106BD">
              <w:rPr>
                <w:szCs w:val="16"/>
              </w:rPr>
              <w:br/>
            </w:r>
            <w:r w:rsidRPr="00E106BD">
              <w:rPr>
                <w:rFonts w:ascii="Arial" w:hAnsi="Arial" w:cs="Arial"/>
                <w:sz w:val="16"/>
                <w:szCs w:val="16"/>
              </w:rPr>
              <w:t>The condition must be due to breast cancer.</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9333</w:t>
            </w:r>
          </w:p>
        </w:tc>
      </w:tr>
      <w:tr w:rsidR="00F05C1E" w:rsidRPr="00E106BD" w:rsidTr="008929EB">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eastAsia="SimSun" w:hAnsi="Arial" w:cs="Arial"/>
                <w:sz w:val="16"/>
                <w:szCs w:val="16"/>
                <w:lang w:eastAsia="zh-CN"/>
              </w:rPr>
              <w:t>Iloprost</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C10228</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Continuing treatment</w:t>
            </w:r>
            <w:r w:rsidRPr="003A13C5">
              <w:rPr>
                <w:rFonts w:ascii="Arial" w:hAnsi="Arial" w:cs="Arial"/>
                <w:sz w:val="16"/>
                <w:szCs w:val="16"/>
              </w:rPr>
              <w:br/>
              <w:t>Patient must have received their most recent course of PBS-subsidised treatment with this PAH agent for this condition;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sidR="00A653CA">
              <w:rPr>
                <w:rFonts w:ascii="Arial" w:hAnsi="Arial" w:cs="Arial"/>
                <w:sz w:val="16"/>
                <w:szCs w:val="16"/>
              </w:rPr>
              <w:t>‘</w:t>
            </w:r>
            <w:r w:rsidRPr="003A13C5">
              <w:rPr>
                <w:rFonts w:ascii="Arial" w:hAnsi="Arial" w:cs="Arial"/>
                <w:sz w:val="16"/>
                <w:szCs w:val="16"/>
              </w:rPr>
              <w:t>PAH agents</w:t>
            </w:r>
            <w:r w:rsidR="00A653CA">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F05C1E" w:rsidRPr="00E106BD" w:rsidTr="008929EB">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C10229</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2 (change)</w:t>
            </w:r>
            <w:r w:rsidRPr="003A13C5">
              <w:rPr>
                <w:rFonts w:ascii="Arial" w:hAnsi="Arial" w:cs="Arial"/>
                <w:sz w:val="16"/>
                <w:szCs w:val="16"/>
              </w:rPr>
              <w:br/>
              <w:t>Patient must have documented WHO Functional Class III PAH or WHO Functional Class IV PAH; AND</w:t>
            </w:r>
            <w:r w:rsidRPr="003A13C5">
              <w:rPr>
                <w:rFonts w:ascii="Arial" w:hAnsi="Arial" w:cs="Arial"/>
                <w:sz w:val="16"/>
                <w:szCs w:val="16"/>
              </w:rPr>
              <w:br/>
              <w:t>Patient must have had their most recent course of PBS-subsidised treatment for this condition with a PAH agent other than this agent;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sidR="00A653CA">
              <w:rPr>
                <w:rFonts w:ascii="Arial" w:hAnsi="Arial" w:cs="Arial"/>
                <w:sz w:val="16"/>
                <w:szCs w:val="16"/>
              </w:rPr>
              <w:t>‘</w:t>
            </w:r>
            <w:r w:rsidRPr="003A13C5">
              <w:rPr>
                <w:rFonts w:ascii="Arial" w:hAnsi="Arial" w:cs="Arial"/>
                <w:sz w:val="16"/>
                <w:szCs w:val="16"/>
              </w:rPr>
              <w:t>PAH agents</w:t>
            </w:r>
            <w:r w:rsidR="00A653CA">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sidR="00A653CA">
              <w:rPr>
                <w:rFonts w:ascii="Arial" w:hAnsi="Arial" w:cs="Arial"/>
                <w:sz w:val="16"/>
                <w:szCs w:val="16"/>
              </w:rPr>
              <w:t>’</w:t>
            </w:r>
            <w:r w:rsidRPr="003A13C5">
              <w:rPr>
                <w:rFonts w:ascii="Arial" w:hAnsi="Arial" w:cs="Arial"/>
                <w:sz w:val="16"/>
                <w:szCs w:val="16"/>
              </w:rPr>
              <w:t>s restriction, irrespective of the severity of their disease at the time the application to swap therapy is submitted.</w:t>
            </w:r>
            <w:r w:rsidRPr="003A13C5">
              <w:rPr>
                <w:rFonts w:ascii="Arial" w:hAnsi="Arial" w:cs="Arial"/>
                <w:sz w:val="16"/>
                <w:szCs w:val="16"/>
              </w:rPr>
              <w:br/>
              <w:t>Applications to swap between the 8 PAH agents must be made under the relevant initial treatment (monotherapy) restriction.</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F05C1E" w:rsidRPr="00E106BD" w:rsidTr="008929EB">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C10284</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1 (new patients)</w:t>
            </w:r>
            <w:r w:rsidRPr="003A13C5">
              <w:rPr>
                <w:rFonts w:ascii="Arial" w:hAnsi="Arial" w:cs="Arial"/>
                <w:sz w:val="16"/>
                <w:szCs w:val="16"/>
              </w:rPr>
              <w:br/>
              <w:t>Patient must not have received prior PBS-subsidised treatment with a pulmonary arterial hypertension (PAH) agent; AND</w:t>
            </w:r>
            <w:r w:rsidRPr="003A13C5">
              <w:rPr>
                <w:rFonts w:ascii="Arial" w:hAnsi="Arial" w:cs="Arial"/>
                <w:sz w:val="16"/>
                <w:szCs w:val="16"/>
              </w:rPr>
              <w:br/>
              <w:t>Patient must have been assessed by a physician with expertise in the management of PAH; AND</w:t>
            </w:r>
            <w:r w:rsidRPr="003A13C5">
              <w:rPr>
                <w:rFonts w:ascii="Arial" w:hAnsi="Arial" w:cs="Arial"/>
                <w:sz w:val="16"/>
                <w:szCs w:val="16"/>
              </w:rPr>
              <w:br/>
              <w:t>Patient must have WHO Functional Class III drug and toxins induced PAH, or WHO Functional Class IV PAH;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sidR="00A653CA">
              <w:rPr>
                <w:rFonts w:ascii="Arial" w:hAnsi="Arial" w:cs="Arial"/>
                <w:sz w:val="16"/>
                <w:szCs w:val="16"/>
              </w:rPr>
              <w:t>‘</w:t>
            </w:r>
            <w:r w:rsidRPr="003A13C5">
              <w:rPr>
                <w:rFonts w:ascii="Arial" w:hAnsi="Arial" w:cs="Arial"/>
                <w:sz w:val="16"/>
                <w:szCs w:val="16"/>
              </w:rPr>
              <w:t>PAH agents</w:t>
            </w:r>
            <w:r w:rsidR="00A653CA">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PAH (WHO Group 1 pulmonary hypertension) is defined as follows:</w:t>
            </w:r>
            <w:r w:rsidRPr="003A13C5">
              <w:rPr>
                <w:rFonts w:ascii="Arial" w:hAnsi="Arial" w:cs="Arial"/>
                <w:sz w:val="16"/>
                <w:szCs w:val="16"/>
              </w:rPr>
              <w:br/>
              <w:t>(i) mean pulmonary artery pressure (mPAP) greater than or equal to 25 mmHg at rest and pulmonary artery wedge pressure (PAWP) less than or equal to 15 mmHg; or</w:t>
            </w:r>
            <w:r w:rsidRPr="003A13C5">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3A13C5">
              <w:rPr>
                <w:rFonts w:ascii="Arial" w:hAnsi="Arial" w:cs="Arial"/>
                <w:sz w:val="16"/>
                <w:szCs w:val="16"/>
              </w:rPr>
              <w:br/>
              <w:t>Applications for authorisation must be in writing and must include:</w:t>
            </w:r>
            <w:r w:rsidRPr="003A13C5">
              <w:rPr>
                <w:rFonts w:ascii="Arial" w:hAnsi="Arial" w:cs="Arial"/>
                <w:sz w:val="16"/>
                <w:szCs w:val="16"/>
              </w:rPr>
              <w:br/>
              <w:t>(1) a completed authority prescription form; and</w:t>
            </w:r>
            <w:r w:rsidRPr="003A13C5">
              <w:rPr>
                <w:rFonts w:ascii="Arial" w:hAnsi="Arial" w:cs="Arial"/>
                <w:sz w:val="16"/>
                <w:szCs w:val="16"/>
              </w:rPr>
              <w:br/>
              <w:t>(2) a completed Pulmonary Arterial Hypertension PBS Authority Application - Supporting Information form which includes results from the three tests below, where available:</w:t>
            </w:r>
            <w:r w:rsidRPr="003A13C5">
              <w:rPr>
                <w:rFonts w:ascii="Arial" w:hAnsi="Arial" w:cs="Arial"/>
                <w:sz w:val="16"/>
                <w:szCs w:val="16"/>
              </w:rPr>
              <w:br/>
              <w:t>(i) RHC composite assessment; and</w:t>
            </w:r>
            <w:r w:rsidRPr="003A13C5">
              <w:rPr>
                <w:rFonts w:ascii="Arial" w:hAnsi="Arial" w:cs="Arial"/>
                <w:sz w:val="16"/>
                <w:szCs w:val="16"/>
              </w:rPr>
              <w:br/>
              <w:t>(ii) ECHO composite assessment; and</w:t>
            </w:r>
            <w:r w:rsidRPr="003A13C5">
              <w:rPr>
                <w:rFonts w:ascii="Arial" w:hAnsi="Arial" w:cs="Arial"/>
                <w:sz w:val="16"/>
                <w:szCs w:val="16"/>
              </w:rPr>
              <w:br/>
              <w:t>(iii) 6 Minute Walk Test (6MWT).</w:t>
            </w:r>
            <w:r w:rsidRPr="003A13C5">
              <w:rPr>
                <w:rFonts w:ascii="Arial"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3A13C5">
              <w:rPr>
                <w:rFonts w:ascii="Arial" w:hAnsi="Arial" w:cs="Arial"/>
                <w:sz w:val="16"/>
                <w:szCs w:val="16"/>
              </w:rPr>
              <w:br/>
              <w:t>(1) RHC plus ECHO composite assessments;</w:t>
            </w:r>
            <w:r w:rsidRPr="003A13C5">
              <w:rPr>
                <w:rFonts w:ascii="Arial" w:hAnsi="Arial" w:cs="Arial"/>
                <w:sz w:val="16"/>
                <w:szCs w:val="16"/>
              </w:rPr>
              <w:br/>
              <w:t>(2) RHC composite assessment plus 6MWT;</w:t>
            </w:r>
            <w:r w:rsidRPr="003A13C5">
              <w:rPr>
                <w:rFonts w:ascii="Arial" w:hAnsi="Arial" w:cs="Arial"/>
                <w:sz w:val="16"/>
                <w:szCs w:val="16"/>
              </w:rPr>
              <w:br/>
              <w:t>(3) RHC composite assessment only.</w:t>
            </w:r>
            <w:r w:rsidRPr="003A13C5">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hAnsi="Arial" w:cs="Arial"/>
                <w:sz w:val="16"/>
                <w:szCs w:val="16"/>
              </w:rPr>
              <w:br/>
              <w:t>(1) ECHO composite assessment plus 6MWT;</w:t>
            </w:r>
            <w:r w:rsidRPr="003A13C5">
              <w:rPr>
                <w:rFonts w:ascii="Arial" w:hAnsi="Arial" w:cs="Arial"/>
                <w:sz w:val="16"/>
                <w:szCs w:val="16"/>
              </w:rPr>
              <w:br/>
              <w:t>(2) ECHO composite assessment only.</w:t>
            </w:r>
            <w:r w:rsidRPr="003A13C5">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3A13C5">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3A13C5">
              <w:rPr>
                <w:rFonts w:ascii="Arial" w:hAnsi="Arial" w:cs="Arial"/>
                <w:sz w:val="16"/>
                <w:szCs w:val="16"/>
              </w:rPr>
              <w:br/>
              <w:t>The test results provided must not be more than 2 months old at the time of application.</w:t>
            </w:r>
            <w:r w:rsidRPr="003A13C5">
              <w:rPr>
                <w:rFonts w:ascii="Arial" w:hAnsi="Arial" w:cs="Arial"/>
                <w:sz w:val="16"/>
                <w:szCs w:val="16"/>
              </w:rPr>
              <w:br/>
              <w:t>The maximum quantity authorised will be limited to provide sufficient supply for 1 month of treatment, based on the dosage recommendations in the Therapeutic Goods Administration (TGA) 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3A13C5">
              <w:rPr>
                <w:rFonts w:ascii="Arial" w:hAnsi="Arial" w:cs="Arial"/>
                <w:sz w:val="16"/>
                <w:szCs w:val="16"/>
              </w:rPr>
              <w:t>Compliance with Written Authority Required procedures</w:t>
            </w:r>
          </w:p>
        </w:tc>
      </w:tr>
      <w:tr w:rsidR="00F05C1E" w:rsidRPr="00E106BD" w:rsidTr="008929EB">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bookmarkStart w:id="151" w:name="CU_240414482"/>
            <w:bookmarkStart w:id="152" w:name="CU_242415121"/>
            <w:bookmarkStart w:id="153" w:name="CU_243415454"/>
            <w:bookmarkStart w:id="154" w:name="CU_244420048"/>
            <w:bookmarkStart w:id="155" w:name="CU_246431254"/>
            <w:bookmarkStart w:id="156" w:name="CU_247434319"/>
            <w:bookmarkStart w:id="157" w:name="CU_248438750"/>
            <w:bookmarkStart w:id="158" w:name="CU_249441341"/>
            <w:bookmarkStart w:id="159" w:name="CU_250446197"/>
            <w:bookmarkStart w:id="160" w:name="CU_253456017"/>
            <w:bookmarkStart w:id="161" w:name="CU_254459330"/>
            <w:bookmarkStart w:id="162" w:name="CU_255461978"/>
            <w:bookmarkStart w:id="163" w:name="CU_271514967"/>
            <w:bookmarkStart w:id="164" w:name="CU_272518116"/>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E106BD">
              <w:rPr>
                <w:rFonts w:ascii="Arial" w:hAnsi="Arial" w:cs="Arial"/>
                <w:sz w:val="16"/>
                <w:szCs w:val="16"/>
              </w:rPr>
              <w:t>Infliximab</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C4524</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Acute severe ulcerative colitis</w:t>
            </w:r>
            <w:r w:rsidRPr="00E106BD">
              <w:rPr>
                <w:szCs w:val="16"/>
              </w:rPr>
              <w:br/>
            </w:r>
            <w:r w:rsidRPr="00E106BD">
              <w:rPr>
                <w:rFonts w:ascii="Arial" w:hAnsi="Arial" w:cs="Arial"/>
                <w:sz w:val="16"/>
                <w:szCs w:val="16"/>
              </w:rPr>
              <w:t>Must be treated by a gastroenterologist; OR</w:t>
            </w:r>
            <w:r w:rsidRPr="00E106BD">
              <w:rPr>
                <w:szCs w:val="16"/>
              </w:rPr>
              <w:br/>
            </w:r>
            <w:r w:rsidRPr="00E106BD">
              <w:rPr>
                <w:rFonts w:ascii="Arial" w:hAnsi="Arial" w:cs="Arial"/>
                <w:sz w:val="16"/>
                <w:szCs w:val="16"/>
              </w:rPr>
              <w:t>Must be treated by a consultant physician [internal medicine specialising in gastroenterology, or general medicine specialising in gastroenterology].</w:t>
            </w:r>
            <w:r w:rsidRPr="00E106BD">
              <w:rPr>
                <w:szCs w:val="16"/>
              </w:rPr>
              <w:br/>
            </w:r>
            <w:r w:rsidRPr="00E106BD">
              <w:rPr>
                <w:rFonts w:ascii="Arial" w:hAnsi="Arial" w:cs="Arial"/>
                <w:sz w:val="16"/>
                <w:szCs w:val="16"/>
              </w:rPr>
              <w:t>Patient must have received an infusion of infliximab for the treatment of this condition as a hospital inpatient no more than two weeks prior to the date of the authority application; AND</w:t>
            </w:r>
            <w:r w:rsidRPr="00E106BD">
              <w:rPr>
                <w:szCs w:val="16"/>
              </w:rPr>
              <w:br/>
            </w:r>
            <w:r w:rsidRPr="00E106BD">
              <w:rPr>
                <w:rFonts w:ascii="Arial" w:hAnsi="Arial" w:cs="Arial"/>
                <w:sz w:val="16"/>
                <w:szCs w:val="16"/>
              </w:rPr>
              <w:t>Patient must be an adult aged 18 years or older, and prior to initiation of infliximab treatment in hospital must have been experiencing six or more bloody stools per day, plus at least one of the following: (i) Temperature greater than 37.8 degrees Celsius; (ii) Pulse rate greater than 90 beats per minute; (iii) Haemoglobin less than 105 g/L; (iv) Erythrocyte sedimentation rate greater than 30 mm/h; OR</w:t>
            </w:r>
            <w:r w:rsidRPr="00E106BD">
              <w:rPr>
                <w:szCs w:val="16"/>
              </w:rPr>
              <w:br/>
            </w:r>
            <w:r w:rsidRPr="00E106BD">
              <w:rPr>
                <w:rFonts w:ascii="Arial" w:hAnsi="Arial" w:cs="Arial"/>
                <w:sz w:val="16"/>
                <w:szCs w:val="16"/>
              </w:rPr>
              <w:t>Patient must be a child aged 6 to 17 years inclusive, and prior to initiation of infliximab treatment in hospital must have had a Paediatric Ulcerative Colitis Activity Index (PUCAI) greater than or equal to 65, with the diagnosis confirmed by a gastroenterologist, or a consultant physician as specified below; AND</w:t>
            </w:r>
            <w:r w:rsidRPr="00E106BD">
              <w:rPr>
                <w:szCs w:val="16"/>
              </w:rPr>
              <w:br/>
            </w:r>
            <w:r w:rsidRPr="00E106BD">
              <w:rPr>
                <w:rFonts w:ascii="Arial" w:hAnsi="Arial" w:cs="Arial"/>
                <w:sz w:val="16"/>
                <w:szCs w:val="16"/>
              </w:rPr>
              <w:t>Patient must have failed to achieve an adequate response to at least 72 hours treatment with intravenous corticosteroids prior to initiation of infliximab treatment in hospital.</w:t>
            </w:r>
            <w:r w:rsidRPr="00E106BD">
              <w:rPr>
                <w:szCs w:val="16"/>
              </w:rPr>
              <w:br/>
            </w:r>
            <w:r w:rsidRPr="00E106BD">
              <w:rPr>
                <w:rFonts w:ascii="Arial" w:hAnsi="Arial" w:cs="Arial"/>
                <w:sz w:val="16"/>
                <w:szCs w:val="16"/>
              </w:rPr>
              <w:t>Patient must be 6 years of age or older.</w:t>
            </w:r>
            <w:r w:rsidRPr="00E106BD">
              <w:rPr>
                <w:szCs w:val="16"/>
              </w:rPr>
              <w:br/>
            </w:r>
            <w:r w:rsidRPr="00E106BD">
              <w:rPr>
                <w:rFonts w:ascii="Arial" w:hAnsi="Arial" w:cs="Arial"/>
                <w:sz w:val="16"/>
                <w:szCs w:val="16"/>
              </w:rPr>
              <w:t>For adults aged 18 years or older, failure to achieve an adequate response to intravenous corticosteroid treatment is defined by the Oxford criteria where:</w:t>
            </w:r>
            <w:r w:rsidRPr="00E106BD">
              <w:rPr>
                <w:szCs w:val="16"/>
              </w:rPr>
              <w:br/>
            </w:r>
            <w:r w:rsidRPr="00E106BD">
              <w:rPr>
                <w:rFonts w:ascii="Arial" w:hAnsi="Arial" w:cs="Arial"/>
                <w:sz w:val="16"/>
                <w:szCs w:val="16"/>
              </w:rPr>
              <w:t>(i) If assessed on day 3, patients pass 8 or more stools per day or 3 or more stools per day with a C</w:t>
            </w:r>
            <w:r>
              <w:rPr>
                <w:rFonts w:ascii="Arial" w:hAnsi="Arial" w:cs="Arial"/>
                <w:sz w:val="16"/>
                <w:szCs w:val="16"/>
              </w:rPr>
              <w:noBreakHyphen/>
            </w:r>
            <w:r w:rsidRPr="00E106BD">
              <w:rPr>
                <w:rFonts w:ascii="Arial" w:hAnsi="Arial" w:cs="Arial"/>
                <w:sz w:val="16"/>
                <w:szCs w:val="16"/>
              </w:rPr>
              <w:t>reactive protein (CRP) greater than 45 mg/L</w:t>
            </w:r>
            <w:r w:rsidRPr="00E106BD">
              <w:rPr>
                <w:szCs w:val="16"/>
              </w:rPr>
              <w:br/>
            </w:r>
            <w:r w:rsidRPr="00E106BD">
              <w:rPr>
                <w:rFonts w:ascii="Arial" w:hAnsi="Arial" w:cs="Arial"/>
                <w:sz w:val="16"/>
                <w:szCs w:val="16"/>
              </w:rPr>
              <w:t>(ii) If assessed on day 7, patients pass 3 or more stools per day with visible blood.</w:t>
            </w:r>
            <w:r w:rsidRPr="00E106BD">
              <w:rPr>
                <w:szCs w:val="16"/>
              </w:rPr>
              <w:br/>
            </w:r>
            <w:r w:rsidRPr="00E106BD">
              <w:rPr>
                <w:rFonts w:ascii="Arial" w:hAnsi="Arial" w:cs="Arial"/>
                <w:sz w:val="16"/>
                <w:szCs w:val="16"/>
              </w:rPr>
              <w:t>For children aged 6 to 17 years, failure to achieve an adequate response to intravenous corticosteroids means a PUCAI score greater than 45 at 72 hours.</w:t>
            </w:r>
            <w:r w:rsidRPr="00E106BD">
              <w:rPr>
                <w:szCs w:val="16"/>
              </w:rPr>
              <w:br/>
            </w:r>
            <w:r w:rsidRPr="00E106BD">
              <w:rPr>
                <w:rFonts w:ascii="Arial" w:hAnsi="Arial" w:cs="Arial"/>
                <w:sz w:val="16"/>
                <w:szCs w:val="16"/>
              </w:rPr>
              <w:t>At the time of authority application, prescribers should request the appropriate number of vials, based on the weight of the patient, to provide sufficient for a single infusion at a dose of 5 mg per kg.</w:t>
            </w:r>
            <w:r w:rsidRPr="00E106BD">
              <w:rPr>
                <w:szCs w:val="16"/>
              </w:rPr>
              <w:br/>
            </w:r>
            <w:r w:rsidRPr="00E106BD">
              <w:rPr>
                <w:rFonts w:ascii="Arial" w:hAnsi="Arial" w:cs="Arial"/>
                <w:sz w:val="16"/>
                <w:szCs w:val="16"/>
              </w:rPr>
              <w:t>Before administering infliximab to a child aged 6 to 17 years, the treating clinician must have consulted with a paediatric gastroenterologist or with an institution experienced in performance of paediatric colectomy. The name of the specialist or institution must be included in the patient</w:t>
            </w:r>
            <w:r w:rsidR="00A653CA">
              <w:rPr>
                <w:rFonts w:ascii="Arial" w:hAnsi="Arial" w:cs="Arial"/>
                <w:sz w:val="16"/>
                <w:szCs w:val="16"/>
              </w:rPr>
              <w:t>’</w:t>
            </w:r>
            <w:r w:rsidRPr="00E106BD">
              <w:rPr>
                <w:rFonts w:ascii="Arial" w:hAnsi="Arial" w:cs="Arial"/>
                <w:sz w:val="16"/>
                <w:szCs w:val="16"/>
              </w:rPr>
              <w:t>s medical records.</w:t>
            </w:r>
            <w:r w:rsidRPr="00E106BD">
              <w:rPr>
                <w:szCs w:val="16"/>
              </w:rPr>
              <w:br/>
            </w:r>
            <w:r w:rsidRPr="00E106BD">
              <w:rPr>
                <w:rFonts w:ascii="Arial" w:hAnsi="Arial" w:cs="Arial"/>
                <w:sz w:val="16"/>
                <w:szCs w:val="16"/>
              </w:rPr>
              <w:t>Evidence that the patient meets the PBS restriction criteria must be recorded in the patient</w:t>
            </w:r>
            <w:r w:rsidR="00A653CA">
              <w:rPr>
                <w:rFonts w:ascii="Arial" w:hAnsi="Arial" w:cs="Arial"/>
                <w:sz w:val="16"/>
                <w:szCs w:val="16"/>
              </w:rPr>
              <w:t>’</w:t>
            </w:r>
            <w:r w:rsidRPr="00E106BD">
              <w:rPr>
                <w:rFonts w:ascii="Arial" w:hAnsi="Arial" w:cs="Arial"/>
                <w:sz w:val="16"/>
                <w:szCs w:val="16"/>
              </w:rPr>
              <w:t>s medical records.</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AF6118">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4524</w:t>
            </w:r>
          </w:p>
        </w:tc>
      </w:tr>
      <w:tr w:rsidR="00F05C1E" w:rsidRPr="00E106BD" w:rsidDel="0038228E" w:rsidTr="008929EB">
        <w:tc>
          <w:tcPr>
            <w:tcW w:w="1729" w:type="dxa"/>
            <w:tcMar>
              <w:top w:w="28" w:type="dxa"/>
              <w:left w:w="28" w:type="dxa"/>
            </w:tcMar>
          </w:tcPr>
          <w:p w:rsidR="00F05C1E" w:rsidRPr="00E106BD" w:rsidRDefault="00F05C1E" w:rsidP="00881477">
            <w:pPr>
              <w:spacing w:line="200" w:lineRule="atLeast"/>
              <w:rPr>
                <w:rFonts w:ascii="Arial" w:eastAsia="SimSun" w:hAnsi="Arial" w:cs="Arial"/>
                <w:sz w:val="16"/>
                <w:szCs w:val="16"/>
                <w:lang w:eastAsia="zh-CN"/>
              </w:rPr>
            </w:pPr>
            <w:bookmarkStart w:id="165" w:name="CU_273520816"/>
            <w:bookmarkStart w:id="166" w:name="CU_274523482"/>
            <w:bookmarkStart w:id="167" w:name="CU_275526211"/>
            <w:bookmarkStart w:id="168" w:name="CU_277531800"/>
            <w:bookmarkStart w:id="169" w:name="CU_278532492"/>
            <w:bookmarkStart w:id="170" w:name="CU_280538892"/>
            <w:bookmarkStart w:id="171" w:name="CU_281539974"/>
            <w:bookmarkStart w:id="172" w:name="CU_283548563"/>
            <w:bookmarkStart w:id="173" w:name="CU_285554312"/>
            <w:bookmarkStart w:id="174" w:name="CU_286554938"/>
            <w:bookmarkStart w:id="175" w:name="CU_292566018"/>
            <w:bookmarkEnd w:id="165"/>
            <w:bookmarkEnd w:id="166"/>
            <w:bookmarkEnd w:id="167"/>
            <w:bookmarkEnd w:id="168"/>
            <w:bookmarkEnd w:id="169"/>
            <w:bookmarkEnd w:id="170"/>
            <w:bookmarkEnd w:id="171"/>
            <w:bookmarkEnd w:id="172"/>
            <w:bookmarkEnd w:id="173"/>
            <w:bookmarkEnd w:id="174"/>
            <w:bookmarkEnd w:id="175"/>
          </w:p>
        </w:tc>
        <w:tc>
          <w:tcPr>
            <w:tcW w:w="709" w:type="dxa"/>
            <w:tcMar>
              <w:top w:w="28" w:type="dxa"/>
              <w:left w:w="28" w:type="dxa"/>
            </w:tcMar>
          </w:tcPr>
          <w:p w:rsidR="00F05C1E" w:rsidRPr="00E106BD" w:rsidRDefault="00F05C1E" w:rsidP="00881477">
            <w:pPr>
              <w:spacing w:line="200" w:lineRule="atLeast"/>
              <w:rPr>
                <w:rFonts w:ascii="Arial" w:hAnsi="Arial" w:cs="Arial"/>
                <w:sz w:val="16"/>
                <w:szCs w:val="16"/>
              </w:rPr>
            </w:pPr>
            <w:r w:rsidRPr="00E106BD">
              <w:rPr>
                <w:rFonts w:ascii="Arial" w:hAnsi="Arial" w:cs="Arial"/>
                <w:sz w:val="16"/>
                <w:szCs w:val="16"/>
              </w:rPr>
              <w:t>C7777</w:t>
            </w:r>
          </w:p>
        </w:tc>
        <w:tc>
          <w:tcPr>
            <w:tcW w:w="709" w:type="dxa"/>
            <w:tcMar>
              <w:top w:w="28" w:type="dxa"/>
              <w:left w:w="28" w:type="dxa"/>
            </w:tcMar>
          </w:tcPr>
          <w:p w:rsidR="00F05C1E" w:rsidRPr="00E106BD" w:rsidDel="00E03489" w:rsidRDefault="00F05C1E" w:rsidP="00881477">
            <w:pPr>
              <w:spacing w:line="200" w:lineRule="atLeast"/>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Complex refractory Fistulising Crohn disease</w:t>
            </w:r>
          </w:p>
          <w:p w:rsidR="00F05C1E" w:rsidRPr="00E106BD" w:rsidRDefault="00F05C1E"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Balance of supply</w:t>
            </w:r>
          </w:p>
          <w:p w:rsidR="00F05C1E" w:rsidRPr="00E106BD" w:rsidRDefault="00F05C1E" w:rsidP="00881477">
            <w:pPr>
              <w:pStyle w:val="mps3-data"/>
              <w:spacing w:before="0"/>
              <w:rPr>
                <w:szCs w:val="16"/>
              </w:rPr>
            </w:pPr>
            <w:r w:rsidRPr="00E106BD">
              <w:rPr>
                <w:rFonts w:eastAsia="Times New Roman"/>
                <w:szCs w:val="16"/>
                <w:lang w:eastAsia="en-US"/>
              </w:rPr>
              <w:t>Must be treated by a gastroenterologist (code 87); OR</w:t>
            </w:r>
            <w:r w:rsidRPr="00E106BD">
              <w:rPr>
                <w:rFonts w:eastAsia="Times New Roman"/>
                <w:szCs w:val="16"/>
                <w:lang w:eastAsia="en-US"/>
              </w:rPr>
              <w:br/>
              <w:t>Must be treated by a consultant physician [internal medicine specialising in gastroenterology (code 81)]; OR</w:t>
            </w:r>
            <w:r w:rsidRPr="00E106BD">
              <w:rPr>
                <w:rFonts w:eastAsia="Times New Roman"/>
                <w:szCs w:val="16"/>
                <w:lang w:eastAsia="en-US"/>
              </w:rPr>
              <w:br/>
              <w:t>Must be treated by a consultant physician [general medicine specialising in gastroenterology (code 82)].</w:t>
            </w:r>
            <w:r w:rsidRPr="00E106BD">
              <w:rPr>
                <w:rFonts w:eastAsia="Times New Roman"/>
                <w:szCs w:val="16"/>
                <w:lang w:eastAsia="en-US"/>
              </w:rPr>
              <w:br/>
              <w:t xml:space="preserve">Patient must have received insufficient therapy with this drug for this condition under the Initial treatment (new patient or Recommencement of treatment after more than 5 years break in therapy </w:t>
            </w:r>
            <w:r>
              <w:rPr>
                <w:rFonts w:eastAsia="Times New Roman"/>
                <w:szCs w:val="16"/>
                <w:lang w:eastAsia="en-US"/>
              </w:rPr>
              <w:noBreakHyphen/>
            </w:r>
            <w:r w:rsidRPr="00E106BD">
              <w:rPr>
                <w:rFonts w:eastAsia="Times New Roman"/>
                <w:szCs w:val="16"/>
                <w:lang w:eastAsia="en-US"/>
              </w:rPr>
              <w:t xml:space="preserve"> Initial 1) restriction to complete the 3 doses (the initial infusion regimen at 0, 2 and 6 weeks); OR</w:t>
            </w:r>
            <w:r w:rsidRPr="00E106BD">
              <w:rPr>
                <w:rFonts w:eastAsia="Times New Roman"/>
                <w:szCs w:val="16"/>
                <w:lang w:eastAsia="en-US"/>
              </w:rPr>
              <w:br/>
              <w:t>Patient must have received insufficient therapy with this drug for this condition under the Change or Re</w:t>
            </w:r>
            <w:r>
              <w:rPr>
                <w:rFonts w:eastAsia="Times New Roman"/>
                <w:szCs w:val="16"/>
                <w:lang w:eastAsia="en-US"/>
              </w:rPr>
              <w:noBreakHyphen/>
            </w:r>
            <w:r w:rsidRPr="00E106BD">
              <w:rPr>
                <w:rFonts w:eastAsia="Times New Roman"/>
                <w:szCs w:val="16"/>
                <w:lang w:eastAsia="en-US"/>
              </w:rPr>
              <w:t>commencement of treatment after a break in therapy of less than 5 years (Initial 2) restriction to complete the 3 doses (the initial infusion regimen at 0, 2 and 6 weeks); OR</w:t>
            </w:r>
            <w:r w:rsidRPr="00E106BD">
              <w:rPr>
                <w:rFonts w:eastAsia="Times New Roman"/>
                <w:szCs w:val="16"/>
                <w:lang w:eastAsia="en-US"/>
              </w:rPr>
              <w:br/>
              <w:t>Patient must have received insufficient therapy with this drug for this condition under the first continuing treatment or subsequent continuing treatment restrictions to complete 24 weeks of treatment; AND</w:t>
            </w:r>
            <w:r w:rsidRPr="00E106BD">
              <w:rPr>
                <w:rFonts w:eastAsia="Times New Roman"/>
                <w:szCs w:val="16"/>
                <w:lang w:eastAsia="en-US"/>
              </w:rPr>
              <w:br/>
              <w:t>The treatment must provide no more than the balance of up to 3 doses (Initial 1 or Initial 2 treatment) or 2 repeats (first Continuing or Subsequent Continuing treatment).</w:t>
            </w:r>
          </w:p>
        </w:tc>
        <w:tc>
          <w:tcPr>
            <w:tcW w:w="2552" w:type="dxa"/>
            <w:tcMar>
              <w:top w:w="28" w:type="dxa"/>
              <w:left w:w="28" w:type="dxa"/>
              <w:right w:w="57" w:type="dxa"/>
            </w:tcMar>
          </w:tcPr>
          <w:p w:rsidR="00F05C1E" w:rsidRPr="00E106BD" w:rsidRDefault="00F05C1E" w:rsidP="00EA4C5C">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line="200" w:lineRule="atLeast"/>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C8296</w:t>
            </w:r>
          </w:p>
        </w:tc>
        <w:tc>
          <w:tcPr>
            <w:tcW w:w="709" w:type="dxa"/>
            <w:tcMar>
              <w:top w:w="28" w:type="dxa"/>
              <w:left w:w="28" w:type="dxa"/>
            </w:tcMar>
          </w:tcPr>
          <w:p w:rsidR="00F05C1E" w:rsidRPr="00E106BD" w:rsidDel="00E03489" w:rsidRDefault="00F05C1E" w:rsidP="00881477">
            <w:pPr>
              <w:spacing w:line="200" w:lineRule="atLeast"/>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Continuing treatment, Whole body or Continuing treatment, Face, hand, foot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Patient must have received insufficient therapy with this drug under the first continuing treatment, Whole body restriction to complete 24 weeks treatment; OR</w:t>
            </w:r>
            <w:r w:rsidRPr="00E106BD">
              <w:rPr>
                <w:rFonts w:ascii="Arial" w:hAnsi="Arial" w:cs="Arial"/>
                <w:sz w:val="16"/>
                <w:szCs w:val="16"/>
              </w:rPr>
              <w:br/>
              <w:t>Patient must have received insufficient therapy with this drug under the first continuing treatment, Face, hand, foot restriction to complete 24 weeks treatment; OR</w:t>
            </w:r>
            <w:r w:rsidRPr="00E106BD">
              <w:rPr>
                <w:rFonts w:ascii="Arial" w:hAnsi="Arial" w:cs="Arial"/>
                <w:sz w:val="16"/>
                <w:szCs w:val="16"/>
              </w:rPr>
              <w:br/>
              <w:t>Patient must have received insufficient therapy with this drug under the subsequent continuing treatment Authority Required (in writing), Whole body restriction to complete 24 weeks treatment; OR</w:t>
            </w:r>
            <w:r w:rsidRPr="00E106BD">
              <w:rPr>
                <w:rFonts w:ascii="Arial" w:hAnsi="Arial" w:cs="Arial"/>
                <w:sz w:val="16"/>
                <w:szCs w:val="16"/>
              </w:rPr>
              <w:br/>
              <w:t>Patient must have received insufficient therapy with this drug under the subsequent continuing treatment Authority Required (in writing), Face, hand, foot restriction to complete 24 weeks treatment; AND</w:t>
            </w:r>
            <w:r w:rsidRPr="00E106BD">
              <w:rPr>
                <w:rFonts w:ascii="Arial" w:hAnsi="Arial" w:cs="Arial"/>
                <w:sz w:val="16"/>
                <w:szCs w:val="16"/>
              </w:rPr>
              <w:br/>
              <w:t>The treatment must provide no more than the balance of up to 24 weeks treatment available under the above restrictions; AND</w:t>
            </w:r>
            <w:r w:rsidRPr="00E106BD">
              <w:rPr>
                <w:rFonts w:ascii="Arial" w:hAnsi="Arial" w:cs="Arial"/>
                <w:sz w:val="16"/>
                <w:szCs w:val="16"/>
              </w:rPr>
              <w:br/>
              <w:t>The treatment must be as systemic monotherapy (other than methotrexate).</w:t>
            </w:r>
            <w:r w:rsidRPr="00E106BD">
              <w:rPr>
                <w:rFonts w:ascii="Arial" w:hAnsi="Arial" w:cs="Arial"/>
                <w:sz w:val="16"/>
                <w:szCs w:val="16"/>
              </w:rPr>
              <w:br/>
              <w:t>Must be treated by a dermatologist.</w:t>
            </w:r>
          </w:p>
        </w:tc>
        <w:tc>
          <w:tcPr>
            <w:tcW w:w="2552" w:type="dxa"/>
            <w:tcMar>
              <w:top w:w="28" w:type="dxa"/>
              <w:left w:w="28" w:type="dxa"/>
              <w:right w:w="57" w:type="dxa"/>
            </w:tcMar>
          </w:tcPr>
          <w:p w:rsidR="00F05C1E" w:rsidRPr="00E106BD" w:rsidRDefault="00F05C1E" w:rsidP="00EA4C5C">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AF5F81" w:rsidTr="008929EB">
        <w:tc>
          <w:tcPr>
            <w:tcW w:w="172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r w:rsidRPr="00E106BD">
              <w:rPr>
                <w:rFonts w:ascii="Arial" w:hAnsi="Arial" w:cs="Arial"/>
                <w:sz w:val="16"/>
                <w:szCs w:val="16"/>
              </w:rPr>
              <w:t>C8644</w:t>
            </w:r>
          </w:p>
        </w:tc>
        <w:tc>
          <w:tcPr>
            <w:tcW w:w="70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Subsequent continuing treatment</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Patient must not receive more than 24 weeks of treatment per subsequent continuing treatment course authorised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An adequate response to treatment is defined as:</w:t>
            </w:r>
            <w:r w:rsidRPr="00E106BD">
              <w:rPr>
                <w:rFonts w:ascii="Arial" w:hAnsi="Arial" w:cs="Arial"/>
                <w:sz w:val="16"/>
                <w:szCs w:val="16"/>
              </w:rPr>
              <w:br/>
              <w:t>an ESR no greater than 25 mm per hour or a CRP level no greater than 15 mg per L or either marker reduced by at least 20% from baseline;</w:t>
            </w:r>
            <w:r w:rsidRPr="00E106BD">
              <w:rPr>
                <w:rFonts w:ascii="Arial" w:hAnsi="Arial" w:cs="Arial"/>
                <w:sz w:val="16"/>
                <w:szCs w:val="16"/>
              </w:rPr>
              <w:br/>
              <w:t>AND either of the following:</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ascii="Arial" w:hAnsi="Arial" w:cs="Arial"/>
                <w:sz w:val="16"/>
                <w:szCs w:val="16"/>
              </w:rPr>
              <w:br/>
              <w:t>If a patient has either failed or ceased to respond to a PBS</w:t>
            </w:r>
            <w:r>
              <w:rPr>
                <w:rFonts w:ascii="Arial" w:hAnsi="Arial" w:cs="Arial"/>
                <w:sz w:val="16"/>
                <w:szCs w:val="16"/>
              </w:rPr>
              <w:noBreakHyphen/>
            </w:r>
            <w:r w:rsidRPr="00E106BD">
              <w:rPr>
                <w:rFonts w:ascii="Arial" w:hAnsi="Arial" w:cs="Arial"/>
                <w:sz w:val="16"/>
                <w:szCs w:val="16"/>
              </w:rPr>
              <w:t>subsidised biological medicine for this condition 5 times, they will not be eligible to receive further PBS</w:t>
            </w:r>
            <w:r>
              <w:rPr>
                <w:rFonts w:ascii="Arial" w:hAnsi="Arial" w:cs="Arial"/>
                <w:sz w:val="16"/>
                <w:szCs w:val="16"/>
              </w:rPr>
              <w:noBreakHyphen/>
            </w:r>
            <w:r w:rsidRPr="00E106BD">
              <w:rPr>
                <w:rFonts w:ascii="Arial" w:hAnsi="Arial" w:cs="Arial"/>
                <w:sz w:val="16"/>
                <w:szCs w:val="16"/>
              </w:rPr>
              <w:t>subsidised treatment with a biological medicine for this condition.</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p>
        </w:tc>
        <w:tc>
          <w:tcPr>
            <w:tcW w:w="2552" w:type="dxa"/>
            <w:tcMar>
              <w:top w:w="28" w:type="dxa"/>
              <w:left w:w="28" w:type="dxa"/>
              <w:right w:w="57" w:type="dxa"/>
            </w:tcMar>
          </w:tcPr>
          <w:p w:rsidR="00F05C1E" w:rsidRPr="00E106BD" w:rsidDel="00AF5F81"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AF5F81" w:rsidTr="008929EB">
        <w:tc>
          <w:tcPr>
            <w:tcW w:w="172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r w:rsidRPr="00E106BD">
              <w:rPr>
                <w:rFonts w:ascii="Arial" w:hAnsi="Arial" w:cs="Arial"/>
                <w:sz w:val="16"/>
                <w:szCs w:val="16"/>
              </w:rPr>
              <w:t>C8645</w:t>
            </w:r>
          </w:p>
        </w:tc>
        <w:tc>
          <w:tcPr>
            <w:tcW w:w="70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3 (re</w:t>
            </w:r>
            <w:r>
              <w:rPr>
                <w:rFonts w:ascii="Arial" w:hAnsi="Arial" w:cs="Arial"/>
                <w:sz w:val="16"/>
                <w:szCs w:val="16"/>
              </w:rPr>
              <w:noBreakHyphen/>
            </w:r>
            <w:r w:rsidRPr="00E106BD">
              <w:rPr>
                <w:rFonts w:ascii="Arial" w:hAnsi="Arial" w:cs="Arial"/>
                <w:sz w:val="16"/>
                <w:szCs w:val="16"/>
              </w:rPr>
              <w:t>commencement of treatment after a break in biological medicine of more than 24 months)</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a break in treatment of 24 months or more from the most recent PBS</w:t>
            </w:r>
            <w:r>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Patient must not have failed to respond to previous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already failed , or ceased to respond to, PBS</w:t>
            </w:r>
            <w:r>
              <w:rPr>
                <w:rFonts w:ascii="Arial" w:hAnsi="Arial" w:cs="Arial"/>
                <w:sz w:val="16"/>
                <w:szCs w:val="16"/>
              </w:rPr>
              <w:noBreakHyphen/>
            </w:r>
            <w:r w:rsidRPr="00E106BD">
              <w:rPr>
                <w:rFonts w:ascii="Arial" w:hAnsi="Arial" w:cs="Arial"/>
                <w:sz w:val="16"/>
                <w:szCs w:val="16"/>
              </w:rPr>
              <w:t>subsidised biological medicine treatment for this condition 5 times; AND</w:t>
            </w:r>
            <w:r w:rsidRPr="00E106BD">
              <w:rPr>
                <w:rFonts w:ascii="Arial" w:hAnsi="Arial" w:cs="Arial"/>
                <w:sz w:val="16"/>
                <w:szCs w:val="16"/>
              </w:rPr>
              <w:br/>
              <w:t>The condition must have an elevated erythrocyte sedimentation rate (ESR) greater than 25 mm per hour; OR</w:t>
            </w:r>
            <w:r w:rsidRPr="00E106BD">
              <w:rPr>
                <w:rFonts w:ascii="Arial" w:hAnsi="Arial" w:cs="Arial"/>
                <w:sz w:val="16"/>
                <w:szCs w:val="16"/>
              </w:rPr>
              <w:br/>
              <w:t>The condition must have a C</w:t>
            </w:r>
            <w:r>
              <w:rPr>
                <w:rFonts w:ascii="Arial" w:hAnsi="Arial" w:cs="Arial"/>
                <w:sz w:val="16"/>
                <w:szCs w:val="16"/>
              </w:rPr>
              <w:noBreakHyphen/>
            </w:r>
            <w:r w:rsidRPr="00E106BD">
              <w:rPr>
                <w:rFonts w:ascii="Arial" w:hAnsi="Arial" w:cs="Arial"/>
                <w:sz w:val="16"/>
                <w:szCs w:val="16"/>
              </w:rPr>
              <w:t>reactive protein (CRP) level greater than 15 mg per L; AND</w:t>
            </w:r>
            <w:r w:rsidRPr="00E106BD">
              <w:rPr>
                <w:rFonts w:ascii="Arial" w:hAnsi="Arial" w:cs="Arial"/>
                <w:sz w:val="16"/>
                <w:szCs w:val="16"/>
              </w:rPr>
              <w:br/>
              <w:t>The condition must have either (a) a total active joint count of at least 20 active (swollen and tender) joints; or (b) at least 4 active major joints; AND</w:t>
            </w:r>
            <w:r w:rsidRPr="00E106BD">
              <w:rPr>
                <w:rFonts w:ascii="Arial" w:hAnsi="Arial" w:cs="Arial"/>
                <w:sz w:val="16"/>
                <w:szCs w:val="16"/>
              </w:rPr>
              <w:br/>
              <w:t>Patient must not receive more than 22 weeks of treatment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All measures of joint count and ESR and/or CRP must be no more than one month old at the time of initial application.</w:t>
            </w:r>
            <w:r w:rsidRPr="00E106BD">
              <w:rPr>
                <w:rFonts w:ascii="Arial" w:hAnsi="Arial" w:cs="Arial"/>
                <w:sz w:val="16"/>
                <w:szCs w:val="16"/>
              </w:rPr>
              <w:br/>
              <w:t>If the above requirement to demonstrate an elevated ESR or CRP cannot be met, the application must state the reasons why this criterion cannot be satisfied.</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It is recommended that an assessment of a patient</w:t>
            </w:r>
            <w:r w:rsidR="00A653CA">
              <w:rPr>
                <w:rFonts w:ascii="Arial" w:hAnsi="Arial" w:cs="Arial"/>
                <w:sz w:val="16"/>
                <w:szCs w:val="16"/>
              </w:rPr>
              <w:t>’</w:t>
            </w:r>
            <w:r w:rsidRPr="00E106BD">
              <w:rPr>
                <w:rFonts w:ascii="Arial" w:hAnsi="Arial" w:cs="Arial"/>
                <w:sz w:val="16"/>
                <w:szCs w:val="16"/>
              </w:rPr>
              <w: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p>
        </w:tc>
        <w:tc>
          <w:tcPr>
            <w:tcW w:w="2552" w:type="dxa"/>
            <w:tcMar>
              <w:top w:w="28" w:type="dxa"/>
              <w:left w:w="28" w:type="dxa"/>
              <w:right w:w="57" w:type="dxa"/>
            </w:tcMar>
          </w:tcPr>
          <w:p w:rsidR="00F05C1E" w:rsidRPr="00E106BD" w:rsidDel="00AF5F81"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C8646</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Initial 1 (new patient) or Initial 2 (change or recommencement of treatment after a break in biological medicine of less than 24 months) or Initial 3 (recommencement of treatment after a break in biological medicine of more than 24 months)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Initial 1 (new patient) restriction to complete 22 weeks treatment;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24 months) restriction to complete 22 weeks treatment;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24 months) to complete 22 weeks treatment; AND</w:t>
            </w:r>
            <w:r w:rsidRPr="00E106BD">
              <w:rPr>
                <w:rFonts w:ascii="Arial" w:hAnsi="Arial" w:cs="Arial"/>
                <w:sz w:val="16"/>
                <w:szCs w:val="16"/>
              </w:rPr>
              <w:br/>
              <w:t>The treatment must provide no more than the balance of up to 22 weeks treatment available under the above restrictions.</w:t>
            </w:r>
            <w:r w:rsidRPr="00E106BD">
              <w:rPr>
                <w:rFonts w:ascii="Arial" w:hAnsi="Arial" w:cs="Arial"/>
                <w:sz w:val="16"/>
                <w:szCs w:val="16"/>
              </w:rPr>
              <w:br/>
              <w:t>Patient must be aged 18 years or older.</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AF5F81" w:rsidTr="008929EB">
        <w:tc>
          <w:tcPr>
            <w:tcW w:w="172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r w:rsidRPr="00E106BD">
              <w:rPr>
                <w:rFonts w:ascii="Arial" w:hAnsi="Arial" w:cs="Arial"/>
                <w:sz w:val="16"/>
                <w:szCs w:val="16"/>
              </w:rPr>
              <w:t>C8715</w:t>
            </w:r>
          </w:p>
        </w:tc>
        <w:tc>
          <w:tcPr>
            <w:tcW w:w="70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Initial 1 (new patient)</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not have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failed, in the 24 months immediately prior to the date of the application, to achieve an adequate response to a trial of at least 6 months of intensive treatment with disease modifying anti</w:t>
            </w:r>
            <w:r>
              <w:rPr>
                <w:rFonts w:ascii="Arial" w:hAnsi="Arial" w:cs="Arial"/>
                <w:sz w:val="16"/>
                <w:szCs w:val="16"/>
              </w:rPr>
              <w:noBreakHyphen/>
            </w:r>
            <w:r w:rsidRPr="00E106BD">
              <w:rPr>
                <w:rFonts w:ascii="Arial" w:hAnsi="Arial" w:cs="Arial"/>
                <w:sz w:val="16"/>
                <w:szCs w:val="16"/>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ascii="Arial" w:hAnsi="Arial" w:cs="Arial"/>
                <w:sz w:val="16"/>
                <w:szCs w:val="16"/>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Pr>
                <w:rFonts w:ascii="Arial" w:hAnsi="Arial" w:cs="Arial"/>
                <w:sz w:val="16"/>
                <w:szCs w:val="16"/>
              </w:rPr>
              <w:noBreakHyphen/>
            </w:r>
            <w:r w:rsidRPr="00E106BD">
              <w:rPr>
                <w:rFonts w:ascii="Arial" w:hAnsi="Arial" w:cs="Arial"/>
                <w:sz w:val="16"/>
                <w:szCs w:val="16"/>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ascii="Arial" w:hAnsi="Arial" w:cs="Arial"/>
                <w:sz w:val="16"/>
                <w:szCs w:val="16"/>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Pr>
                <w:rFonts w:ascii="Arial" w:hAnsi="Arial" w:cs="Arial"/>
                <w:sz w:val="16"/>
                <w:szCs w:val="16"/>
              </w:rPr>
              <w:noBreakHyphen/>
            </w:r>
            <w:r w:rsidRPr="00E106BD">
              <w:rPr>
                <w:rFonts w:ascii="Arial" w:hAnsi="Arial" w:cs="Arial"/>
                <w:sz w:val="16"/>
                <w:szCs w:val="16"/>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ascii="Arial" w:hAnsi="Arial" w:cs="Arial"/>
                <w:sz w:val="16"/>
                <w:szCs w:val="16"/>
              </w:rPr>
              <w:br/>
              <w:t>Patient must not receive more than 22 weeks of treatment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If methotrexate is contraindicated according to the TGA</w:t>
            </w:r>
            <w:r>
              <w:rPr>
                <w:rFonts w:ascii="Arial" w:hAnsi="Arial" w:cs="Arial"/>
                <w:sz w:val="16"/>
                <w:szCs w:val="16"/>
              </w:rPr>
              <w:noBreakHyphen/>
            </w:r>
            <w:r w:rsidRPr="00E106BD">
              <w:rPr>
                <w:rFonts w:ascii="Arial" w:hAnsi="Arial" w:cs="Arial"/>
                <w:sz w:val="16"/>
                <w:szCs w:val="16"/>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E106BD">
              <w:rPr>
                <w:rFonts w:ascii="Arial" w:hAnsi="Arial" w:cs="Arial"/>
                <w:sz w:val="16"/>
                <w:szCs w:val="16"/>
              </w:rPr>
              <w:br/>
              <w:t>The application must include details of the DMARDs trialled, their doses and duration of treatment, and all relevant contraindications and/or intolerances including severity.</w:t>
            </w:r>
            <w:r w:rsidRPr="00E106BD">
              <w:rPr>
                <w:rFonts w:ascii="Arial" w:hAnsi="Arial" w:cs="Arial"/>
                <w:sz w:val="16"/>
                <w:szCs w:val="16"/>
              </w:rPr>
              <w:br/>
              <w:t>The requirement to trial at least 2 DMARDs for periods of at least 3 months each can be met using single agents sequentially or by using one or more combinations of DMARDs.</w:t>
            </w:r>
            <w:r w:rsidRPr="00E106BD">
              <w:rPr>
                <w:rFonts w:ascii="Arial" w:hAnsi="Arial" w:cs="Arial"/>
                <w:sz w:val="16"/>
                <w:szCs w:val="16"/>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E106BD">
              <w:rPr>
                <w:rFonts w:ascii="Arial" w:hAnsi="Arial" w:cs="Arial"/>
                <w:sz w:val="16"/>
                <w:szCs w:val="16"/>
              </w:rPr>
              <w:br/>
              <w:t>The following criteria indicate failure to achieve an adequate response and must be demonstrated in all patients at the time of the initial application:</w:t>
            </w:r>
            <w:r w:rsidRPr="00E106BD">
              <w:rPr>
                <w:rFonts w:ascii="Arial" w:hAnsi="Arial" w:cs="Arial"/>
                <w:sz w:val="16"/>
                <w:szCs w:val="16"/>
              </w:rPr>
              <w:br/>
              <w:t>an elevated erythrocyte sedimentation rate (ESR) greater than 25 mm per hour or a C</w:t>
            </w:r>
            <w:r>
              <w:rPr>
                <w:rFonts w:ascii="Arial" w:hAnsi="Arial" w:cs="Arial"/>
                <w:sz w:val="16"/>
                <w:szCs w:val="16"/>
              </w:rPr>
              <w:noBreakHyphen/>
            </w:r>
            <w:r w:rsidRPr="00E106BD">
              <w:rPr>
                <w:rFonts w:ascii="Arial" w:hAnsi="Arial" w:cs="Arial"/>
                <w:sz w:val="16"/>
                <w:szCs w:val="16"/>
              </w:rPr>
              <w:t>reactive protein (CRP) level greater than 15 mg per L; AND either</w:t>
            </w:r>
            <w:r w:rsidRPr="00E106BD">
              <w:rPr>
                <w:rFonts w:ascii="Arial" w:hAnsi="Arial" w:cs="Arial"/>
                <w:sz w:val="16"/>
                <w:szCs w:val="16"/>
              </w:rPr>
              <w:br/>
              <w:t>(a) a total active joint count of at least 20 active (swollen and tender) joints; or</w:t>
            </w:r>
            <w:r w:rsidRPr="00E106BD">
              <w:rPr>
                <w:rFonts w:ascii="Arial" w:hAnsi="Arial" w:cs="Arial"/>
                <w:sz w:val="16"/>
                <w:szCs w:val="16"/>
              </w:rPr>
              <w:br/>
              <w:t>(b) at least 4 active joints from the following list of major joints:</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The joint count and ESR and/or CRP must be determined at the completion of the 6 month intensive DMARD trial, but prior to ceasing DMARD therapy. All measures must be no more than one month old at the time of initial application.</w:t>
            </w:r>
            <w:r w:rsidRPr="00E106BD">
              <w:rPr>
                <w:rFonts w:ascii="Arial" w:hAnsi="Arial" w:cs="Arial"/>
                <w:sz w:val="16"/>
                <w:szCs w:val="16"/>
              </w:rPr>
              <w:br/>
              <w:t>If the above requirement to demonstrate an elevated ESR or CRP cannot be met, the application must state the reasons why this criterion cannot be satisfied.</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It is recommended that an assessment of a patient</w:t>
            </w:r>
            <w:r w:rsidR="00A653CA">
              <w:rPr>
                <w:rFonts w:ascii="Arial" w:hAnsi="Arial" w:cs="Arial"/>
                <w:sz w:val="16"/>
                <w:szCs w:val="16"/>
              </w:rPr>
              <w:t>’</w:t>
            </w:r>
            <w:r w:rsidRPr="00E106BD">
              <w:rPr>
                <w:rFonts w:ascii="Arial" w:hAnsi="Arial" w:cs="Arial"/>
                <w:sz w:val="16"/>
                <w:szCs w:val="16"/>
              </w:rPr>
              <w: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p>
        </w:tc>
        <w:tc>
          <w:tcPr>
            <w:tcW w:w="2552" w:type="dxa"/>
            <w:tcMar>
              <w:top w:w="28" w:type="dxa"/>
              <w:left w:w="28" w:type="dxa"/>
              <w:right w:w="57" w:type="dxa"/>
            </w:tcMar>
          </w:tcPr>
          <w:p w:rsidR="00F05C1E" w:rsidRPr="00E106BD" w:rsidDel="00AF5F81"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C8743</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2 (change or re</w:t>
            </w:r>
            <w:r>
              <w:rPr>
                <w:rFonts w:ascii="Arial" w:hAnsi="Arial" w:cs="Arial"/>
                <w:sz w:val="16"/>
                <w:szCs w:val="16"/>
              </w:rPr>
              <w:noBreakHyphen/>
            </w:r>
            <w:r w:rsidRPr="00E106BD">
              <w:rPr>
                <w:rFonts w:ascii="Arial" w:hAnsi="Arial" w:cs="Arial"/>
                <w:sz w:val="16"/>
                <w:szCs w:val="16"/>
              </w:rPr>
              <w:t>commencement of treatment after a break in biological medicine of less than 24 months)</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prior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not have failed to respond to previous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already failed , or ceased to respond to, PBS</w:t>
            </w:r>
            <w:r>
              <w:rPr>
                <w:rFonts w:ascii="Arial" w:hAnsi="Arial" w:cs="Arial"/>
                <w:sz w:val="16"/>
                <w:szCs w:val="16"/>
              </w:rPr>
              <w:noBreakHyphen/>
            </w:r>
            <w:r w:rsidRPr="00E106BD">
              <w:rPr>
                <w:rFonts w:ascii="Arial" w:hAnsi="Arial" w:cs="Arial"/>
                <w:sz w:val="16"/>
                <w:szCs w:val="16"/>
              </w:rPr>
              <w:t>subsidised biological medicine treatment for this condition 5 times; AND</w:t>
            </w:r>
            <w:r w:rsidRPr="00E106BD">
              <w:rPr>
                <w:rFonts w:ascii="Arial" w:hAnsi="Arial" w:cs="Arial"/>
                <w:sz w:val="16"/>
                <w:szCs w:val="16"/>
              </w:rPr>
              <w:br/>
              <w:t>Patient must not receive more than 22 weeks of treatment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An adequate response to treatment is defined as:</w:t>
            </w:r>
            <w:r w:rsidRPr="00E106BD">
              <w:rPr>
                <w:rFonts w:ascii="Arial" w:hAnsi="Arial" w:cs="Arial"/>
                <w:sz w:val="16"/>
                <w:szCs w:val="16"/>
              </w:rPr>
              <w:br/>
              <w:t>an ESR no greater than 25 mm per hour or a CRP level no greater than 15 mg per L or either marker reduced by at least 20% from baseline;</w:t>
            </w:r>
            <w:r w:rsidRPr="00E106BD">
              <w:rPr>
                <w:rFonts w:ascii="Arial" w:hAnsi="Arial" w:cs="Arial"/>
                <w:sz w:val="16"/>
                <w:szCs w:val="16"/>
              </w:rPr>
              <w:br/>
              <w:t>AND either of the following:</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An application for a patient who has received PBS</w:t>
            </w:r>
            <w:r>
              <w:rPr>
                <w:rFonts w:ascii="Arial" w:hAnsi="Arial" w:cs="Arial"/>
                <w:sz w:val="16"/>
                <w:szCs w:val="16"/>
              </w:rPr>
              <w:noBreakHyphen/>
            </w:r>
            <w:r w:rsidRPr="00E106BD">
              <w:rPr>
                <w:rFonts w:ascii="Arial" w:hAnsi="Arial" w:cs="Arial"/>
                <w:sz w:val="16"/>
                <w:szCs w:val="16"/>
              </w:rPr>
              <w:t>subsidised treatment with this drug and who wishes to re</w:t>
            </w:r>
            <w:r>
              <w:rPr>
                <w:rFonts w:ascii="Arial" w:hAnsi="Arial" w:cs="Arial"/>
                <w:sz w:val="16"/>
                <w:szCs w:val="16"/>
              </w:rPr>
              <w:noBreakHyphen/>
            </w:r>
            <w:r w:rsidRPr="00E106BD">
              <w:rPr>
                <w:rFonts w:ascii="Arial" w:hAnsi="Arial" w:cs="Arial"/>
                <w:sz w:val="16"/>
                <w:szCs w:val="16"/>
              </w:rPr>
              <w:t>commence therapy with this drug, must be accompanied by evidence of a response to the patient</w:t>
            </w:r>
            <w:r w:rsidR="00A653CA">
              <w:rPr>
                <w:rFonts w:ascii="Arial" w:hAnsi="Arial" w:cs="Arial"/>
                <w:sz w:val="16"/>
                <w:szCs w:val="16"/>
              </w:rPr>
              <w:t>’</w:t>
            </w:r>
            <w:r w:rsidRPr="00E106BD">
              <w:rPr>
                <w:rFonts w:ascii="Arial" w:hAnsi="Arial" w:cs="Arial"/>
                <w:sz w:val="16"/>
                <w:szCs w:val="16"/>
              </w:rPr>
              <w:t>s most recent course of PBS</w:t>
            </w:r>
            <w:r>
              <w:rPr>
                <w:rFonts w:ascii="Arial" w:hAnsi="Arial" w:cs="Arial"/>
                <w:sz w:val="16"/>
                <w:szCs w:val="16"/>
              </w:rPr>
              <w:noBreakHyphen/>
            </w:r>
            <w:r w:rsidRPr="00E106BD">
              <w:rPr>
                <w:rFonts w:ascii="Arial" w:hAnsi="Arial" w:cs="Arial"/>
                <w:sz w:val="16"/>
                <w:szCs w:val="16"/>
              </w:rPr>
              <w:t>subsidised treatment with this drug, within the timeframes specified below.</w:t>
            </w:r>
            <w:r w:rsidRPr="00E106BD">
              <w:rPr>
                <w:rFonts w:ascii="Arial" w:hAnsi="Arial" w:cs="Arial"/>
                <w:sz w:val="16"/>
                <w:szCs w:val="16"/>
              </w:rPr>
              <w:br/>
              <w:t>Where the most recent course of PBS</w:t>
            </w:r>
            <w:r>
              <w:rPr>
                <w:rFonts w:ascii="Arial" w:hAnsi="Arial" w:cs="Arial"/>
                <w:sz w:val="16"/>
                <w:szCs w:val="16"/>
              </w:rPr>
              <w:noBreakHyphen/>
            </w:r>
            <w:r w:rsidRPr="00E106BD">
              <w:rPr>
                <w:rFonts w:ascii="Arial" w:hAnsi="Arial" w:cs="Arial"/>
                <w:sz w:val="16"/>
                <w:szCs w:val="16"/>
              </w:rPr>
              <w:t>subsidised treatment with this drug was approved under either of the Initial 1, Initial 2, Initial 3, first or subsequent continuing treatment restrictions, it is recommended that an assessment of a patient</w:t>
            </w:r>
            <w:r w:rsidR="00A653CA">
              <w:rPr>
                <w:rFonts w:ascii="Arial" w:hAnsi="Arial" w:cs="Arial"/>
                <w:sz w:val="16"/>
                <w:szCs w:val="16"/>
              </w:rPr>
              <w:t>’</w:t>
            </w:r>
            <w:r w:rsidRPr="00E106BD">
              <w:rPr>
                <w:rFonts w:ascii="Arial" w:hAnsi="Arial" w:cs="Arial"/>
                <w:sz w:val="16"/>
                <w:szCs w:val="16"/>
              </w:rPr>
              <w: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A patient who has demonstrated a response to a course of rituximab must have a PBS</w:t>
            </w:r>
            <w:r>
              <w:rPr>
                <w:rFonts w:ascii="Arial" w:hAnsi="Arial" w:cs="Arial"/>
                <w:sz w:val="16"/>
                <w:szCs w:val="16"/>
              </w:rPr>
              <w:noBreakHyphen/>
            </w:r>
            <w:r w:rsidRPr="00E106BD">
              <w:rPr>
                <w:rFonts w:ascii="Arial" w:hAnsi="Arial" w:cs="Arial"/>
                <w:sz w:val="16"/>
                <w:szCs w:val="16"/>
              </w:rPr>
              <w:t>subsidised biological therapy treatment</w:t>
            </w:r>
            <w:r>
              <w:rPr>
                <w:rFonts w:ascii="Arial" w:hAnsi="Arial" w:cs="Arial"/>
                <w:sz w:val="16"/>
                <w:szCs w:val="16"/>
              </w:rPr>
              <w:noBreakHyphen/>
            </w:r>
            <w:r w:rsidRPr="00E106BD">
              <w:rPr>
                <w:rFonts w:ascii="Arial" w:hAnsi="Arial" w:cs="Arial"/>
                <w:sz w:val="16"/>
                <w:szCs w:val="16"/>
              </w:rPr>
              <w:t>free period of at least 22 weeks, immediately following the second infusion, before swapping to an alternate biological medicine.</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C8744</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First continuing treatment</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this drug as their most recent course of PBS</w:t>
            </w:r>
            <w:r>
              <w:rPr>
                <w:rFonts w:ascii="Arial" w:hAnsi="Arial" w:cs="Arial"/>
                <w:sz w:val="16"/>
                <w:szCs w:val="16"/>
              </w:rPr>
              <w:noBreakHyphen/>
            </w:r>
            <w:r w:rsidRPr="00E106BD">
              <w:rPr>
                <w:rFonts w:ascii="Arial" w:hAnsi="Arial" w:cs="Arial"/>
                <w:sz w:val="16"/>
                <w:szCs w:val="16"/>
              </w:rPr>
              <w:t>subsidised biological medicine treatment for this condition;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Patient must not receive more than 24 weeks of treatment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An adequate response to treatment is defined as:</w:t>
            </w:r>
            <w:r w:rsidRPr="00E106BD">
              <w:rPr>
                <w:rFonts w:ascii="Arial" w:hAnsi="Arial" w:cs="Arial"/>
                <w:sz w:val="16"/>
                <w:szCs w:val="16"/>
              </w:rPr>
              <w:br/>
              <w:t>an ESR no greater than 25 mm per hour or a CRP level no greater than 15 mg per L or either marker reduced by at least 20% from baseline;</w:t>
            </w:r>
            <w:r w:rsidRPr="00E106BD">
              <w:rPr>
                <w:rFonts w:ascii="Arial" w:hAnsi="Arial" w:cs="Arial"/>
                <w:sz w:val="16"/>
                <w:szCs w:val="16"/>
              </w:rPr>
              <w:br/>
              <w:t>AND either of the following:</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ascii="Arial" w:hAnsi="Arial" w:cs="Arial"/>
                <w:sz w:val="16"/>
                <w:szCs w:val="16"/>
              </w:rPr>
              <w:br/>
              <w:t>If a patient has either failed or ceased to respond to a PBS</w:t>
            </w:r>
            <w:r>
              <w:rPr>
                <w:rFonts w:ascii="Arial" w:hAnsi="Arial" w:cs="Arial"/>
                <w:sz w:val="16"/>
                <w:szCs w:val="16"/>
              </w:rPr>
              <w:noBreakHyphen/>
            </w:r>
            <w:r w:rsidRPr="00E106BD">
              <w:rPr>
                <w:rFonts w:ascii="Arial" w:hAnsi="Arial" w:cs="Arial"/>
                <w:sz w:val="16"/>
                <w:szCs w:val="16"/>
              </w:rPr>
              <w:t>subsidised biological medicine for this condition 5 times, they will not be eligible to receive further PBS</w:t>
            </w:r>
            <w:r>
              <w:rPr>
                <w:rFonts w:ascii="Arial" w:hAnsi="Arial" w:cs="Arial"/>
                <w:sz w:val="16"/>
                <w:szCs w:val="16"/>
              </w:rPr>
              <w:noBreakHyphen/>
            </w:r>
            <w:r w:rsidRPr="00E106BD">
              <w:rPr>
                <w:rFonts w:ascii="Arial" w:hAnsi="Arial" w:cs="Arial"/>
                <w:sz w:val="16"/>
                <w:szCs w:val="16"/>
              </w:rPr>
              <w:t>subsidised treatment with a biological medicine for this condition.</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C8745</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Continuing Treatment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first continuing treatment restriction to complete 24 weeks treatment; OR</w:t>
            </w:r>
            <w:r w:rsidRPr="00E106BD">
              <w:rPr>
                <w:rFonts w:ascii="Arial" w:hAnsi="Arial" w:cs="Arial"/>
                <w:sz w:val="16"/>
                <w:szCs w:val="16"/>
              </w:rPr>
              <w:br/>
              <w:t>Patient must have received insufficient therapy with this drug for this condition under the subsequent continuing Authority Required (in writing) treatment restriction to complete 24 weeks treatment; AND</w:t>
            </w:r>
            <w:r w:rsidRPr="00E106BD">
              <w:rPr>
                <w:rFonts w:ascii="Arial" w:hAnsi="Arial" w:cs="Arial"/>
                <w:sz w:val="16"/>
                <w:szCs w:val="16"/>
              </w:rPr>
              <w:br/>
              <w:t>The treatment must provide no more than the balance of up to 24 weeks treatment available under the above restrictions.</w:t>
            </w:r>
            <w:r w:rsidRPr="00E106BD">
              <w:rPr>
                <w:rFonts w:ascii="Arial" w:hAnsi="Arial" w:cs="Arial"/>
                <w:sz w:val="16"/>
                <w:szCs w:val="16"/>
              </w:rPr>
              <w:br/>
              <w:t>Patient must be aged 18 years or older.</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C8755</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Subsequent continuing treatment</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not receive more than 24 weeks of treatment per subsequent continuing treatment course authorised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An adequate response to treatment is defined as:</w:t>
            </w:r>
            <w:r w:rsidRPr="00E106BD">
              <w:rPr>
                <w:rFonts w:ascii="Arial" w:hAnsi="Arial" w:cs="Arial"/>
                <w:sz w:val="16"/>
                <w:szCs w:val="16"/>
              </w:rPr>
              <w:br/>
              <w:t>an ESR no greater than 25 mm per hour or a CRP level no greater than 15 mg per L or either marker reduced by at least 20% from baseline;</w:t>
            </w:r>
            <w:r w:rsidRPr="00E106BD">
              <w:rPr>
                <w:rFonts w:ascii="Arial" w:hAnsi="Arial" w:cs="Arial"/>
                <w:sz w:val="16"/>
                <w:szCs w:val="16"/>
              </w:rPr>
              <w:br/>
              <w:t>AND either of the following:</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The measurement of response to the prior course of therapy must be documented in the patient</w:t>
            </w:r>
            <w:r w:rsidR="00A653CA">
              <w:rPr>
                <w:rFonts w:ascii="Arial" w:hAnsi="Arial" w:cs="Arial"/>
                <w:sz w:val="16"/>
                <w:szCs w:val="16"/>
              </w:rPr>
              <w:t>’</w:t>
            </w:r>
            <w:r w:rsidRPr="00E106BD">
              <w:rPr>
                <w:rFonts w:ascii="Arial" w:hAnsi="Arial" w:cs="Arial"/>
                <w:sz w:val="16"/>
                <w:szCs w:val="16"/>
              </w:rPr>
              <w:t>s medical notes.</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If a patient has either failed or ceased to respond to a PBS</w:t>
            </w:r>
            <w:r>
              <w:rPr>
                <w:rFonts w:ascii="Arial" w:hAnsi="Arial" w:cs="Arial"/>
                <w:sz w:val="16"/>
                <w:szCs w:val="16"/>
              </w:rPr>
              <w:noBreakHyphen/>
            </w:r>
            <w:r w:rsidRPr="00E106BD">
              <w:rPr>
                <w:rFonts w:ascii="Arial" w:hAnsi="Arial" w:cs="Arial"/>
                <w:sz w:val="16"/>
                <w:szCs w:val="16"/>
              </w:rPr>
              <w:t>subsidised biological medicine for this condition 5 times, they will not be eligible to receive further PBS</w:t>
            </w:r>
            <w:r>
              <w:rPr>
                <w:rFonts w:ascii="Arial" w:hAnsi="Arial" w:cs="Arial"/>
                <w:sz w:val="16"/>
                <w:szCs w:val="16"/>
              </w:rPr>
              <w:noBreakHyphen/>
            </w:r>
            <w:r w:rsidRPr="00E106BD">
              <w:rPr>
                <w:rFonts w:ascii="Arial" w:hAnsi="Arial" w:cs="Arial"/>
                <w:sz w:val="16"/>
                <w:szCs w:val="16"/>
              </w:rPr>
              <w:t>subsidised treatment with a biological medicine for this condition.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8755</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C8800</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3, Whole body (re</w:t>
            </w:r>
            <w:r>
              <w:rPr>
                <w:rFonts w:ascii="Arial" w:hAnsi="Arial" w:cs="Arial"/>
                <w:sz w:val="16"/>
                <w:szCs w:val="16"/>
              </w:rPr>
              <w:noBreakHyphen/>
            </w:r>
            <w:r w:rsidRPr="00E106BD">
              <w:rPr>
                <w:rFonts w:ascii="Arial" w:hAnsi="Arial" w:cs="Arial"/>
                <w:sz w:val="16"/>
                <w:szCs w:val="16"/>
              </w:rPr>
              <w:t>commencement of treatment after a break in biological medicine of more than 5 years)</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a break in treatment of 5 years or more from the most recently approved PBS</w:t>
            </w:r>
            <w:r>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The condition must have a current Psoriasis Area and Severity Index (PASI) score of greater than 15;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22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current Psoriasis Area and Severity Index (PASI) calculation sheets including the dates of assessment of the patient</w:t>
            </w:r>
            <w:r w:rsidR="00A653CA">
              <w:rPr>
                <w:rFonts w:ascii="Arial" w:hAnsi="Arial" w:cs="Arial"/>
                <w:sz w:val="16"/>
                <w:szCs w:val="16"/>
              </w:rPr>
              <w:t>’</w:t>
            </w:r>
            <w:r w:rsidRPr="00E106BD">
              <w:rPr>
                <w:rFonts w:ascii="Arial" w:hAnsi="Arial" w:cs="Arial"/>
                <w:sz w:val="16"/>
                <w:szCs w:val="16"/>
              </w:rPr>
              <w:t>s condition.</w:t>
            </w:r>
            <w:r w:rsidRPr="00E106BD">
              <w:rPr>
                <w:rFonts w:ascii="Arial" w:hAnsi="Arial" w:cs="Arial"/>
                <w:sz w:val="16"/>
                <w:szCs w:val="16"/>
              </w:rPr>
              <w:br/>
              <w:t>It is recommended that an assessment of a patient</w:t>
            </w:r>
            <w:r w:rsidR="00A653CA">
              <w:rPr>
                <w:rFonts w:ascii="Arial" w:hAnsi="Arial" w:cs="Arial"/>
                <w:sz w:val="16"/>
                <w:szCs w:val="16"/>
              </w:rPr>
              <w:t>’</w:t>
            </w:r>
            <w:r w:rsidRPr="00E106BD">
              <w:rPr>
                <w:rFonts w:ascii="Arial" w:hAnsi="Arial" w:cs="Arial"/>
                <w:sz w:val="16"/>
                <w:szCs w:val="16"/>
              </w:rPr>
              <w: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 Demonstration of response should be provided within this timeframe.</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C8801</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1, Face, hand, foot (new patient)</w:t>
            </w:r>
            <w:r w:rsidRPr="00E106BD">
              <w:rPr>
                <w:rFonts w:ascii="Arial" w:hAnsi="Arial" w:cs="Arial"/>
                <w:sz w:val="16"/>
                <w:szCs w:val="16"/>
              </w:rPr>
              <w:br/>
              <w:t>Patient must have severe chronic plaque psoriasis of the face, or palm of a hand or sole of a foot where the plaque or plaques have been present for at least 6 months from the time of initial diagnosis; AND</w:t>
            </w:r>
            <w:r w:rsidRPr="00E106BD">
              <w:rPr>
                <w:rFonts w:ascii="Arial" w:hAnsi="Arial" w:cs="Arial"/>
                <w:sz w:val="16"/>
                <w:szCs w:val="16"/>
              </w:rPr>
              <w:br/>
              <w:t>Patient must not have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failed to achieve an adequate response, as demonstrated by a Psoriasis Area and Severity Index (PASI) assessment, to at least 2 of the following 4 treatments: (i) phototherapy (UVB or PUVA) for 3 treatments per week for at least 6 weeks; and/or (ii) methotrexate at a dose of at least 10 mg weekly for at least 6 weeks; and/or (iii) cyclosporin at a dose of at least 2 mg per kg per day for at least 6 weeks; and/or (iv) acitretin at a dose of at least 0.4 mg per kg per day for at least 6 weeks;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22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Where treatment with methotrexate, cyclosporin or acitretin is contraindicated according to the relevant TGA</w:t>
            </w:r>
            <w:r>
              <w:rPr>
                <w:rFonts w:ascii="Arial" w:hAnsi="Arial" w:cs="Arial"/>
                <w:sz w:val="16"/>
                <w:szCs w:val="16"/>
              </w:rPr>
              <w:noBreakHyphen/>
            </w:r>
            <w:r w:rsidRPr="00E106BD">
              <w:rPr>
                <w:rFonts w:ascii="Arial" w:hAnsi="Arial" w:cs="Arial"/>
                <w:sz w:val="16"/>
                <w:szCs w:val="16"/>
              </w:rPr>
              <w:t>approved Product Information, or where phototherapy is contraindicated, details must be provided at the time of application.</w:t>
            </w:r>
            <w:r w:rsidRPr="00E106BD">
              <w:rPr>
                <w:rFonts w:ascii="Arial" w:hAnsi="Arial" w:cs="Arial"/>
                <w:sz w:val="16"/>
                <w:szCs w:val="16"/>
              </w:rPr>
              <w:br/>
              <w:t>Where intolerance to treatment with phototherapy, methotrexate, cyclosporin or acitretin developed during the relevant period of use, which was of a severity to necessitate permanent treatment withdrawal, details of the degree of this toxicity must be provided at the time of application.</w:t>
            </w:r>
            <w:r w:rsidRPr="00E106BD">
              <w:rPr>
                <w:rFonts w:ascii="Arial" w:hAnsi="Arial" w:cs="Arial"/>
                <w:sz w:val="16"/>
                <w:szCs w:val="16"/>
              </w:rPr>
              <w:br/>
              <w:t>Regardless of if a patient has a contraindication to treatment with either methotrexate, cyclosporin, acitretin or phototherapy, the patient is still required to trial 2 of these prior therapies until a failure to achieve an adequate response is met.</w:t>
            </w:r>
            <w:r w:rsidRPr="00E106BD">
              <w:rPr>
                <w:rFonts w:ascii="Arial" w:hAnsi="Arial" w:cs="Arial"/>
                <w:sz w:val="16"/>
                <w:szCs w:val="16"/>
              </w:rPr>
              <w:br/>
              <w:t>The following criterion indicates failure to achieve an adequate response to prior treatment and must be demonstrated in the patient at the time of the application:</w:t>
            </w:r>
            <w:r w:rsidRPr="00E106BD">
              <w:rPr>
                <w:rFonts w:ascii="Arial" w:hAnsi="Arial" w:cs="Arial"/>
                <w:sz w:val="16"/>
                <w:szCs w:val="16"/>
              </w:rPr>
              <w:br/>
              <w:t>(a) Chronic plaque psoriasis classified as severe due to a plaque or plaques on the face, palm of a hand or sole of a foot where:</w:t>
            </w:r>
            <w:r w:rsidRPr="00E106BD">
              <w:rPr>
                <w:rFonts w:ascii="Arial" w:hAnsi="Arial" w:cs="Arial"/>
                <w:sz w:val="16"/>
                <w:szCs w:val="16"/>
              </w:rPr>
              <w:br/>
              <w:t>(i) at least 2 of the 3 Psoriasis Area and Severity Index (PASI) symptom subscores for erythema, thickness and scaling are rated as severe or very severe, as assessed, preferably whilst still on treatment, but no longer than 1 month following cessation of the most recent prior treatment; or</w:t>
            </w:r>
            <w:r w:rsidRPr="00E106BD">
              <w:rPr>
                <w:rFonts w:ascii="Arial" w:hAnsi="Arial" w:cs="Arial"/>
                <w:sz w:val="16"/>
                <w:szCs w:val="16"/>
              </w:rPr>
              <w:br/>
              <w:t>(ii) the skin area affected is 30% or more of the face, palm of a hand or sole of a foot, as assessed, preferably whilst still on treatment, but no longer than 1 month following cessation of the most recent prior treatment;</w:t>
            </w:r>
            <w:r w:rsidRPr="00E106BD">
              <w:rPr>
                <w:rFonts w:ascii="Arial" w:hAnsi="Arial" w:cs="Arial"/>
                <w:sz w:val="16"/>
                <w:szCs w:val="16"/>
              </w:rPr>
              <w:br/>
              <w:t>(b) A PASI assessment must be completed for each prior treatment course, preferably whilst still on treatment, but no longer than 1 month following cessation of each course of treatment.</w:t>
            </w:r>
            <w:r w:rsidRPr="00E106BD">
              <w:rPr>
                <w:rFonts w:ascii="Arial" w:hAnsi="Arial" w:cs="Arial"/>
                <w:sz w:val="16"/>
                <w:szCs w:val="16"/>
              </w:rPr>
              <w:br/>
              <w:t>(c) The most recent PASI assessment must be no more than 1 month old at the time of application.</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and previous Psoriasis Area and Severity Index (PASI) calculation sheets and face, hand, foot area diagrams including the dates of assessment of the patient</w:t>
            </w:r>
            <w:r w:rsidR="00A653CA">
              <w:rPr>
                <w:rFonts w:ascii="Arial" w:hAnsi="Arial" w:cs="Arial"/>
                <w:sz w:val="16"/>
                <w:szCs w:val="16"/>
              </w:rPr>
              <w:t>’</w:t>
            </w:r>
            <w:r w:rsidRPr="00E106BD">
              <w:rPr>
                <w:rFonts w:ascii="Arial" w:hAnsi="Arial" w:cs="Arial"/>
                <w:sz w:val="16"/>
                <w:szCs w:val="16"/>
              </w:rPr>
              <w:t>s condition; and</w:t>
            </w:r>
            <w:r w:rsidRPr="00E106BD">
              <w:rPr>
                <w:rFonts w:ascii="Arial" w:hAnsi="Arial" w:cs="Arial"/>
                <w:sz w:val="16"/>
                <w:szCs w:val="16"/>
              </w:rPr>
              <w:br/>
              <w:t>(ii) details of previous phototherapy and systemic drug therapy [dosage (where applicable), date of commencement and duration of therapy].</w:t>
            </w:r>
            <w:r w:rsidRPr="00E106BD">
              <w:rPr>
                <w:rFonts w:ascii="Arial" w:hAnsi="Arial" w:cs="Arial"/>
                <w:sz w:val="16"/>
                <w:szCs w:val="16"/>
              </w:rPr>
              <w:br/>
              <w:t>It is recommended that an assessment of a patient</w:t>
            </w:r>
            <w:r w:rsidR="00A653CA">
              <w:rPr>
                <w:rFonts w:ascii="Arial" w:hAnsi="Arial" w:cs="Arial"/>
                <w:sz w:val="16"/>
                <w:szCs w:val="16"/>
              </w:rPr>
              <w:t>’</w:t>
            </w:r>
            <w:r w:rsidRPr="00E106BD">
              <w:rPr>
                <w:rFonts w:ascii="Arial" w:hAnsi="Arial" w:cs="Arial"/>
                <w:sz w:val="16"/>
                <w:szCs w:val="16"/>
              </w:rPr>
              <w: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 Demonstration of response should be provided within this timeframe.</w:t>
            </w:r>
            <w:r w:rsidRPr="00E106BD">
              <w:rPr>
                <w:rFonts w:ascii="Arial" w:hAnsi="Arial" w:cs="Arial"/>
                <w:sz w:val="16"/>
                <w:szCs w:val="16"/>
              </w:rPr>
              <w:br/>
              <w:t>The PASI assessment for first continuing or subsequent continuing treatment must be performed on the same affected area as assessed at baseline.</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C8844</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Subsequent continuing treatment, Whole body</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per subsequent continuing treatment course authorised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w:t>
            </w:r>
            <w:r w:rsidRPr="00E106BD">
              <w:rPr>
                <w:rFonts w:ascii="Arial" w:hAnsi="Arial" w:cs="Arial"/>
                <w:sz w:val="16"/>
                <w:szCs w:val="16"/>
              </w:rPr>
              <w:br/>
              <w:t>A Psoriasis Area and Severity Index (PASI) score which is reduced by 75% or more, or is sustained at this level, when compared with the baseline value for this treatment cycle.</w:t>
            </w:r>
            <w:r w:rsidRPr="00E106BD">
              <w:rPr>
                <w:rFonts w:ascii="Arial" w:hAnsi="Arial" w:cs="Arial"/>
                <w:sz w:val="16"/>
                <w:szCs w:val="16"/>
              </w:rPr>
              <w:br/>
              <w:t>The measurement of response to the prior course of therapy must be documented in the patient</w:t>
            </w:r>
            <w:r w:rsidR="00A653CA">
              <w:rPr>
                <w:rFonts w:ascii="Arial" w:hAnsi="Arial" w:cs="Arial"/>
                <w:sz w:val="16"/>
                <w:szCs w:val="16"/>
              </w:rPr>
              <w:t>’</w:t>
            </w:r>
            <w:r w:rsidRPr="00E106BD">
              <w:rPr>
                <w:rFonts w:ascii="Arial" w:hAnsi="Arial" w:cs="Arial"/>
                <w:sz w:val="16"/>
                <w:szCs w:val="16"/>
              </w:rPr>
              <w:t>s medical notes.</w:t>
            </w:r>
            <w:r w:rsidRPr="00E106BD">
              <w:rPr>
                <w:rFonts w:ascii="Arial" w:hAnsi="Arial" w:cs="Arial"/>
                <w:sz w:val="16"/>
                <w:szCs w:val="16"/>
              </w:rPr>
              <w:br/>
              <w:t>Determination of response must be based on the PASI assessment of response to the most recent course of treatment with this drug.</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8844</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C8881</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Subsequent continuing treatment, Face, hand, foot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per subsequent continuing treatment course authorised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 the plaque or plaques assessed prior to biological treatment showing:</w:t>
            </w:r>
            <w:r w:rsidRPr="00E106BD">
              <w:rPr>
                <w:rFonts w:ascii="Arial" w:hAnsi="Arial" w:cs="Arial"/>
                <w:sz w:val="16"/>
                <w:szCs w:val="16"/>
              </w:rPr>
              <w:br/>
              <w:t>(i) a reduction in the Psoriasis Area and Severity Index (PASI) symptom subscores for all 3 of erythema, thickness and scaling, to slight or better, or sustained at this level, as compared to the baseline values; or</w:t>
            </w:r>
            <w:r w:rsidRPr="00E106BD">
              <w:rPr>
                <w:rFonts w:ascii="Arial" w:hAnsi="Arial" w:cs="Arial"/>
                <w:sz w:val="16"/>
                <w:szCs w:val="16"/>
              </w:rPr>
              <w:br/>
              <w:t>(ii) a reduction by 75% or more in the skin area affected, or sustained at this level, as compared to the baseline value for this treatment cycle.</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Psoriasis Area and Severity Index (PASI) calculation sheet and face, hand, foot area diagrams including the date of the assessment of the patient</w:t>
            </w:r>
            <w:r w:rsidR="00A653CA">
              <w:rPr>
                <w:rFonts w:ascii="Arial" w:hAnsi="Arial" w:cs="Arial"/>
                <w:sz w:val="16"/>
                <w:szCs w:val="16"/>
              </w:rPr>
              <w:t>’</w:t>
            </w:r>
            <w:r w:rsidRPr="00E106BD">
              <w:rPr>
                <w:rFonts w:ascii="Arial" w:hAnsi="Arial" w:cs="Arial"/>
                <w:sz w:val="16"/>
                <w:szCs w:val="16"/>
              </w:rPr>
              <w:t>s condition.</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Approval will be based on the PASI assessment of response to the most recent course of treatment with this drug.</w:t>
            </w:r>
            <w:r w:rsidRPr="00E106BD">
              <w:rPr>
                <w:rFonts w:ascii="Arial" w:hAnsi="Arial" w:cs="Arial"/>
                <w:sz w:val="16"/>
                <w:szCs w:val="16"/>
              </w:rPr>
              <w:br/>
              <w:t>The PASI assessment for continuing treatment must be performed on the same affected area as assessed at baseline.</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C8883</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First continuing treatment, Face, hand, foot</w:t>
            </w:r>
            <w:r w:rsidRPr="00E106BD">
              <w:rPr>
                <w:rFonts w:ascii="Arial" w:hAnsi="Arial" w:cs="Arial"/>
                <w:sz w:val="16"/>
                <w:szCs w:val="16"/>
              </w:rPr>
              <w:br/>
              <w:t>Patient must have received this drug as their most recent course of PBS</w:t>
            </w:r>
            <w:r>
              <w:rPr>
                <w:rFonts w:ascii="Arial" w:hAnsi="Arial" w:cs="Arial"/>
                <w:sz w:val="16"/>
                <w:szCs w:val="16"/>
              </w:rPr>
              <w:noBreakHyphen/>
            </w:r>
            <w:r w:rsidRPr="00E106BD">
              <w:rPr>
                <w:rFonts w:ascii="Arial" w:hAnsi="Arial" w:cs="Arial"/>
                <w:sz w:val="16"/>
                <w:szCs w:val="16"/>
              </w:rPr>
              <w:t>subsidised biological medicine treatment for this condition;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 the plaque or plaques assessed prior to biological treatment showing:</w:t>
            </w:r>
            <w:r w:rsidRPr="00E106BD">
              <w:rPr>
                <w:rFonts w:ascii="Arial" w:hAnsi="Arial" w:cs="Arial"/>
                <w:sz w:val="16"/>
                <w:szCs w:val="16"/>
              </w:rPr>
              <w:br/>
              <w:t>(i) a reduction in the Psoriasis Area and Severity Index (PASI) symptom subscores for all 3 of erythema, thickness and scaling, to slight or better, or sustained at this level, as compared to the baseline values; or</w:t>
            </w:r>
            <w:r w:rsidRPr="00E106BD">
              <w:rPr>
                <w:rFonts w:ascii="Arial" w:hAnsi="Arial" w:cs="Arial"/>
                <w:sz w:val="16"/>
                <w:szCs w:val="16"/>
              </w:rPr>
              <w:br/>
              <w:t>(ii) a reduction by 75% or more in the skin area affected, or sustained at this level, as compared to the baseline value for this treatment cycle.</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Psoriasis Area and Severity Index (PASI) calculation sheet and face, hand, foot area diagrams including the date of the assessment of the patient</w:t>
            </w:r>
            <w:r w:rsidR="00A653CA">
              <w:rPr>
                <w:rFonts w:ascii="Arial" w:hAnsi="Arial" w:cs="Arial"/>
                <w:sz w:val="16"/>
                <w:szCs w:val="16"/>
              </w:rPr>
              <w:t>’</w:t>
            </w:r>
            <w:r w:rsidRPr="00E106BD">
              <w:rPr>
                <w:rFonts w:ascii="Arial" w:hAnsi="Arial" w:cs="Arial"/>
                <w:sz w:val="16"/>
                <w:szCs w:val="16"/>
              </w:rPr>
              <w:t>s condition.</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Approval will be based on the PASI assessment of response to the most recent course of treatment with this drug.</w:t>
            </w:r>
            <w:r w:rsidRPr="00E106BD">
              <w:rPr>
                <w:rFonts w:ascii="Arial" w:hAnsi="Arial" w:cs="Arial"/>
                <w:sz w:val="16"/>
                <w:szCs w:val="16"/>
              </w:rPr>
              <w:br/>
              <w:t>The PASI assessment for first continuing or subsequent continuing treatment must be performed on the same affected area assessed at baseline.</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C8885</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Initial 1 </w:t>
            </w:r>
            <w:r>
              <w:rPr>
                <w:rFonts w:ascii="Arial" w:hAnsi="Arial" w:cs="Arial"/>
                <w:sz w:val="16"/>
                <w:szCs w:val="16"/>
              </w:rPr>
              <w:noBreakHyphen/>
            </w:r>
            <w:r w:rsidRPr="00E106BD">
              <w:rPr>
                <w:rFonts w:ascii="Arial" w:hAnsi="Arial" w:cs="Arial"/>
                <w:sz w:val="16"/>
                <w:szCs w:val="16"/>
              </w:rPr>
              <w:t xml:space="preserve"> Whole body (new patient)</w:t>
            </w:r>
            <w:r w:rsidRPr="00E106BD">
              <w:rPr>
                <w:rFonts w:ascii="Arial" w:hAnsi="Arial" w:cs="Arial"/>
                <w:sz w:val="16"/>
                <w:szCs w:val="16"/>
              </w:rPr>
              <w:br/>
              <w:t>Patient must have severe chronic plaque psoriasis where lesions have been present for at least 6 months from the time of initial diagnosis; AND</w:t>
            </w:r>
            <w:r w:rsidRPr="00E106BD">
              <w:rPr>
                <w:rFonts w:ascii="Arial" w:hAnsi="Arial" w:cs="Arial"/>
                <w:sz w:val="16"/>
                <w:szCs w:val="16"/>
              </w:rPr>
              <w:br/>
              <w:t>Patient must not have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failed to achieve an adequate response, as demonstrated by a Psoriasis Area and Severity Index (PASI) assessment, to at least 2 of the following 4 treatments: (i) phototherapy (UVB or PUVA) for 3 treatments per week for at least 6 weeks; and/or (ii) methotrexate at a dose of at least 10 mg weekly for at least 6 weeks; and/or (iii) cyclosporin at a dose of at least 2 mg per kg per day for at least 6 weeks; and/or (iv) acitretin at a dose of at least 0.4 mg per kg per day for at least 6 weeks;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22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Where treatment with methotrexate, cyclosporin or acitretin is contraindicated according to the relevant TGA</w:t>
            </w:r>
            <w:r>
              <w:rPr>
                <w:rFonts w:ascii="Arial" w:hAnsi="Arial" w:cs="Arial"/>
                <w:sz w:val="16"/>
                <w:szCs w:val="16"/>
              </w:rPr>
              <w:noBreakHyphen/>
            </w:r>
            <w:r w:rsidRPr="00E106BD">
              <w:rPr>
                <w:rFonts w:ascii="Arial" w:hAnsi="Arial" w:cs="Arial"/>
                <w:sz w:val="16"/>
                <w:szCs w:val="16"/>
              </w:rPr>
              <w:t>approved Product Information, or where phototherapy is contraindicated, details must be provided at the time of application.</w:t>
            </w:r>
            <w:r w:rsidRPr="00E106BD">
              <w:rPr>
                <w:rFonts w:ascii="Arial" w:hAnsi="Arial" w:cs="Arial"/>
                <w:sz w:val="16"/>
                <w:szCs w:val="16"/>
              </w:rPr>
              <w:br/>
              <w:t>Where intolerance to treatment with phototherapy, methotrexate, cyclosporin or acitretin developed during the relevant period of use, which was of a severity to necessitate permanent treatment withdrawal, details of the degree of this toxicity must be provided at the time of application.</w:t>
            </w:r>
            <w:r w:rsidRPr="00E106BD">
              <w:rPr>
                <w:rFonts w:ascii="Arial" w:hAnsi="Arial" w:cs="Arial"/>
                <w:sz w:val="16"/>
                <w:szCs w:val="16"/>
              </w:rPr>
              <w:br/>
              <w:t>Regardless of if a patient has a contraindication to treatment with either methotrexate, cyclosporin, acitretin or phototherapy, the patient is still required to trial 2 of these prior therapies until a failure to achieve an adequate response is met.</w:t>
            </w:r>
            <w:r w:rsidRPr="00E106BD">
              <w:rPr>
                <w:rFonts w:ascii="Arial" w:hAnsi="Arial" w:cs="Arial"/>
                <w:sz w:val="16"/>
                <w:szCs w:val="16"/>
              </w:rPr>
              <w:br/>
              <w:t>The following criterion indicates failure to achieve an adequate response to prior treatment and must be demonstrated in the patient at the time of the application:</w:t>
            </w:r>
            <w:r w:rsidRPr="00E106BD">
              <w:rPr>
                <w:rFonts w:ascii="Arial" w:hAnsi="Arial" w:cs="Arial"/>
                <w:sz w:val="16"/>
                <w:szCs w:val="16"/>
              </w:rPr>
              <w:br/>
              <w:t>(a) A current Psoriasis Area and Severity Index (PASI) score of greater than 15, as assessed, preferably whilst still on treatment, but no longer than 1 month following cessation of the most recent prior treatment.</w:t>
            </w:r>
            <w:r w:rsidRPr="00E106BD">
              <w:rPr>
                <w:rFonts w:ascii="Arial" w:hAnsi="Arial" w:cs="Arial"/>
                <w:sz w:val="16"/>
                <w:szCs w:val="16"/>
              </w:rPr>
              <w:br/>
              <w:t>(b) A PASI assessment must be completed for each prior treatment course, preferably whilst still on treatment, but no longer than 1 month following cessation of each course of treatment.</w:t>
            </w:r>
            <w:r w:rsidRPr="00E106BD">
              <w:rPr>
                <w:rFonts w:ascii="Arial" w:hAnsi="Arial" w:cs="Arial"/>
                <w:sz w:val="16"/>
                <w:szCs w:val="16"/>
              </w:rPr>
              <w:br/>
              <w:t>(c) The most recent PASI assessment must be no more than 1 month old at the time of application.</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and previous Psoriasis Area and Severity Index (PASI) calculation sheets including the dates of assessment of the patient</w:t>
            </w:r>
            <w:r w:rsidR="00A653CA">
              <w:rPr>
                <w:rFonts w:ascii="Arial" w:hAnsi="Arial" w:cs="Arial"/>
                <w:sz w:val="16"/>
                <w:szCs w:val="16"/>
              </w:rPr>
              <w:t>’</w:t>
            </w:r>
            <w:r w:rsidRPr="00E106BD">
              <w:rPr>
                <w:rFonts w:ascii="Arial" w:hAnsi="Arial" w:cs="Arial"/>
                <w:sz w:val="16"/>
                <w:szCs w:val="16"/>
              </w:rPr>
              <w:t>s condition; and</w:t>
            </w:r>
            <w:r w:rsidRPr="00E106BD">
              <w:rPr>
                <w:rFonts w:ascii="Arial" w:hAnsi="Arial" w:cs="Arial"/>
                <w:sz w:val="16"/>
                <w:szCs w:val="16"/>
              </w:rPr>
              <w:br/>
              <w:t>(ii) details of previous phototherapy and systemic drug therapy [dosage (where applicable), date of commencement and duration of therapy].</w:t>
            </w:r>
            <w:r w:rsidRPr="00E106BD">
              <w:rPr>
                <w:rFonts w:ascii="Arial" w:hAnsi="Arial" w:cs="Arial"/>
                <w:sz w:val="16"/>
                <w:szCs w:val="16"/>
              </w:rPr>
              <w:br/>
              <w:t>It is recommended that an assessment of a patient</w:t>
            </w:r>
            <w:r w:rsidR="00A653CA">
              <w:rPr>
                <w:rFonts w:ascii="Arial" w:hAnsi="Arial" w:cs="Arial"/>
                <w:sz w:val="16"/>
                <w:szCs w:val="16"/>
              </w:rPr>
              <w:t>’</w:t>
            </w:r>
            <w:r w:rsidRPr="00E106BD">
              <w:rPr>
                <w:rFonts w:ascii="Arial" w:hAnsi="Arial" w:cs="Arial"/>
                <w:sz w:val="16"/>
                <w:szCs w:val="16"/>
              </w:rPr>
              <w: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 Demonstration of response should be provided within this timeframe.</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C8886</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Initial 1, Whole body or Face, hand, foot (new patient) or Initial 2, Whole body or Face, hand, foot (change or recommencement of treatment after a break in biological medicine of less than 5 years) or Initial 3, Whole body or Face, hand, foot (re</w:t>
            </w:r>
            <w:r>
              <w:rPr>
                <w:rFonts w:ascii="Arial" w:hAnsi="Arial" w:cs="Arial"/>
                <w:sz w:val="16"/>
                <w:szCs w:val="16"/>
              </w:rPr>
              <w:noBreakHyphen/>
            </w:r>
            <w:r w:rsidRPr="00E106BD">
              <w:rPr>
                <w:rFonts w:ascii="Arial" w:hAnsi="Arial" w:cs="Arial"/>
                <w:sz w:val="16"/>
                <w:szCs w:val="16"/>
              </w:rPr>
              <w:t xml:space="preserve">commencement of treatment after a break in biological medicine of more than 5 years)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Patient must have received insufficient therapy with this drug for this condition under the Initial 1, Whole body (new patient) restriction to complete 22 weeks treatment; OR</w:t>
            </w:r>
            <w:r w:rsidRPr="00E106BD">
              <w:rPr>
                <w:rFonts w:ascii="Arial" w:hAnsi="Arial" w:cs="Arial"/>
                <w:sz w:val="16"/>
                <w:szCs w:val="16"/>
              </w:rPr>
              <w:br/>
              <w:t>Patient must have received insufficient therapy with this drug for this condition under the Initial 2, Whole body (change or recommencement of treatment after a break in biological medicine of less than 5 years ) restriction to complete 22 weeks treatment; OR</w:t>
            </w:r>
            <w:r w:rsidRPr="00E106BD">
              <w:rPr>
                <w:rFonts w:ascii="Arial" w:hAnsi="Arial" w:cs="Arial"/>
                <w:sz w:val="16"/>
                <w:szCs w:val="16"/>
              </w:rPr>
              <w:br/>
              <w:t>Patient must have received insufficient therapy with this drug for this condition under the Initial 3, Whole body (re</w:t>
            </w:r>
            <w:r>
              <w:rPr>
                <w:rFonts w:ascii="Arial" w:hAnsi="Arial" w:cs="Arial"/>
                <w:sz w:val="16"/>
                <w:szCs w:val="16"/>
              </w:rPr>
              <w:noBreakHyphen/>
            </w:r>
            <w:r w:rsidRPr="00E106BD">
              <w:rPr>
                <w:rFonts w:ascii="Arial" w:hAnsi="Arial" w:cs="Arial"/>
                <w:sz w:val="16"/>
                <w:szCs w:val="16"/>
              </w:rPr>
              <w:t>commencement of treatment after a break in biological medicine of more than 5 years) restriction to complete 22 weeks treatment; OR</w:t>
            </w:r>
            <w:r w:rsidRPr="00E106BD">
              <w:rPr>
                <w:rFonts w:ascii="Arial" w:hAnsi="Arial" w:cs="Arial"/>
                <w:sz w:val="16"/>
                <w:szCs w:val="16"/>
              </w:rPr>
              <w:br/>
              <w:t>Patient must have received insufficient therapy with this drug for this condition under the Initial 1, Face, hand, foot (new patient) restriction to complete 22 weeks treatment; OR</w:t>
            </w:r>
            <w:r w:rsidRPr="00E106BD">
              <w:rPr>
                <w:rFonts w:ascii="Arial" w:hAnsi="Arial" w:cs="Arial"/>
                <w:sz w:val="16"/>
                <w:szCs w:val="16"/>
              </w:rPr>
              <w:br/>
              <w:t>Patient must have received insufficient therapy with this drug for this condition under the Initial 2, Face, hand, foot (change or recommencement of treatment after a break in biological medicine of less than 5 years) restriction to complete 22 weeks treatment; OR</w:t>
            </w:r>
            <w:r w:rsidRPr="00E106BD">
              <w:rPr>
                <w:rFonts w:ascii="Arial" w:hAnsi="Arial" w:cs="Arial"/>
                <w:sz w:val="16"/>
                <w:szCs w:val="16"/>
              </w:rPr>
              <w:br/>
              <w:t>Patient must have received insufficient therapy with this drug for this condition under the Initial 3, Face, hand, foot (re</w:t>
            </w:r>
            <w:r>
              <w:rPr>
                <w:rFonts w:ascii="Arial" w:hAnsi="Arial" w:cs="Arial"/>
                <w:sz w:val="16"/>
                <w:szCs w:val="16"/>
              </w:rPr>
              <w:noBreakHyphen/>
            </w:r>
            <w:r w:rsidRPr="00E106BD">
              <w:rPr>
                <w:rFonts w:ascii="Arial" w:hAnsi="Arial" w:cs="Arial"/>
                <w:sz w:val="16"/>
                <w:szCs w:val="16"/>
              </w:rPr>
              <w:t>commencement of treatment after a break in biological medicine of more than 5 years) restriction to complete 22 weeks treatment;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The treatment must provide no more than the balance of up to 22 weeks treatment available under the above restrictions.</w:t>
            </w:r>
            <w:r w:rsidRPr="00E106BD">
              <w:rPr>
                <w:rFonts w:ascii="Arial" w:hAnsi="Arial" w:cs="Arial"/>
                <w:sz w:val="16"/>
                <w:szCs w:val="16"/>
              </w:rPr>
              <w:br/>
              <w:t>Must be treated by a dermatologist.</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C8940</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Subsequent continuing treatment, Face, hand, foot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per subsequent continuing treatment course authorised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 the plaque or plaques assessed prior to biological treatment showing:</w:t>
            </w:r>
            <w:r w:rsidRPr="00E106BD">
              <w:rPr>
                <w:rFonts w:ascii="Arial" w:hAnsi="Arial" w:cs="Arial"/>
                <w:sz w:val="16"/>
                <w:szCs w:val="16"/>
              </w:rPr>
              <w:br/>
              <w:t>(i) a reduction in the Psoriasis Area and Severity Index (PASI) symptom subscores for all 3 of erythema, thickness and scaling, to slight or better, or sustained at this level, as compared to the baseline values; or</w:t>
            </w:r>
            <w:r w:rsidRPr="00E106BD">
              <w:rPr>
                <w:rFonts w:ascii="Arial" w:hAnsi="Arial" w:cs="Arial"/>
                <w:sz w:val="16"/>
                <w:szCs w:val="16"/>
              </w:rPr>
              <w:br/>
              <w:t>(ii) a reduction by 75% or more in the skin area affected, or sustained at this level, as compared to the baseline value for this treatment cycle.</w:t>
            </w:r>
            <w:r w:rsidRPr="00E106BD">
              <w:rPr>
                <w:rFonts w:ascii="Arial" w:hAnsi="Arial" w:cs="Arial"/>
                <w:sz w:val="16"/>
                <w:szCs w:val="16"/>
              </w:rPr>
              <w:br/>
              <w:t>The measurement of response to the prior course of therapy must be documented in the patient</w:t>
            </w:r>
            <w:r w:rsidR="00A653CA">
              <w:rPr>
                <w:rFonts w:ascii="Arial" w:hAnsi="Arial" w:cs="Arial"/>
                <w:sz w:val="16"/>
                <w:szCs w:val="16"/>
              </w:rPr>
              <w:t>’</w:t>
            </w:r>
            <w:r w:rsidRPr="00E106BD">
              <w:rPr>
                <w:rFonts w:ascii="Arial" w:hAnsi="Arial" w:cs="Arial"/>
                <w:sz w:val="16"/>
                <w:szCs w:val="16"/>
              </w:rPr>
              <w:t>s medical notes.</w:t>
            </w:r>
            <w:r w:rsidRPr="00E106BD">
              <w:rPr>
                <w:rFonts w:ascii="Arial" w:hAnsi="Arial" w:cs="Arial"/>
                <w:sz w:val="16"/>
                <w:szCs w:val="16"/>
              </w:rPr>
              <w:br/>
              <w:t>Determination of response must be based on the PASI assessment of response to the most recent course of treatment with this drug.</w:t>
            </w:r>
            <w:r w:rsidRPr="00E106BD">
              <w:rPr>
                <w:rFonts w:ascii="Arial" w:hAnsi="Arial" w:cs="Arial"/>
                <w:sz w:val="16"/>
                <w:szCs w:val="16"/>
              </w:rPr>
              <w:br/>
              <w:t>The PASI assessment for continuing treatment must be performed on the same affected area as assessed at baseline.</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8940</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C8941</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Subsequent continuing treatment, Whole body</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per subsequent continuing treatment course authorised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w:t>
            </w:r>
            <w:r w:rsidRPr="00E106BD">
              <w:rPr>
                <w:rFonts w:ascii="Arial" w:hAnsi="Arial" w:cs="Arial"/>
                <w:sz w:val="16"/>
                <w:szCs w:val="16"/>
              </w:rPr>
              <w:br/>
              <w:t>A Psoriasis Area and Severity Index (PASI) score which is reduced by 75% or more, or is sustained at this level, when compared with the baseline value for this treatment cycle.</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Psoriasis Area and Severity Index (PASI) calculation sheet including the date of the assessment of the patient</w:t>
            </w:r>
            <w:r w:rsidR="00A653CA">
              <w:rPr>
                <w:rFonts w:ascii="Arial" w:hAnsi="Arial" w:cs="Arial"/>
                <w:sz w:val="16"/>
                <w:szCs w:val="16"/>
              </w:rPr>
              <w:t>’</w:t>
            </w:r>
            <w:r w:rsidRPr="00E106BD">
              <w:rPr>
                <w:rFonts w:ascii="Arial" w:hAnsi="Arial" w:cs="Arial"/>
                <w:sz w:val="16"/>
                <w:szCs w:val="16"/>
              </w:rPr>
              <w:t>s condition.</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Approval will be based on the PASI assessment of response to the most recent course of treatment with this drug.</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C8962</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First continuing treatment, Whole body</w:t>
            </w:r>
            <w:r w:rsidRPr="00E106BD">
              <w:rPr>
                <w:rFonts w:ascii="Arial" w:hAnsi="Arial" w:cs="Arial"/>
                <w:sz w:val="16"/>
                <w:szCs w:val="16"/>
              </w:rPr>
              <w:br/>
              <w:t>Patient must have received this drug as their most recent course of PBS</w:t>
            </w:r>
            <w:r>
              <w:rPr>
                <w:rFonts w:ascii="Arial" w:hAnsi="Arial" w:cs="Arial"/>
                <w:sz w:val="16"/>
                <w:szCs w:val="16"/>
              </w:rPr>
              <w:noBreakHyphen/>
            </w:r>
            <w:r w:rsidRPr="00E106BD">
              <w:rPr>
                <w:rFonts w:ascii="Arial" w:hAnsi="Arial" w:cs="Arial"/>
                <w:sz w:val="16"/>
                <w:szCs w:val="16"/>
              </w:rPr>
              <w:t>subsidised biological medicine treatment for this condition;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w:t>
            </w:r>
            <w:r w:rsidRPr="00E106BD">
              <w:rPr>
                <w:rFonts w:ascii="Arial" w:hAnsi="Arial" w:cs="Arial"/>
                <w:sz w:val="16"/>
                <w:szCs w:val="16"/>
              </w:rPr>
              <w:br/>
              <w:t>A Psoriasis Area and Severity Index (PASI) score which is reduced by 75% or more, or is sustained at this level, when compared with the baseline value for this treatment cycle.</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Psoriasis Area and Severity Index (PASI) calculation sheet including the date of the assessment of the patient</w:t>
            </w:r>
            <w:r w:rsidR="00A653CA">
              <w:rPr>
                <w:rFonts w:ascii="Arial" w:hAnsi="Arial" w:cs="Arial"/>
                <w:sz w:val="16"/>
                <w:szCs w:val="16"/>
              </w:rPr>
              <w:t>’</w:t>
            </w:r>
            <w:r w:rsidRPr="00E106BD">
              <w:rPr>
                <w:rFonts w:ascii="Arial" w:hAnsi="Arial" w:cs="Arial"/>
                <w:sz w:val="16"/>
                <w:szCs w:val="16"/>
              </w:rPr>
              <w:t>s condition.</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Approval will be based on the PASI assessment of response to the most recent course of treatment with this drug.</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C8983</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3, Face, hand, foot (re</w:t>
            </w:r>
            <w:r>
              <w:rPr>
                <w:rFonts w:ascii="Arial" w:hAnsi="Arial" w:cs="Arial"/>
                <w:sz w:val="16"/>
                <w:szCs w:val="16"/>
              </w:rPr>
              <w:noBreakHyphen/>
            </w:r>
            <w:r w:rsidRPr="00E106BD">
              <w:rPr>
                <w:rFonts w:ascii="Arial" w:hAnsi="Arial" w:cs="Arial"/>
                <w:sz w:val="16"/>
                <w:szCs w:val="16"/>
              </w:rPr>
              <w:t>commencement of treatment after a break in biological medicine of more than 5 years)</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a break in treatment of 5 years or more from the most recently approved PBS</w:t>
            </w:r>
            <w:r>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The condition must be classified as severe due to a plaque or plaques on the face, palm of a hand or sole of a foot where: (i) at least 2 of the 3 Psoriasis Area and Severity Index (PASI) symptom subscores for erythema, thickness and scaling are rated as severe or very severe; or (ii) the skin area affected is 30% or more of the face, palm of a hand or sole of a foot;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22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current Psoriasis Area and Severity Index (PASI) calculation sheets and face, hand, foot area diagrams including the dates of assessment of the patient</w:t>
            </w:r>
            <w:r w:rsidR="00A653CA">
              <w:rPr>
                <w:rFonts w:ascii="Arial" w:hAnsi="Arial" w:cs="Arial"/>
                <w:sz w:val="16"/>
                <w:szCs w:val="16"/>
              </w:rPr>
              <w:t>’</w:t>
            </w:r>
            <w:r w:rsidRPr="00E106BD">
              <w:rPr>
                <w:rFonts w:ascii="Arial" w:hAnsi="Arial" w:cs="Arial"/>
                <w:sz w:val="16"/>
                <w:szCs w:val="16"/>
              </w:rPr>
              <w:t>s condition.</w:t>
            </w:r>
            <w:r w:rsidRPr="00E106BD">
              <w:rPr>
                <w:rFonts w:ascii="Arial" w:hAnsi="Arial" w:cs="Arial"/>
                <w:sz w:val="16"/>
                <w:szCs w:val="16"/>
              </w:rPr>
              <w:br/>
              <w:t>It is recommended that an assessment of a patient</w:t>
            </w:r>
            <w:r w:rsidR="00A653CA">
              <w:rPr>
                <w:rFonts w:ascii="Arial" w:hAnsi="Arial" w:cs="Arial"/>
                <w:sz w:val="16"/>
                <w:szCs w:val="16"/>
              </w:rPr>
              <w:t>’</w:t>
            </w:r>
            <w:r w:rsidRPr="00E106BD">
              <w:rPr>
                <w:rFonts w:ascii="Arial" w:hAnsi="Arial" w:cs="Arial"/>
                <w:sz w:val="16"/>
                <w:szCs w:val="16"/>
              </w:rPr>
              <w: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 Demonstration of response should be provided within this timeframe.</w:t>
            </w:r>
            <w:r w:rsidRPr="00E106BD">
              <w:rPr>
                <w:rFonts w:ascii="Arial" w:hAnsi="Arial" w:cs="Arial"/>
                <w:sz w:val="16"/>
                <w:szCs w:val="16"/>
              </w:rPr>
              <w:br/>
              <w:t>The PASI assessment for first continuing or subsequent continuing treatment must be performed on the same affected area as assessed at baseline.</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C9065</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w:t>
            </w:r>
            <w:r w:rsidRPr="00E106BD">
              <w:rPr>
                <w:rFonts w:ascii="Arial" w:eastAsia="SimSun" w:hAnsi="Arial" w:cs="Arial"/>
                <w:sz w:val="16"/>
                <w:szCs w:val="16"/>
                <w:lang w:eastAsia="zh-CN"/>
              </w:rPr>
              <w:br/>
              <w:t>Up to a maximum of 2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was approved under the first continuing treatment restriction, 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C9067</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w:t>
            </w:r>
            <w:r w:rsidRPr="00E106BD">
              <w:rPr>
                <w:rFonts w:ascii="Arial" w:eastAsia="SimSun" w:hAnsi="Arial" w:cs="Arial"/>
                <w:sz w:val="16"/>
                <w:szCs w:val="16"/>
                <w:lang w:eastAsia="zh-CN"/>
              </w:rPr>
              <w:br/>
              <w:t>Up to a maximum of 2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was approved under either Initial 1, Initial 2, or Initial 3 treatment restrictions, 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C9068</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Continuing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received insufficient therapy with this drug for this condition under the first continuing treatment restriction to complete 24 weeks treatment; OR</w:t>
            </w:r>
            <w:r w:rsidRPr="00E106BD">
              <w:rPr>
                <w:rFonts w:ascii="Arial" w:eastAsia="SimSun" w:hAnsi="Arial" w:cs="Arial"/>
                <w:sz w:val="16"/>
                <w:szCs w:val="16"/>
                <w:lang w:eastAsia="zh-CN"/>
              </w:rPr>
              <w:br/>
              <w:t>Patient must have received insufficient therapy with this drug for this condition under the subsequent continuing Authority Required (in writing) treatment restriction to complete 24 weeks treatment; AND</w:t>
            </w:r>
            <w:r w:rsidRPr="00E106BD">
              <w:rPr>
                <w:rFonts w:ascii="Arial" w:eastAsia="SimSun" w:hAnsi="Arial" w:cs="Arial"/>
                <w:sz w:val="16"/>
                <w:szCs w:val="16"/>
                <w:lang w:eastAsia="zh-CN"/>
              </w:rPr>
              <w:br/>
              <w:t>The treatment must provide no more than the balance of up to 24 weeks treatment available under the above restrictions.</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Compliance with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C9110</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not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failed to achieve an adequate response to methotrexate at a dose of at least 20 mg weekly for a minimum period of 3 months; AND</w:t>
            </w:r>
            <w:r w:rsidRPr="00E106BD">
              <w:rPr>
                <w:rFonts w:ascii="Arial" w:eastAsia="SimSun" w:hAnsi="Arial" w:cs="Arial"/>
                <w:sz w:val="16"/>
                <w:szCs w:val="16"/>
                <w:lang w:eastAsia="zh-CN"/>
              </w:rPr>
              <w:br/>
              <w:t>Patient must have failed to achieve an adequate response to sulfasalazine at a dose of at least 2 g per day for a minimum period of 3 months; OR</w:t>
            </w:r>
            <w:r w:rsidRPr="00E106BD">
              <w:rPr>
                <w:rFonts w:ascii="Arial" w:eastAsia="SimSun" w:hAnsi="Arial" w:cs="Arial"/>
                <w:sz w:val="16"/>
                <w:szCs w:val="16"/>
                <w:lang w:eastAsia="zh-CN"/>
              </w:rPr>
              <w:br/>
              <w:t>Patient must have failed to achieve an adequate response to leflunomide at a dose of up to 20 mg daily for a minimum period of 3 months;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Where treatment with methotrexate, sulfasalazine or leflunomide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details must be provided at the time of application.</w:t>
            </w:r>
            <w:r w:rsidRPr="00E106BD">
              <w:rPr>
                <w:rFonts w:ascii="Arial" w:eastAsia="SimSun" w:hAnsi="Arial" w:cs="Arial"/>
                <w:sz w:val="16"/>
                <w:szCs w:val="16"/>
                <w:lang w:eastAsia="zh-CN"/>
              </w:rPr>
              <w:br/>
              <w:t>Where intolerance to treatment with methotrexate, sulfasalazine or leflunomide developed during the relevant period of use, which was of a severity to necessitate permanent treatment withdrawal, details of the degree of this toxicity must be provided at the time of application.</w:t>
            </w:r>
            <w:r w:rsidRPr="00E106BD">
              <w:rPr>
                <w:rFonts w:ascii="Arial" w:eastAsia="SimSun" w:hAnsi="Arial" w:cs="Arial"/>
                <w:sz w:val="16"/>
                <w:szCs w:val="16"/>
                <w:lang w:eastAsia="zh-CN"/>
              </w:rPr>
              <w:br/>
              <w:t>The following initiation criteria indicate failure to achieve an adequate response and must be demonstrated in all patients at the time of the initial application:</w:t>
            </w:r>
            <w:r w:rsidRPr="00E106BD">
              <w:rPr>
                <w:rFonts w:ascii="Arial" w:eastAsia="SimSun" w:hAnsi="Arial" w:cs="Arial"/>
                <w:sz w:val="16"/>
                <w:szCs w:val="16"/>
                <w:lang w:eastAsia="zh-CN"/>
              </w:rPr>
              <w:br/>
              <w:t>an elevated erythrocyte sedimentation rate (ESR)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15 mg per L; and</w:t>
            </w:r>
            <w:r w:rsidRPr="00E106BD">
              <w:rPr>
                <w:rFonts w:ascii="Arial" w:eastAsia="SimSun" w:hAnsi="Arial" w:cs="Arial"/>
                <w:sz w:val="16"/>
                <w:szCs w:val="16"/>
                <w:lang w:eastAsia="zh-CN"/>
              </w:rPr>
              <w:br/>
              <w:t>either</w:t>
            </w:r>
            <w:r w:rsidRPr="00E106BD">
              <w:rPr>
                <w:rFonts w:ascii="Arial" w:eastAsia="SimSun" w:hAnsi="Arial" w:cs="Arial"/>
                <w:sz w:val="16"/>
                <w:szCs w:val="16"/>
                <w:lang w:eastAsia="zh-CN"/>
              </w:rPr>
              <w:br/>
              <w:t>(a) an active joint count of at least 20 active (swollen and tender) joints; or</w:t>
            </w:r>
            <w:r w:rsidRPr="00E106BD">
              <w:rPr>
                <w:rFonts w:ascii="Arial" w:eastAsia="SimSun" w:hAnsi="Arial" w:cs="Arial"/>
                <w:sz w:val="16"/>
                <w:szCs w:val="16"/>
                <w:lang w:eastAsia="zh-CN"/>
              </w:rPr>
              <w:br/>
              <w:t>(b) at least 4 active joints from the following list of major joints:</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If the above requirement to demonstrate an elevated ESR or CRP cannot be met, the application must state the reasons why this criterion cannot be satisfied.</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C9111</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Initial 1 (new patient) or Initial 2 (change or recommencement of treatment after a break in biological medicine of less than 5 years) or Initial 3 (recommencement of treatment after a break in biological medicine of more than 5 years)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received insufficient therapy with this drug for this condition under the Initial 1 (new patient) restriction to complete 22 weeks treatment; OR</w:t>
            </w:r>
            <w:r w:rsidRPr="00E106BD">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22 weeks treatment; OR</w:t>
            </w:r>
            <w:r w:rsidRPr="00E106BD">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22 weeks treatment; AND</w:t>
            </w:r>
            <w:r w:rsidRPr="00E106BD">
              <w:rPr>
                <w:rFonts w:ascii="Arial" w:eastAsia="SimSun" w:hAnsi="Arial" w:cs="Arial"/>
                <w:sz w:val="16"/>
                <w:szCs w:val="16"/>
                <w:lang w:eastAsia="zh-CN"/>
              </w:rPr>
              <w:br/>
              <w:t>The treatment must provide no more than the balance of up to 22 weeks treatment available under the above restrictions.</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Compliance with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C9169</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 break in treatment of 5 years or more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The condition must have an elevated erythrocyte sedimentation rate (ESR) greater than 25 mm per hour; OR</w:t>
            </w:r>
            <w:r w:rsidRPr="00E106BD">
              <w:rPr>
                <w:rFonts w:ascii="Arial" w:eastAsia="SimSun" w:hAnsi="Arial" w:cs="Arial"/>
                <w:sz w:val="16"/>
                <w:szCs w:val="16"/>
                <w:lang w:eastAsia="zh-CN"/>
              </w:rPr>
              <w:br/>
              <w:t>The condition must have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15 mg per L; AND</w:t>
            </w:r>
            <w:r w:rsidRPr="00E106BD">
              <w:rPr>
                <w:rFonts w:ascii="Arial" w:eastAsia="SimSun" w:hAnsi="Arial" w:cs="Arial"/>
                <w:sz w:val="16"/>
                <w:szCs w:val="16"/>
                <w:lang w:eastAsia="zh-CN"/>
              </w:rPr>
              <w:br/>
              <w:t>The condition must have either (a) a total active joint count of at least 20 active (swollen and tender) joints; or (b) at least 4 active major joints;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All measures of joint count and ESR and/or CRP must be no more than one month old at the time of initial application.</w:t>
            </w:r>
            <w:r w:rsidRPr="00E106BD">
              <w:rPr>
                <w:rFonts w:ascii="Arial" w:eastAsia="SimSun" w:hAnsi="Arial" w:cs="Arial"/>
                <w:sz w:val="16"/>
                <w:szCs w:val="16"/>
                <w:lang w:eastAsia="zh-CN"/>
              </w:rPr>
              <w:br/>
              <w:t>If the above requirement to demonstrate an elevated ESR or CRP cannot be met, the application must state the reasons why this criterion cannot be satisfied.</w:t>
            </w:r>
            <w:r w:rsidRPr="00E106BD">
              <w:rPr>
                <w:rFonts w:ascii="Arial" w:eastAsia="SimSun" w:hAnsi="Arial" w:cs="Arial"/>
                <w:sz w:val="16"/>
                <w:szCs w:val="16"/>
                <w:lang w:eastAsia="zh-CN"/>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recommence therapy with this drug, must be accompanied by evidence of a response to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first or subsequent continuing treatment restrictions, 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C9188</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E106BD">
              <w:rPr>
                <w:rFonts w:ascii="Arial" w:eastAsia="SimSun" w:hAnsi="Arial" w:cs="Arial"/>
                <w:sz w:val="16"/>
                <w:szCs w:val="16"/>
                <w:lang w:eastAsia="zh-CN"/>
              </w:rPr>
              <w:br/>
              <w:t>The measurement of response to the prior course of therapy must have been conducted following a minimum of 12 weeks of therapy with this drug and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records.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9188</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C9191</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52299A"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3 biological medicines for this condition within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first or subsequent continuing treatment restrictions, 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Del="0052299A"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C9400</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Patient must not receive more than 18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or continuing treatment restrictions, 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measured and supplied in all subsequent continuing treatment applications.</w:t>
            </w:r>
            <w:r w:rsidRPr="00E106BD">
              <w:rPr>
                <w:rFonts w:ascii="Arial" w:eastAsia="SimSun" w:hAnsi="Arial" w:cs="Arial"/>
                <w:sz w:val="16"/>
                <w:szCs w:val="16"/>
                <w:lang w:eastAsia="zh-CN"/>
              </w:rPr>
              <w:br/>
              <w:t>All measurements provided must be no more than 1 month old at the time of application.</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C9401</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 break in treatment of 5 years or more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The condition must be radiographically (plain X</w:t>
            </w:r>
            <w:r>
              <w:rPr>
                <w:rFonts w:ascii="Arial" w:eastAsia="SimSun" w:hAnsi="Arial" w:cs="Arial"/>
                <w:sz w:val="16"/>
                <w:szCs w:val="16"/>
                <w:lang w:eastAsia="zh-CN"/>
              </w:rPr>
              <w:noBreakHyphen/>
            </w:r>
            <w:r w:rsidRPr="00E106BD">
              <w:rPr>
                <w:rFonts w:ascii="Arial" w:eastAsia="SimSun" w:hAnsi="Arial" w:cs="Arial"/>
                <w:sz w:val="16"/>
                <w:szCs w:val="16"/>
                <w:lang w:eastAsia="zh-CN"/>
              </w:rPr>
              <w:t>ray) confirmed Grade II bilateral sacroiliitis or Grade III unilateral sacroiliitis; AND</w:t>
            </w:r>
            <w:r w:rsidRPr="00E106BD">
              <w:rPr>
                <w:rFonts w:ascii="Arial" w:eastAsia="SimSun" w:hAnsi="Arial" w:cs="Arial"/>
                <w:sz w:val="16"/>
                <w:szCs w:val="16"/>
                <w:lang w:eastAsia="zh-CN"/>
              </w:rPr>
              <w:br/>
              <w:t>Patient must have at least 2 of the following: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normal values for age and gender; AND</w:t>
            </w:r>
            <w:r w:rsidRPr="00E106BD">
              <w:rPr>
                <w:rFonts w:ascii="Arial" w:eastAsia="SimSun" w:hAnsi="Arial" w:cs="Arial"/>
                <w:sz w:val="16"/>
                <w:szCs w:val="16"/>
                <w:lang w:eastAsia="zh-CN"/>
              </w:rPr>
              <w:br/>
              <w:t>Patient must have a Bath Ankylosing Spondylitis Disease Activity Index (BASDAI) of at least 4 on a 0</w:t>
            </w:r>
            <w:r>
              <w:rPr>
                <w:rFonts w:ascii="Arial" w:eastAsia="SimSun" w:hAnsi="Arial" w:cs="Arial"/>
                <w:sz w:val="16"/>
                <w:szCs w:val="16"/>
                <w:lang w:eastAsia="zh-CN"/>
              </w:rPr>
              <w:noBreakHyphen/>
            </w:r>
            <w:r w:rsidRPr="00E106BD">
              <w:rPr>
                <w:rFonts w:ascii="Arial" w:eastAsia="SimSun" w:hAnsi="Arial" w:cs="Arial"/>
                <w:sz w:val="16"/>
                <w:szCs w:val="16"/>
                <w:lang w:eastAsia="zh-CN"/>
              </w:rPr>
              <w:t>10 scale that is no more than 4 weeks old at the time of application; AND</w:t>
            </w:r>
            <w:r w:rsidRPr="00E106BD">
              <w:rPr>
                <w:rFonts w:ascii="Arial" w:eastAsia="SimSun" w:hAnsi="Arial" w:cs="Arial"/>
                <w:sz w:val="16"/>
                <w:szCs w:val="16"/>
                <w:lang w:eastAsia="zh-CN"/>
              </w:rPr>
              <w:br/>
              <w:t>Patient must have an elevated erythrocyte sedimentation rate (ESR) greater than 25 mm per hour that is no more than 4 weeks old at the time of application; OR</w:t>
            </w:r>
            <w:r w:rsidRPr="00E106BD">
              <w:rPr>
                <w:rFonts w:ascii="Arial" w:eastAsia="SimSun" w:hAnsi="Arial" w:cs="Arial"/>
                <w:sz w:val="16"/>
                <w:szCs w:val="16"/>
                <w:lang w:eastAsia="zh-CN"/>
              </w:rPr>
              <w:br/>
              <w:t>Patient must have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10 mg per L that is no more than 4 weeks old at the time of application; OR</w:t>
            </w:r>
            <w:r w:rsidRPr="00E106BD">
              <w:rPr>
                <w:rFonts w:ascii="Arial" w:eastAsia="SimSun" w:hAnsi="Arial" w:cs="Arial"/>
                <w:sz w:val="16"/>
                <w:szCs w:val="16"/>
                <w:lang w:eastAsia="zh-CN"/>
              </w:rPr>
              <w:br/>
              <w:t>Patient must have a clinical reason as to why demonstration of an elevated ESR or CRP cannot be met and the application must state the reason; AND</w:t>
            </w:r>
            <w:r w:rsidRPr="00E106BD">
              <w:rPr>
                <w:rFonts w:ascii="Arial" w:eastAsia="SimSun" w:hAnsi="Arial" w:cs="Arial"/>
                <w:sz w:val="16"/>
                <w:szCs w:val="16"/>
                <w:lang w:eastAsia="zh-CN"/>
              </w:rPr>
              <w:br/>
              <w:t>Patient must not receive more than 18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 copy of the radiological report confirming Grade II bilateral sacroiliitis or Grade III unilateral sacroiliitis; and</w:t>
            </w:r>
            <w:r w:rsidRPr="00E106BD">
              <w:rPr>
                <w:rFonts w:ascii="Arial" w:eastAsia="SimSun" w:hAnsi="Arial" w:cs="Arial"/>
                <w:sz w:val="16"/>
                <w:szCs w:val="16"/>
                <w:lang w:eastAsia="zh-CN"/>
              </w:rPr>
              <w:br/>
              <w:t>(ii) a completed BASDAI Assessment Form.</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C9402</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measured and supplied in all subsequent continuing treatment applications.</w:t>
            </w:r>
            <w:r w:rsidRPr="00E106BD">
              <w:rPr>
                <w:rFonts w:ascii="Arial" w:eastAsia="SimSun" w:hAnsi="Arial" w:cs="Arial"/>
                <w:sz w:val="16"/>
                <w:szCs w:val="16"/>
                <w:lang w:eastAsia="zh-CN"/>
              </w:rPr>
              <w:br/>
              <w:t>All measurements provided must be no more than 1 month old at the time of application.</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C9472</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E106BD">
              <w:rPr>
                <w:rFonts w:ascii="Arial" w:eastAsia="SimSun" w:hAnsi="Arial" w:cs="Arial"/>
                <w:sz w:val="16"/>
                <w:szCs w:val="16"/>
                <w:lang w:eastAsia="zh-CN"/>
              </w:rPr>
              <w:br/>
              <w:t>The measurement of response to the prior course of therapy must have been conducted following a minimum of 12 weeks of therapy with this drug and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records.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9472</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C9481</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used to determine response for all subsequent continuing treatments.</w:t>
            </w:r>
            <w:r w:rsidRPr="00E106BD">
              <w:rPr>
                <w:rFonts w:ascii="Arial" w:eastAsia="SimSun" w:hAnsi="Arial" w:cs="Arial"/>
                <w:sz w:val="16"/>
                <w:szCs w:val="16"/>
                <w:lang w:eastAsia="zh-CN"/>
              </w:rPr>
              <w:br/>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9481</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C9487</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Continuing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Patient must have received insufficient therapy with this drug for this condition under the first continuing treatment restriction to complete 24 weeks treatment; OR</w:t>
            </w:r>
            <w:r w:rsidRPr="00E106BD">
              <w:rPr>
                <w:rFonts w:ascii="Arial" w:eastAsia="SimSun" w:hAnsi="Arial" w:cs="Arial"/>
                <w:sz w:val="16"/>
                <w:szCs w:val="16"/>
                <w:lang w:eastAsia="zh-CN"/>
              </w:rPr>
              <w:br/>
              <w:t>Patient must have received insufficient therapy with this drug for this condition under the subsequent continuing Authority Required (in writing) treatment restriction to complete 24 weeks treatment; AND</w:t>
            </w:r>
            <w:r w:rsidRPr="00E106BD">
              <w:rPr>
                <w:rFonts w:ascii="Arial" w:eastAsia="SimSun" w:hAnsi="Arial" w:cs="Arial"/>
                <w:sz w:val="16"/>
                <w:szCs w:val="16"/>
                <w:lang w:eastAsia="zh-CN"/>
              </w:rPr>
              <w:br/>
              <w:t>The treatment must provide no more than the balance of up to 24 weeks treatment available under the above restrictions.</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C9558</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The condition must be radiographically (plain X</w:t>
            </w:r>
            <w:r>
              <w:rPr>
                <w:rFonts w:ascii="Arial" w:eastAsia="SimSun" w:hAnsi="Arial" w:cs="Arial"/>
                <w:sz w:val="16"/>
                <w:szCs w:val="16"/>
                <w:lang w:eastAsia="zh-CN"/>
              </w:rPr>
              <w:noBreakHyphen/>
            </w:r>
            <w:r w:rsidRPr="00E106BD">
              <w:rPr>
                <w:rFonts w:ascii="Arial" w:eastAsia="SimSun" w:hAnsi="Arial" w:cs="Arial"/>
                <w:sz w:val="16"/>
                <w:szCs w:val="16"/>
                <w:lang w:eastAsia="zh-CN"/>
              </w:rPr>
              <w:t>ray) confirmed Grade II bilateral sacroiliitis or Grade III unilateral sacroiliitis; AND</w:t>
            </w:r>
            <w:r w:rsidRPr="00E106BD">
              <w:rPr>
                <w:rFonts w:ascii="Arial" w:eastAsia="SimSun" w:hAnsi="Arial" w:cs="Arial"/>
                <w:sz w:val="16"/>
                <w:szCs w:val="16"/>
                <w:lang w:eastAsia="zh-CN"/>
              </w:rPr>
              <w:br/>
              <w:t>Patient must not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at least 2 of the following: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normal values for age and gender; AND</w:t>
            </w:r>
            <w:r w:rsidRPr="00E106BD">
              <w:rPr>
                <w:rFonts w:ascii="Arial" w:eastAsia="SimSun" w:hAnsi="Arial" w:cs="Arial"/>
                <w:sz w:val="16"/>
                <w:szCs w:val="16"/>
                <w:lang w:eastAsia="zh-CN"/>
              </w:rPr>
              <w:br/>
              <w:t>Patient must have failed to achieve an adequate response following treatment with at least 2 non</w:t>
            </w:r>
            <w:r>
              <w:rPr>
                <w:rFonts w:ascii="Arial" w:eastAsia="SimSun" w:hAnsi="Arial" w:cs="Arial"/>
                <w:sz w:val="16"/>
                <w:szCs w:val="16"/>
                <w:lang w:eastAsia="zh-CN"/>
              </w:rPr>
              <w:noBreakHyphen/>
            </w:r>
            <w:r w:rsidRPr="00E106BD">
              <w:rPr>
                <w:rFonts w:ascii="Arial" w:eastAsia="SimSun" w:hAnsi="Arial" w:cs="Arial"/>
                <w:sz w:val="16"/>
                <w:szCs w:val="16"/>
                <w:lang w:eastAsia="zh-CN"/>
              </w:rPr>
              <w:t>steroidal anti</w:t>
            </w:r>
            <w:r>
              <w:rPr>
                <w:rFonts w:ascii="Arial" w:eastAsia="SimSun" w:hAnsi="Arial" w:cs="Arial"/>
                <w:sz w:val="16"/>
                <w:szCs w:val="16"/>
                <w:lang w:eastAsia="zh-CN"/>
              </w:rPr>
              <w:noBreakHyphen/>
            </w:r>
            <w:r w:rsidRPr="00E106BD">
              <w:rPr>
                <w:rFonts w:ascii="Arial" w:eastAsia="SimSun" w:hAnsi="Arial" w:cs="Arial"/>
                <w:sz w:val="16"/>
                <w:szCs w:val="16"/>
                <w:lang w:eastAsia="zh-CN"/>
              </w:rPr>
              <w:t>inflammatory drugs (NSAIDs), whilst completing an appropriate exercise program, for a total period of 3 months; AND</w:t>
            </w:r>
            <w:r w:rsidRPr="00E106BD">
              <w:rPr>
                <w:rFonts w:ascii="Arial" w:eastAsia="SimSun" w:hAnsi="Arial" w:cs="Arial"/>
                <w:sz w:val="16"/>
                <w:szCs w:val="16"/>
                <w:lang w:eastAsia="zh-CN"/>
              </w:rPr>
              <w:br/>
              <w:t>Patient must not receive more than 18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The application must include details of the NSAIDs trialled, their doses and duration of treatment.</w:t>
            </w:r>
            <w:r w:rsidRPr="00E106BD">
              <w:rPr>
                <w:rFonts w:ascii="Arial" w:eastAsia="SimSun" w:hAnsi="Arial" w:cs="Arial"/>
                <w:sz w:val="16"/>
                <w:szCs w:val="16"/>
                <w:lang w:eastAsia="zh-CN"/>
              </w:rPr>
              <w:br/>
              <w:t>If the NSAID dose is less than the maximum recommended dose in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the application must include the reason a higher dose cannot be used.</w:t>
            </w:r>
            <w:r w:rsidRPr="00E106BD">
              <w:rPr>
                <w:rFonts w:ascii="Arial" w:eastAsia="SimSun" w:hAnsi="Arial" w:cs="Arial"/>
                <w:sz w:val="16"/>
                <w:szCs w:val="16"/>
                <w:lang w:eastAsia="zh-CN"/>
              </w:rPr>
              <w:br/>
              <w:t>If treatment with NSAIDs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the application must provide details of the contraindication.</w:t>
            </w:r>
            <w:r w:rsidRPr="00E106BD">
              <w:rPr>
                <w:rFonts w:ascii="Arial" w:eastAsia="SimSun" w:hAnsi="Arial" w:cs="Arial"/>
                <w:sz w:val="16"/>
                <w:szCs w:val="16"/>
                <w:lang w:eastAsia="zh-CN"/>
              </w:rPr>
              <w:br/>
              <w:t>If intolerance to NSAID treatment develops during the relevant period of use which is of a severity to necessitate permanent treatment withdrawal, the application must provide details of the nature and severity of this intolerance.</w:t>
            </w:r>
            <w:r w:rsidRPr="00E106BD">
              <w:rPr>
                <w:rFonts w:ascii="Arial" w:eastAsia="SimSun" w:hAnsi="Arial" w:cs="Arial"/>
                <w:sz w:val="16"/>
                <w:szCs w:val="16"/>
                <w:lang w:eastAsia="zh-CN"/>
              </w:rPr>
              <w:br/>
              <w:t>The following criteria indicate failure to achieve an adequate response and must be demonstrated at the time of the initial application:</w:t>
            </w:r>
            <w:r w:rsidRPr="00E106BD">
              <w:rPr>
                <w:rFonts w:ascii="Arial" w:eastAsia="SimSun" w:hAnsi="Arial" w:cs="Arial"/>
                <w:sz w:val="16"/>
                <w:szCs w:val="16"/>
                <w:lang w:eastAsia="zh-CN"/>
              </w:rPr>
              <w:br/>
              <w:t>(a) a Bath Ankylosing Spondylitis Disease Activity Index (BASDAI) of at least 4 on a 0</w:t>
            </w:r>
            <w:r>
              <w:rPr>
                <w:rFonts w:ascii="Arial" w:eastAsia="SimSun" w:hAnsi="Arial" w:cs="Arial"/>
                <w:sz w:val="16"/>
                <w:szCs w:val="16"/>
                <w:lang w:eastAsia="zh-CN"/>
              </w:rPr>
              <w:noBreakHyphen/>
            </w:r>
            <w:r w:rsidRPr="00E106BD">
              <w:rPr>
                <w:rFonts w:ascii="Arial" w:eastAsia="SimSun" w:hAnsi="Arial" w:cs="Arial"/>
                <w:sz w:val="16"/>
                <w:szCs w:val="16"/>
                <w:lang w:eastAsia="zh-CN"/>
              </w:rPr>
              <w:t>10 scale; AND</w:t>
            </w:r>
            <w:r w:rsidRPr="00E106BD">
              <w:rPr>
                <w:rFonts w:ascii="Arial" w:eastAsia="SimSun" w:hAnsi="Arial" w:cs="Arial"/>
                <w:sz w:val="16"/>
                <w:szCs w:val="16"/>
                <w:lang w:eastAsia="zh-CN"/>
              </w:rPr>
              <w:br/>
              <w:t>(b) an elevated erythrocyte sedimentation rate (ESR)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10 mg per L.</w:t>
            </w:r>
            <w:r w:rsidRPr="00E106BD">
              <w:rPr>
                <w:rFonts w:ascii="Arial" w:eastAsia="SimSun" w:hAnsi="Arial" w:cs="Arial"/>
                <w:sz w:val="16"/>
                <w:szCs w:val="16"/>
                <w:lang w:eastAsia="zh-CN"/>
              </w:rPr>
              <w:br/>
              <w:t>The BASDAI must be determined at the completion of the 3 month NSAID and exercise trial, but prior to ceasing NSAID treatment. The BASDAI must be no more than 1 month old at the time of initial application.</w:t>
            </w:r>
            <w:r w:rsidRPr="00E106BD">
              <w:rPr>
                <w:rFonts w:ascii="Arial" w:eastAsia="SimSun" w:hAnsi="Arial" w:cs="Arial"/>
                <w:sz w:val="16"/>
                <w:szCs w:val="16"/>
                <w:lang w:eastAsia="zh-CN"/>
              </w:rPr>
              <w:br/>
              <w:t>Both ESR and CRP measures should be provided with the initial treatment application and both must be no more than 1 month old. If the above requirement to demonstrate an elevated ESR or CRP cannot be met, the application must state the reason this criterion cannot be satisfied.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 copy of the radiological report confirming Grade II bilateral sacroiliitis or Grade III unilateral sacroiliitis; and</w:t>
            </w:r>
            <w:r w:rsidRPr="00E106BD">
              <w:rPr>
                <w:rFonts w:ascii="Arial" w:eastAsia="SimSun" w:hAnsi="Arial" w:cs="Arial"/>
                <w:sz w:val="16"/>
                <w:szCs w:val="16"/>
                <w:lang w:eastAsia="zh-CN"/>
              </w:rPr>
              <w:br/>
              <w:t>(ii) a completed BASDAI Assessment Form; and</w:t>
            </w:r>
            <w:r w:rsidRPr="00E106BD">
              <w:rPr>
                <w:rFonts w:ascii="Arial" w:eastAsia="SimSun" w:hAnsi="Arial" w:cs="Arial"/>
                <w:sz w:val="16"/>
                <w:szCs w:val="16"/>
                <w:lang w:eastAsia="zh-CN"/>
              </w:rPr>
              <w:br/>
              <w:t>(iii) a completed Exercise Program Self Certification Form included in the supporting information form.</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C9559</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 Initial 2 (change or recommencement of treatment after a break in biological medicine of less than 5 years) or Initial 3 (recommencement of treatment after a break in biological medicine of more than 5 years)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Patient must have received insufficient therapy with this drug under the Initial 1 (new patient) restriction to complete 18 weeks treatment; OR</w:t>
            </w:r>
            <w:r w:rsidRPr="00E106BD">
              <w:rPr>
                <w:rFonts w:ascii="Arial" w:eastAsia="SimSun" w:hAnsi="Arial" w:cs="Arial"/>
                <w:sz w:val="16"/>
                <w:szCs w:val="16"/>
                <w:lang w:eastAsia="zh-CN"/>
              </w:rPr>
              <w:br/>
              <w:t>Patient must have received insufficient therapy with this drug under the Initial 2 (change or recommencement of treatment after a break in biological medicine of less than 5 years) restriction to complete 18 weeks treatment; OR</w:t>
            </w:r>
            <w:r w:rsidRPr="00E106BD">
              <w:rPr>
                <w:rFonts w:ascii="Arial" w:eastAsia="SimSun" w:hAnsi="Arial" w:cs="Arial"/>
                <w:sz w:val="16"/>
                <w:szCs w:val="16"/>
                <w:lang w:eastAsia="zh-CN"/>
              </w:rPr>
              <w:br/>
              <w:t>Patient must have received insufficient therapy with this drug under the Initial 3 (recommencement of treatment after a break in biological medicine of more than 5 years) restriction to complete 18 weeks treatment; AND</w:t>
            </w:r>
            <w:r w:rsidRPr="00E106BD">
              <w:rPr>
                <w:rFonts w:ascii="Arial" w:eastAsia="SimSun" w:hAnsi="Arial" w:cs="Arial"/>
                <w:sz w:val="16"/>
                <w:szCs w:val="16"/>
                <w:lang w:eastAsia="zh-CN"/>
              </w:rPr>
              <w:br/>
              <w:t>The treatment must provide no more than the balance of up to 18 weeks treatment available under the above restrictions.</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C9584</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chronic plaque psoriasis</w:t>
            </w:r>
            <w:r w:rsidRPr="00E106BD">
              <w:rPr>
                <w:rFonts w:ascii="Arial" w:eastAsia="SimSun" w:hAnsi="Arial" w:cs="Arial"/>
                <w:sz w:val="16"/>
                <w:szCs w:val="16"/>
                <w:lang w:eastAsia="zh-CN"/>
              </w:rPr>
              <w:br/>
              <w:t>Subsequent continuing treatment, Face, hand, foot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The treatment must be as systemic monotherapy (other than methotrexate);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dermatologist.</w:t>
            </w:r>
            <w:r w:rsidRPr="00E106BD">
              <w:rPr>
                <w:rFonts w:ascii="Arial" w:eastAsia="SimSun" w:hAnsi="Arial" w:cs="Arial"/>
                <w:sz w:val="16"/>
                <w:szCs w:val="16"/>
                <w:lang w:eastAsia="zh-CN"/>
              </w:rPr>
              <w:br/>
              <w:t>An adequate response to treatment is defined as the plaque or plaques assessed prior to biological treatment showing:</w:t>
            </w:r>
            <w:r w:rsidRPr="00E106BD">
              <w:rPr>
                <w:rFonts w:ascii="Arial" w:eastAsia="SimSun" w:hAnsi="Arial" w:cs="Arial"/>
                <w:sz w:val="16"/>
                <w:szCs w:val="16"/>
                <w:lang w:eastAsia="zh-CN"/>
              </w:rPr>
              <w:br/>
              <w:t>(i) a reduction in the Psoriasis Area and Severity Index (PASI) symptom subscores for all 3 of erythema, thickness and scaling, to slight or better, or sustained at this level, as compared to the baseline values; or</w:t>
            </w:r>
            <w:r w:rsidRPr="00E106BD">
              <w:rPr>
                <w:rFonts w:ascii="Arial" w:eastAsia="SimSun" w:hAnsi="Arial" w:cs="Arial"/>
                <w:sz w:val="16"/>
                <w:szCs w:val="16"/>
                <w:lang w:eastAsia="zh-CN"/>
              </w:rPr>
              <w:br/>
              <w:t>(ii) a reduction by 75% or more in the skin area affected, or sustained at this level, as compared to the baseline value for this treatment cycle.</w:t>
            </w:r>
            <w:r w:rsidRPr="00E106BD">
              <w:rPr>
                <w:rFonts w:ascii="Arial" w:eastAsia="SimSun" w:hAnsi="Arial" w:cs="Arial"/>
                <w:sz w:val="16"/>
                <w:szCs w:val="16"/>
                <w:lang w:eastAsia="zh-CN"/>
              </w:rPr>
              <w:br/>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Determination of response must be based on the PASI assessment of response to the most recent course of treatment with this drug.</w:t>
            </w:r>
            <w:r w:rsidRPr="00E106BD">
              <w:rPr>
                <w:rFonts w:ascii="Arial" w:eastAsia="SimSun" w:hAnsi="Arial" w:cs="Arial"/>
                <w:sz w:val="16"/>
                <w:szCs w:val="16"/>
                <w:lang w:eastAsia="zh-CN"/>
              </w:rPr>
              <w:br/>
              <w:t>The PASI assessment for continuing treatment must be performed on the same affected area as assessed at baseline.</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this treatment cycle.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9584</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C9587</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measured and supplied in all subsequent continuing treatment applications.</w:t>
            </w:r>
            <w:r w:rsidRPr="00E106BD">
              <w:rPr>
                <w:rFonts w:ascii="Arial" w:eastAsia="SimSun" w:hAnsi="Arial" w:cs="Arial"/>
                <w:sz w:val="16"/>
                <w:szCs w:val="16"/>
                <w:lang w:eastAsia="zh-CN"/>
              </w:rPr>
              <w:br/>
              <w:t>All measurements provided must be no more than 1 month old at the time of application.</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Each application for subsequent continuing treatment with this drug must include an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the prior course of therapy. If the response assessment is not provided at the time of application the patient will be deemed to have failed this course of treatment, unless the patient has experienced serious adverse reaction of a severity resulting in the necessity for permanent withdrawal of treatment.</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C9602</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chronic plaque psoriasis</w:t>
            </w:r>
            <w:r w:rsidRPr="00E106BD">
              <w:rPr>
                <w:rFonts w:ascii="Arial" w:eastAsia="SimSun" w:hAnsi="Arial" w:cs="Arial"/>
                <w:sz w:val="16"/>
                <w:szCs w:val="16"/>
                <w:lang w:eastAsia="zh-CN"/>
              </w:rPr>
              <w:br/>
              <w:t>Subsequent continuing treatment, Whole body</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The treatment must be as systemic monotherapy (other than methotrexate);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dermatologist.</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 Psoriasis Area and Severity Index (PASI) score which is reduced by 75% or more, or is sustained at this level, when compared with the baseline value for this treatment cycle.</w:t>
            </w:r>
            <w:r w:rsidRPr="00E106BD">
              <w:rPr>
                <w:rFonts w:ascii="Arial" w:eastAsia="SimSun" w:hAnsi="Arial" w:cs="Arial"/>
                <w:sz w:val="16"/>
                <w:szCs w:val="16"/>
                <w:lang w:eastAsia="zh-CN"/>
              </w:rPr>
              <w:br/>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Determination of response must be based on the PASI assessment of response to the most recent course of treatment with this drug.</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this treatment cycle.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9602</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C9621</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used to determine response for all subsequent continuing treatments.</w:t>
            </w:r>
            <w:r w:rsidRPr="00E106BD">
              <w:rPr>
                <w:rFonts w:ascii="Arial" w:eastAsia="SimSun" w:hAnsi="Arial" w:cs="Arial"/>
                <w:sz w:val="16"/>
                <w:szCs w:val="16"/>
                <w:lang w:eastAsia="zh-CN"/>
              </w:rPr>
              <w:br/>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9621</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C9632</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Acute severe ulcerative colitis</w:t>
            </w:r>
            <w:r w:rsidRPr="00E106BD">
              <w:rPr>
                <w:rFonts w:ascii="Arial" w:eastAsia="SimSun" w:hAnsi="Arial" w:cs="Arial"/>
                <w:sz w:val="16"/>
                <w:szCs w:val="16"/>
                <w:lang w:eastAsia="zh-CN"/>
              </w:rPr>
              <w:br/>
              <w:t>Must be treated by a gastroenterologist; OR</w:t>
            </w:r>
            <w:r w:rsidRPr="00E106BD">
              <w:rPr>
                <w:rFonts w:ascii="Arial" w:eastAsia="SimSun" w:hAnsi="Arial" w:cs="Arial"/>
                <w:sz w:val="16"/>
                <w:szCs w:val="16"/>
                <w:lang w:eastAsia="zh-CN"/>
              </w:rPr>
              <w:br/>
              <w:t>Must be treated by a consultant physician [internal medicine specialising in gastroenterology, or general medicine specialising in gastroenterology].</w:t>
            </w:r>
            <w:r w:rsidRPr="00E106BD">
              <w:rPr>
                <w:rFonts w:ascii="Arial" w:eastAsia="SimSun" w:hAnsi="Arial" w:cs="Arial"/>
                <w:sz w:val="16"/>
                <w:szCs w:val="16"/>
                <w:lang w:eastAsia="zh-CN"/>
              </w:rPr>
              <w:br/>
              <w:t>Patient must have received an infusion of infliximab for the treatment of this condition as a hospital inpatient no more than two weeks prior to the date of the authority application; AND</w:t>
            </w:r>
            <w:r w:rsidRPr="00E106BD">
              <w:rPr>
                <w:rFonts w:ascii="Arial" w:eastAsia="SimSun" w:hAnsi="Arial" w:cs="Arial"/>
                <w:sz w:val="16"/>
                <w:szCs w:val="16"/>
                <w:lang w:eastAsia="zh-CN"/>
              </w:rPr>
              <w:br/>
              <w:t>Patient must be an adult aged 18 years or older, and prior to initiation of infliximab treatment in hospital must have been experiencing six or more bloody stools per day, plus at least one of the following: (i) Temperature greater than 37.8 degrees Celsius; (ii) Pulse rate greater than 90 beats per minute; (iii) Haemoglobin less than 105 g/L; (iv) Erythrocyte sedimentation rate greater than 30 mm/h; OR</w:t>
            </w:r>
            <w:r w:rsidRPr="00E106BD">
              <w:rPr>
                <w:rFonts w:ascii="Arial" w:eastAsia="SimSun" w:hAnsi="Arial" w:cs="Arial"/>
                <w:sz w:val="16"/>
                <w:szCs w:val="16"/>
                <w:lang w:eastAsia="zh-CN"/>
              </w:rPr>
              <w:br/>
              <w:t>Patient must be a child aged 6 to 17 years inclusive, and prior to initiation of infliximab treatment in hospital must have had a Paediatric Ulcerative Colitis Activity Index (PUCAI) greater than or equal to 65, with the diagnosis confirmed by a gastroenterologist, or a consultant physician as specified below; AND</w:t>
            </w:r>
            <w:r w:rsidRPr="00E106BD">
              <w:rPr>
                <w:rFonts w:ascii="Arial" w:eastAsia="SimSun" w:hAnsi="Arial" w:cs="Arial"/>
                <w:sz w:val="16"/>
                <w:szCs w:val="16"/>
                <w:lang w:eastAsia="zh-CN"/>
              </w:rPr>
              <w:br/>
              <w:t>Patient must have failed to achieve an adequate response to at least 72 hours treatment with intravenous corticosteroids prior to initiation of infliximab treatment in hospital.</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For adults aged 18 years or older, failure to achieve an adequate response to intravenous corticosteroid treatment is defined by the Oxford criteria where:</w:t>
            </w:r>
            <w:r w:rsidRPr="00E106BD">
              <w:rPr>
                <w:rFonts w:ascii="Arial" w:eastAsia="SimSun" w:hAnsi="Arial" w:cs="Arial"/>
                <w:sz w:val="16"/>
                <w:szCs w:val="16"/>
                <w:lang w:eastAsia="zh-CN"/>
              </w:rPr>
              <w:br/>
              <w:t>(i) If assessed on day 3, patients pass 8 or more stools per day or 3 or more stools per day with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greater than 45 mg/L</w:t>
            </w:r>
            <w:r w:rsidRPr="00E106BD">
              <w:rPr>
                <w:rFonts w:ascii="Arial" w:eastAsia="SimSun" w:hAnsi="Arial" w:cs="Arial"/>
                <w:sz w:val="16"/>
                <w:szCs w:val="16"/>
                <w:lang w:eastAsia="zh-CN"/>
              </w:rPr>
              <w:br/>
              <w:t>(ii) If assessed on day 7, patients pass 3 or more stools per day with visible blood.</w:t>
            </w:r>
            <w:r w:rsidRPr="00E106BD">
              <w:rPr>
                <w:rFonts w:ascii="Arial" w:eastAsia="SimSun" w:hAnsi="Arial" w:cs="Arial"/>
                <w:sz w:val="16"/>
                <w:szCs w:val="16"/>
                <w:lang w:eastAsia="zh-CN"/>
              </w:rPr>
              <w:br/>
              <w:t>For children aged 6 to 17 years, failure to achieve an adequate response to intravenous corticosteroids means a PUCAI score greater than 45 at 72 hours.</w:t>
            </w:r>
            <w:r w:rsidRPr="00E106BD">
              <w:rPr>
                <w:rFonts w:ascii="Arial" w:eastAsia="SimSun" w:hAnsi="Arial" w:cs="Arial"/>
                <w:sz w:val="16"/>
                <w:szCs w:val="16"/>
                <w:lang w:eastAsia="zh-CN"/>
              </w:rPr>
              <w:br/>
              <w:t>At the time of authority application, prescribers should request the appropriate number of vials, based on the weight of the patient, to provide sufficient for a single infusion at a dose of 5 mg per kg.</w:t>
            </w:r>
            <w:r w:rsidRPr="00E106BD">
              <w:rPr>
                <w:rFonts w:ascii="Arial" w:eastAsia="SimSun" w:hAnsi="Arial" w:cs="Arial"/>
                <w:sz w:val="16"/>
                <w:szCs w:val="16"/>
                <w:lang w:eastAsia="zh-CN"/>
              </w:rPr>
              <w:br/>
              <w:t>Before administering infliximab to a child aged 6 to 17 years, the treating clinician must have consulted with a paediatric gastroenterologist or with an institution experienced in performance of paediatric colectomy. The name of the specialist or institution must be included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records.</w:t>
            </w:r>
            <w:r w:rsidRPr="00E106BD">
              <w:rPr>
                <w:rFonts w:ascii="Arial" w:eastAsia="SimSun" w:hAnsi="Arial" w:cs="Arial"/>
                <w:sz w:val="16"/>
                <w:szCs w:val="16"/>
                <w:lang w:eastAsia="zh-CN"/>
              </w:rPr>
              <w:br/>
              <w:t>Evidence that the patient meets the PBS restriction criteria must be recorded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records.</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9632</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C9668</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 reduction in PCDAI Score by at least 15 points from baseline value; AND</w:t>
            </w:r>
            <w:r w:rsidRPr="00E106BD">
              <w:rPr>
                <w:rFonts w:ascii="Arial" w:eastAsia="SimSun" w:hAnsi="Arial" w:cs="Arial"/>
                <w:sz w:val="16"/>
                <w:szCs w:val="16"/>
                <w:lang w:eastAsia="zh-CN"/>
              </w:rPr>
              <w:br/>
              <w:t>Patient must have a total PCDAI score of 30 points or less;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The PCDAI assessment must be no more than 1 month old at the time of prescribing.</w:t>
            </w:r>
            <w:r w:rsidRPr="00E106BD">
              <w:rPr>
                <w:rFonts w:ascii="Arial" w:eastAsia="SimSun" w:hAnsi="Arial" w:cs="Arial"/>
                <w:sz w:val="16"/>
                <w:szCs w:val="16"/>
                <w:lang w:eastAsia="zh-CN"/>
              </w:rPr>
              <w:br/>
              <w:t>The PCDAI score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 as the measurement of response to the prior course of therapy.</w:t>
            </w:r>
            <w:r w:rsidRPr="00E106BD">
              <w:rPr>
                <w:rFonts w:ascii="Arial" w:eastAsia="SimSun" w:hAnsi="Arial" w:cs="Arial"/>
                <w:sz w:val="16"/>
                <w:szCs w:val="16"/>
                <w:lang w:eastAsia="zh-CN"/>
              </w:rPr>
              <w:br/>
              <w:t>Patients are only eligible to receive subsequent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p>
        </w:tc>
        <w:tc>
          <w:tcPr>
            <w:tcW w:w="2552" w:type="dxa"/>
            <w:tcMar>
              <w:top w:w="28" w:type="dxa"/>
              <w:left w:w="28" w:type="dxa"/>
              <w:right w:w="57" w:type="dxa"/>
            </w:tcMar>
          </w:tcPr>
          <w:p w:rsidR="00F05C1E" w:rsidRPr="00E106BD" w:rsidRDefault="00F05C1E"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9668</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C9669</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Balance of supply for paediatric patient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insufficient therapy with this drug for this condition under the Initial 1 (new patient)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first continuing treatment or subsequent continuing treatment restrictions to complete 24 weeks of treatment; AND</w:t>
            </w:r>
            <w:r w:rsidRPr="00E106BD">
              <w:rPr>
                <w:rFonts w:ascii="Arial" w:eastAsia="SimSun" w:hAnsi="Arial" w:cs="Arial"/>
                <w:sz w:val="16"/>
                <w:szCs w:val="16"/>
                <w:lang w:eastAsia="zh-CN"/>
              </w:rPr>
              <w:br/>
              <w:t>The treatment must provide no more than the balance of up to 14 weeks therapy available under Initial 1, 2 or 3 treatment; OR</w:t>
            </w:r>
            <w:r w:rsidRPr="00E106BD">
              <w:rPr>
                <w:rFonts w:ascii="Arial" w:eastAsia="SimSun" w:hAnsi="Arial" w:cs="Arial"/>
                <w:sz w:val="16"/>
                <w:szCs w:val="16"/>
                <w:lang w:eastAsia="zh-CN"/>
              </w:rPr>
              <w:br/>
              <w:t>The treatment must provide no more than the balance of up to 24 weeks therapy available under Continuing treatment.</w:t>
            </w:r>
          </w:p>
        </w:tc>
        <w:tc>
          <w:tcPr>
            <w:tcW w:w="2552" w:type="dxa"/>
            <w:tcMar>
              <w:top w:w="28" w:type="dxa"/>
              <w:left w:w="28" w:type="dxa"/>
              <w:right w:w="57" w:type="dxa"/>
            </w:tcMar>
          </w:tcPr>
          <w:p w:rsidR="00F05C1E" w:rsidRPr="00E106BD" w:rsidRDefault="00F05C1E"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C9675</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OR</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(adalimumab or infliximab) for this condition in this treatment cycle if aged 6 to 17 years;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OR</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more than once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Ulcerative Colitis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Mayo clinic or partial Mayo clinic or Paediatric Ulcerative Colitis Activity Index (PUCAI) calculation sheet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if relevant; and</w:t>
            </w:r>
            <w:r w:rsidRPr="00E106BD">
              <w:rPr>
                <w:rFonts w:ascii="Arial" w:eastAsia="SimSun" w:hAnsi="Arial" w:cs="Arial"/>
                <w:sz w:val="16"/>
                <w:szCs w:val="16"/>
                <w:lang w:eastAsia="zh-CN"/>
              </w:rPr>
              <w:br/>
              <w:t>(ii) the details of prior biological medicine treatment including the details of date and duration of treatment.</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w:t>
            </w:r>
            <w:r w:rsidRPr="00E106BD">
              <w:rPr>
                <w:rFonts w:ascii="Arial" w:eastAsia="SimSun" w:hAnsi="Arial" w:cs="Arial"/>
                <w:sz w:val="16"/>
                <w:szCs w:val="16"/>
                <w:lang w:eastAsia="zh-CN"/>
              </w:rPr>
              <w:br/>
              <w:t>Up to a maximum of 2 repeats will be authorised.</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or continuing treatment restrictions, 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must have been conducted following a minimum of 12 weeks of therapy for adalimumab and up to 12 weeks after the first dose (6 weeks following the third dose) for golimumab, infliximab and vedolizumab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who fails to demonstrate a response to treatment with this drug under this restriction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this treatment cycle. 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If patients aged 6 to 17 years fail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3 times (twice with one agent)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in this treatment cycle.</w:t>
            </w:r>
          </w:p>
        </w:tc>
        <w:tc>
          <w:tcPr>
            <w:tcW w:w="2552" w:type="dxa"/>
            <w:tcMar>
              <w:top w:w="28" w:type="dxa"/>
              <w:left w:w="28" w:type="dxa"/>
              <w:right w:w="57" w:type="dxa"/>
            </w:tcMar>
          </w:tcPr>
          <w:p w:rsidR="00F05C1E" w:rsidRPr="00E106BD" w:rsidRDefault="00F05C1E"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C9676</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AND</w:t>
            </w:r>
            <w:r w:rsidRPr="00E106BD">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Crohn Disease Activity Index (CDAI) Score calculation sheet including the date of the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if relevant; or</w:t>
            </w:r>
            <w:r w:rsidRPr="00E106BD">
              <w:rPr>
                <w:rFonts w:ascii="Arial" w:eastAsia="SimSun" w:hAnsi="Arial" w:cs="Arial"/>
                <w:sz w:val="16"/>
                <w:szCs w:val="16"/>
                <w:lang w:eastAsia="zh-CN"/>
              </w:rPr>
              <w:br/>
              <w:t>(ii) the reports and dates of the pathology test or diagnostic imaging test(s) used to assess response to therapy for patients with short gut syndrome, extensive small intestine disease or an ostomy, if relevant; and</w:t>
            </w:r>
            <w:r w:rsidRPr="00E106BD">
              <w:rPr>
                <w:rFonts w:ascii="Arial" w:eastAsia="SimSun" w:hAnsi="Arial" w:cs="Arial"/>
                <w:sz w:val="16"/>
                <w:szCs w:val="16"/>
                <w:lang w:eastAsia="zh-CN"/>
              </w:rPr>
              <w:br/>
              <w:t>(iii) the date of clinical assessment.</w:t>
            </w:r>
            <w:r w:rsidRPr="00E106BD">
              <w:rPr>
                <w:rFonts w:ascii="Arial" w:eastAsia="SimSun" w:hAnsi="Arial" w:cs="Arial"/>
                <w:sz w:val="16"/>
                <w:szCs w:val="16"/>
                <w:lang w:eastAsia="zh-CN"/>
              </w:rPr>
              <w:br/>
              <w:t>All assessments, pathology tests, and diagnostic imaging studies must be made within 1 month of the date of application.</w:t>
            </w:r>
            <w:r w:rsidRPr="00E106BD">
              <w:rPr>
                <w:rFonts w:ascii="Arial" w:eastAsia="SimSun" w:hAnsi="Arial" w:cs="Arial"/>
                <w:sz w:val="16"/>
                <w:szCs w:val="16"/>
                <w:lang w:eastAsia="zh-CN"/>
              </w:rPr>
              <w:br/>
              <w:t>The application for first continuing treatment with this drug must include an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the initial course of treatment. The assessment must be made up to 12 weeks after the first dose so that there is adequate time for a response to be demonstrated. This assessment must be submitted no later than 4 weeks from the cessation of that treatment course.</w:t>
            </w:r>
            <w:r w:rsidRPr="00E106BD">
              <w:rPr>
                <w:rFonts w:ascii="Arial" w:eastAsia="SimSun" w:hAnsi="Arial" w:cs="Arial"/>
                <w:sz w:val="16"/>
                <w:szCs w:val="16"/>
                <w:lang w:eastAsia="zh-CN"/>
              </w:rPr>
              <w:br/>
              <w:t>Where a response assessment is not undertaken and submitted within these timeframes,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52" w:type="dxa"/>
            <w:tcMar>
              <w:top w:w="28" w:type="dxa"/>
              <w:left w:w="28" w:type="dxa"/>
              <w:right w:w="57" w:type="dxa"/>
            </w:tcMar>
          </w:tcPr>
          <w:p w:rsidR="00F05C1E" w:rsidRPr="00E106BD" w:rsidRDefault="00F05C1E"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C9677</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an adequate response to treatment with this drug.</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An adequate response is defined as:</w:t>
            </w:r>
            <w:r w:rsidRPr="00E106BD">
              <w:rPr>
                <w:rFonts w:ascii="Arial" w:eastAsia="SimSun" w:hAnsi="Arial" w:cs="Arial"/>
                <w:sz w:val="16"/>
                <w:szCs w:val="16"/>
                <w:lang w:eastAsia="zh-CN"/>
              </w:rPr>
              <w:br/>
              <w:t>(a) a decrease from baseline in the number of open draining fistulae of greater than or equal to 50%; and/or</w:t>
            </w:r>
            <w:r w:rsidRPr="00E106BD">
              <w:rPr>
                <w:rFonts w:ascii="Arial" w:eastAsia="SimSun" w:hAnsi="Arial" w:cs="Arial"/>
                <w:sz w:val="16"/>
                <w:szCs w:val="16"/>
                <w:lang w:eastAsia="zh-CN"/>
              </w:rPr>
              <w:br/>
              <w:t>(b) a marked reduction in drainage of all fistula(e) from baseline, together with less pain and induration as reported by the patient.</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Fistulising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a completed Fistula Assessment form including the date of the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w:t>
            </w:r>
            <w:r w:rsidRPr="00E106BD">
              <w:rPr>
                <w:rFonts w:ascii="Arial" w:eastAsia="SimSun" w:hAnsi="Arial" w:cs="Arial"/>
                <w:sz w:val="16"/>
                <w:szCs w:val="16"/>
                <w:lang w:eastAsia="zh-CN"/>
              </w:rPr>
              <w:br/>
              <w:t>The most recent fistula assessment must be no more than 1 month old at the time of application.</w:t>
            </w:r>
            <w:r w:rsidRPr="00E106BD">
              <w:rPr>
                <w:rFonts w:ascii="Arial" w:eastAsia="SimSun" w:hAnsi="Arial" w:cs="Arial"/>
                <w:sz w:val="16"/>
                <w:szCs w:val="16"/>
                <w:lang w:eastAsia="zh-CN"/>
              </w:rPr>
              <w:br/>
              <w:t>Each application for subsequent continuing treatment with this drug must include an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the prior course of therapy. If the response assessment is not provided at the time of application the patient will be deemed to have failed this course of treatment, unless the patient has experienced serious adverse reaction of a severity resulting in the necessity for permanent withdrawal of treatment.</w:t>
            </w:r>
            <w:r w:rsidRPr="00E106BD">
              <w:rPr>
                <w:rFonts w:ascii="Arial" w:eastAsia="SimSun" w:hAnsi="Arial" w:cs="Arial"/>
                <w:sz w:val="16"/>
                <w:szCs w:val="16"/>
                <w:lang w:eastAsia="zh-CN"/>
              </w:rPr>
              <w:br/>
              <w:t>Patients are eligible to receive continuing treatment with this drug in courses of up to 24 weeks providing they continue to sustain the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p>
        </w:tc>
        <w:tc>
          <w:tcPr>
            <w:tcW w:w="2552" w:type="dxa"/>
            <w:tcMar>
              <w:top w:w="28" w:type="dxa"/>
              <w:left w:w="28" w:type="dxa"/>
              <w:right w:w="57" w:type="dxa"/>
            </w:tcMar>
          </w:tcPr>
          <w:p w:rsidR="00F05C1E" w:rsidRPr="00E106BD" w:rsidRDefault="00F05C1E"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C9719</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 reduction in PCDAI Score by at least 15 points from baseline value; AND</w:t>
            </w:r>
            <w:r w:rsidRPr="00E106BD">
              <w:rPr>
                <w:rFonts w:ascii="Arial" w:eastAsia="SimSun" w:hAnsi="Arial" w:cs="Arial"/>
                <w:sz w:val="16"/>
                <w:szCs w:val="16"/>
                <w:lang w:eastAsia="zh-CN"/>
              </w:rPr>
              <w:br/>
              <w:t>Patient must have a total PCDAI score of 30 points or less;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completed Paediatric Crohn Disease Activity Index (PCDAI) calculation sheet along with the date of the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w:t>
            </w:r>
            <w:r w:rsidRPr="00E106BD">
              <w:rPr>
                <w:rFonts w:ascii="Arial" w:eastAsia="SimSun" w:hAnsi="Arial" w:cs="Arial"/>
                <w:sz w:val="16"/>
                <w:szCs w:val="16"/>
                <w:lang w:eastAsia="zh-CN"/>
              </w:rPr>
              <w:br/>
              <w:t>The PCDAI assessment must be no more than 1 month old at the time of application.</w:t>
            </w:r>
            <w:r w:rsidRPr="00E106BD">
              <w:rPr>
                <w:rFonts w:ascii="Arial" w:eastAsia="SimSun" w:hAnsi="Arial" w:cs="Arial"/>
                <w:sz w:val="16"/>
                <w:szCs w:val="16"/>
                <w:lang w:eastAsia="zh-CN"/>
              </w:rPr>
              <w:br/>
              <w:t>Each application for subsequent continuing treatment with this drug must include an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the prior course of therapy. If the response assessment is not provided at the time of application the patient will be deemed to have failed this course of treatment, unless the patient has experienced serious adverse reaction of a severity resulting in the necessity for permanent withdrawal of treatment.</w:t>
            </w:r>
            <w:r w:rsidRPr="00E106BD">
              <w:rPr>
                <w:rFonts w:ascii="Arial" w:eastAsia="SimSun" w:hAnsi="Arial" w:cs="Arial"/>
                <w:sz w:val="16"/>
                <w:szCs w:val="16"/>
                <w:lang w:eastAsia="zh-CN"/>
              </w:rPr>
              <w:br/>
              <w:t>Patients are only eligible to receive subsequent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52" w:type="dxa"/>
            <w:tcMar>
              <w:top w:w="28" w:type="dxa"/>
              <w:left w:w="28" w:type="dxa"/>
              <w:right w:w="57" w:type="dxa"/>
            </w:tcMar>
          </w:tcPr>
          <w:p w:rsidR="00F05C1E" w:rsidRPr="00E106BD" w:rsidRDefault="00F05C1E"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C9721</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AND</w:t>
            </w:r>
            <w:r w:rsidRPr="00E106BD">
              <w:rPr>
                <w:rFonts w:ascii="Arial" w:eastAsia="SimSun" w:hAnsi="Arial" w:cs="Arial"/>
                <w:sz w:val="16"/>
                <w:szCs w:val="16"/>
                <w:lang w:eastAsia="zh-CN"/>
              </w:rPr>
              <w:br/>
              <w:t>Patient must have a reduction in PCDAI Score by at least 15 points from baseline value; AND</w:t>
            </w:r>
            <w:r w:rsidRPr="00E106BD">
              <w:rPr>
                <w:rFonts w:ascii="Arial" w:eastAsia="SimSun" w:hAnsi="Arial" w:cs="Arial"/>
                <w:sz w:val="16"/>
                <w:szCs w:val="16"/>
                <w:lang w:eastAsia="zh-CN"/>
              </w:rPr>
              <w:br/>
              <w:t>Patient must have a total PCDAI score of 30 points or less;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completed Paediatric Crohn Disease Activity Index (PCDAI) calculation sheet along with the date of the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w:t>
            </w:r>
            <w:r w:rsidRPr="00E106BD">
              <w:rPr>
                <w:rFonts w:ascii="Arial" w:eastAsia="SimSun" w:hAnsi="Arial" w:cs="Arial"/>
                <w:sz w:val="16"/>
                <w:szCs w:val="16"/>
                <w:lang w:eastAsia="zh-CN"/>
              </w:rPr>
              <w:br/>
              <w:t>The PCDAI assessment must be no more than 1 month old at the time of application.</w:t>
            </w:r>
            <w:r w:rsidRPr="00E106BD">
              <w:rPr>
                <w:rFonts w:ascii="Arial" w:eastAsia="SimSun" w:hAnsi="Arial" w:cs="Arial"/>
                <w:sz w:val="16"/>
                <w:szCs w:val="16"/>
                <w:lang w:eastAsia="zh-CN"/>
              </w:rPr>
              <w:br/>
              <w:t>The application for first continuing treatment with this drug must include a PCDAI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the initial course of treatment. The assessment must be made up to 12 weeks after the first dose so that there is adequate time for a response to be demonstrated. This assessment must be submitted no later than 4 weeks from the cessation of that treatment course.</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52" w:type="dxa"/>
            <w:tcMar>
              <w:top w:w="28" w:type="dxa"/>
              <w:left w:w="28" w:type="dxa"/>
              <w:right w:w="57" w:type="dxa"/>
            </w:tcMar>
          </w:tcPr>
          <w:p w:rsidR="00F05C1E" w:rsidRPr="00E106BD" w:rsidRDefault="00F05C1E"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C9731</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9731</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C9732</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agent treatment for this condition in this treatment cycle; AND</w:t>
            </w:r>
            <w:r w:rsidRPr="00E106BD">
              <w:rPr>
                <w:rFonts w:ascii="Arial" w:eastAsia="SimSun" w:hAnsi="Arial" w:cs="Arial"/>
                <w:sz w:val="16"/>
                <w:szCs w:val="16"/>
                <w:lang w:eastAsia="zh-CN"/>
              </w:rPr>
              <w:br/>
              <w:t>Patient must have demonstrated an adequate response to treatment with this drug.</w:t>
            </w:r>
            <w:r w:rsidRPr="00E106BD">
              <w:rPr>
                <w:rFonts w:ascii="Arial" w:eastAsia="SimSun" w:hAnsi="Arial" w:cs="Arial"/>
                <w:sz w:val="16"/>
                <w:szCs w:val="16"/>
                <w:lang w:eastAsia="zh-CN"/>
              </w:rPr>
              <w:br/>
              <w:t>An adequate response is defined as:</w:t>
            </w:r>
            <w:r w:rsidRPr="00E106BD">
              <w:rPr>
                <w:rFonts w:ascii="Arial" w:eastAsia="SimSun" w:hAnsi="Arial" w:cs="Arial"/>
                <w:sz w:val="16"/>
                <w:szCs w:val="16"/>
                <w:lang w:eastAsia="zh-CN"/>
              </w:rPr>
              <w:br/>
              <w:t>(a) a decrease from baseline in the number of open draining fistulae of greater than or equal to 50%; and/or</w:t>
            </w:r>
            <w:r w:rsidRPr="00E106BD">
              <w:rPr>
                <w:rFonts w:ascii="Arial" w:eastAsia="SimSun" w:hAnsi="Arial" w:cs="Arial"/>
                <w:sz w:val="16"/>
                <w:szCs w:val="16"/>
                <w:lang w:eastAsia="zh-CN"/>
              </w:rPr>
              <w:br/>
              <w:t>(b) a marked reduction in drainage of all fistula(e) from baseline, together with less pain and induration as reported by the patient.</w:t>
            </w:r>
            <w:r w:rsidRPr="00E106BD">
              <w:rPr>
                <w:rFonts w:ascii="Arial" w:eastAsia="SimSun" w:hAnsi="Arial" w:cs="Arial"/>
                <w:sz w:val="16"/>
                <w:szCs w:val="16"/>
                <w:lang w:eastAsia="zh-CN"/>
              </w:rPr>
              <w:br/>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Patients are eligible to receive subsequent continuing treatment with this drug in courses of up to 24 weeks at a dose of 5 mg per kg per dose providing they continue to sustain the response.</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9732</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C9733</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9733</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C9751</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more than once in the current treatment cycle;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Supporting Information Form which includes the following:</w:t>
            </w:r>
            <w:r w:rsidRPr="00E106BD">
              <w:rPr>
                <w:rFonts w:ascii="Arial" w:eastAsia="SimSun" w:hAnsi="Arial" w:cs="Arial"/>
                <w:sz w:val="16"/>
                <w:szCs w:val="16"/>
                <w:lang w:eastAsia="zh-CN"/>
              </w:rPr>
              <w:br/>
              <w:t>(i) the completed current Paediatric Crohn Disease Activity Index (PCDAI) Score calculation sheet; and</w:t>
            </w:r>
            <w:r w:rsidRPr="00E106BD">
              <w:rPr>
                <w:rFonts w:ascii="Arial" w:eastAsia="SimSun" w:hAnsi="Arial" w:cs="Arial"/>
                <w:sz w:val="16"/>
                <w:szCs w:val="16"/>
                <w:lang w:eastAsia="zh-CN"/>
              </w:rPr>
              <w:br/>
              <w:t>(ii) details of prior biological medicine treatment including details of date and duration of treatment.</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an initial treatment restriction, the patient must have been assessed for response to that course following a minimum of 12 weeks therapy for adalimumab and up to 12 weeks after the first dose (6 weeks following the third dose) for infliximab and this assessment must be submitted to the Department of Human Services no later than 4 weeks from the date that course was ceased.</w:t>
            </w:r>
            <w:r w:rsidRPr="00E106BD">
              <w:rPr>
                <w:rFonts w:ascii="Arial" w:eastAsia="SimSun" w:hAnsi="Arial" w:cs="Arial"/>
                <w:sz w:val="16"/>
                <w:szCs w:val="16"/>
                <w:lang w:eastAsia="zh-CN"/>
              </w:rPr>
              <w:br/>
              <w:t>If the response assessment to the previous course of biological medicine treatment is not submitted as detailed above, the patient will be deemed to have failed therapy with that particular course of biological medicine.</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A PCDAI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C9752</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confirmed diagnosis of Crohn disease, defined by standard clinical, endoscopic and/or imaging features including histological evidence; AND</w:t>
            </w:r>
            <w:r w:rsidRPr="00E106BD">
              <w:rPr>
                <w:rFonts w:ascii="Arial" w:eastAsia="SimSun" w:hAnsi="Arial" w:cs="Arial"/>
                <w:sz w:val="16"/>
                <w:szCs w:val="16"/>
                <w:lang w:eastAsia="zh-CN"/>
              </w:rPr>
              <w:br/>
              <w:t>Patient must have failed to achieve an adequate response to 2 of the following 3 conventional prior therapies including: (i) a tapered course of steroids, starting at a dose of at least 1 mg per kg or 40 mg (whichever is the lesser) prednisolone (or equivalent), over a 6 week period; (ii) an 8 week course of enteral nutrition; or (iii) immunosuppressive therapy including azathioprine at a dose of at least 2 mg per kg daily for 3 or more months, or, 6</w:t>
            </w:r>
            <w:r>
              <w:rPr>
                <w:rFonts w:ascii="Arial" w:eastAsia="SimSun" w:hAnsi="Arial" w:cs="Arial"/>
                <w:sz w:val="16"/>
                <w:szCs w:val="16"/>
                <w:lang w:eastAsia="zh-CN"/>
              </w:rPr>
              <w:noBreakHyphen/>
            </w:r>
            <w:r w:rsidRPr="00E106BD">
              <w:rPr>
                <w:rFonts w:ascii="Arial" w:eastAsia="SimSun" w:hAnsi="Arial" w:cs="Arial"/>
                <w:sz w:val="16"/>
                <w:szCs w:val="16"/>
                <w:lang w:eastAsia="zh-CN"/>
              </w:rPr>
              <w:t>mercaptopurine at a dose of at least 1 mg per kg daily for 3 or more months, or, methotrexate at a dose of at least 10 mg per square metre weekly for 3 or more months; OR</w:t>
            </w:r>
            <w:r w:rsidRPr="00E106BD">
              <w:rPr>
                <w:rFonts w:ascii="Arial" w:eastAsia="SimSun" w:hAnsi="Arial" w:cs="Arial"/>
                <w:sz w:val="16"/>
                <w:szCs w:val="16"/>
                <w:lang w:eastAsia="zh-CN"/>
              </w:rPr>
              <w:br/>
              <w:t>Patient must have a documented intolerance of a severity necessitating permanent treatment withdrawal or a contra</w:t>
            </w:r>
            <w:r>
              <w:rPr>
                <w:rFonts w:ascii="Arial" w:eastAsia="SimSun" w:hAnsi="Arial" w:cs="Arial"/>
                <w:sz w:val="16"/>
                <w:szCs w:val="16"/>
                <w:lang w:eastAsia="zh-CN"/>
              </w:rPr>
              <w:noBreakHyphen/>
            </w:r>
            <w:r w:rsidRPr="00E106BD">
              <w:rPr>
                <w:rFonts w:ascii="Arial" w:eastAsia="SimSun" w:hAnsi="Arial" w:cs="Arial"/>
                <w:sz w:val="16"/>
                <w:szCs w:val="16"/>
                <w:lang w:eastAsia="zh-CN"/>
              </w:rPr>
              <w:t>indication to each of prednisolone (or equivalent), azathioprine, 6</w:t>
            </w:r>
            <w:r>
              <w:rPr>
                <w:rFonts w:ascii="Arial" w:eastAsia="SimSun" w:hAnsi="Arial" w:cs="Arial"/>
                <w:sz w:val="16"/>
                <w:szCs w:val="16"/>
                <w:lang w:eastAsia="zh-CN"/>
              </w:rPr>
              <w:noBreakHyphen/>
            </w:r>
            <w:r w:rsidRPr="00E106BD">
              <w:rPr>
                <w:rFonts w:ascii="Arial" w:eastAsia="SimSun" w:hAnsi="Arial" w:cs="Arial"/>
                <w:sz w:val="16"/>
                <w:szCs w:val="16"/>
                <w:lang w:eastAsia="zh-CN"/>
              </w:rPr>
              <w:t>mercaptopurine and methotrexate; AND</w:t>
            </w:r>
            <w:r w:rsidRPr="00E106BD">
              <w:rPr>
                <w:rFonts w:ascii="Arial" w:eastAsia="SimSun" w:hAnsi="Arial" w:cs="Arial"/>
                <w:sz w:val="16"/>
                <w:szCs w:val="16"/>
                <w:lang w:eastAsia="zh-CN"/>
              </w:rPr>
              <w:br/>
              <w:t>Patient must have a Paediatric Crohn Disease Activity Index (PCDAI) Score greater than or equal to 30 preferably whilst still on treatment;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Supporting Information Form which includes the following:</w:t>
            </w:r>
            <w:r w:rsidRPr="00E106BD">
              <w:rPr>
                <w:rFonts w:ascii="Arial" w:eastAsia="SimSun" w:hAnsi="Arial" w:cs="Arial"/>
                <w:sz w:val="16"/>
                <w:szCs w:val="16"/>
                <w:lang w:eastAsia="zh-CN"/>
              </w:rPr>
              <w:br/>
              <w:t>(i) the completed current Paediatric Crohn Disease Activity Index (PCDAI) calculation sheet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which must be no more than one month old at the time of application; and</w:t>
            </w:r>
            <w:r w:rsidRPr="00E106BD">
              <w:rPr>
                <w:rFonts w:ascii="Arial" w:eastAsia="SimSun" w:hAnsi="Arial" w:cs="Arial"/>
                <w:sz w:val="16"/>
                <w:szCs w:val="16"/>
                <w:lang w:eastAsia="zh-CN"/>
              </w:rPr>
              <w:br/>
              <w:t>(ii) details of previous systemic drug therapy [dosage, date of commencement and duration of therapy] or dates of enteral nutrition.</w:t>
            </w:r>
            <w:r w:rsidRPr="00E106BD">
              <w:rPr>
                <w:rFonts w:ascii="Arial" w:eastAsia="SimSun" w:hAnsi="Arial" w:cs="Arial"/>
                <w:sz w:val="16"/>
                <w:szCs w:val="16"/>
                <w:lang w:eastAsia="zh-CN"/>
              </w:rPr>
              <w:br/>
              <w:t>The PCDAI score should preferably be obtained whilst on conventional treatment but must be obtained within one month of the last conventional treatment dose.</w:t>
            </w:r>
            <w:r w:rsidRPr="00E106BD">
              <w:rPr>
                <w:rFonts w:ascii="Arial" w:eastAsia="SimSun" w:hAnsi="Arial" w:cs="Arial"/>
                <w:sz w:val="16"/>
                <w:szCs w:val="16"/>
                <w:lang w:eastAsia="zh-CN"/>
              </w:rPr>
              <w:br/>
              <w:t>If treatment with any of the specified prior conventional drugs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please provide details at the time of application.</w:t>
            </w:r>
            <w:r w:rsidRPr="00E106BD">
              <w:rPr>
                <w:rFonts w:ascii="Arial" w:eastAsia="SimSun" w:hAnsi="Arial" w:cs="Arial"/>
                <w:sz w:val="16"/>
                <w:szCs w:val="16"/>
                <w:lang w:eastAsia="zh-CN"/>
              </w:rPr>
              <w:br/>
              <w:t>If intolerance to treatment develops during the relevant period of use, which is of a severity necessitating permanent treatment withdrawal, details of this toxicity must be provided at the time of application.</w:t>
            </w:r>
            <w:r w:rsidRPr="00E106BD">
              <w:rPr>
                <w:rFonts w:ascii="Arial" w:eastAsia="SimSun" w:hAnsi="Arial" w:cs="Arial"/>
                <w:sz w:val="16"/>
                <w:szCs w:val="16"/>
                <w:lang w:eastAsia="zh-CN"/>
              </w:rPr>
              <w:br/>
              <w:t>Details of the accepted toxicities including severity can be found on the Department of Human Services website.</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A PCDAI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C9754</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Balance of supply</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insufficient therapy with this drug for this condition under the Initial 1 (new patient)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continuing treatment restriction to complete 24 weeks of treatment; AND</w:t>
            </w:r>
            <w:r w:rsidRPr="00E106BD">
              <w:rPr>
                <w:rFonts w:ascii="Arial" w:eastAsia="SimSun" w:hAnsi="Arial" w:cs="Arial"/>
                <w:sz w:val="16"/>
                <w:szCs w:val="16"/>
                <w:lang w:eastAsia="zh-CN"/>
              </w:rPr>
              <w:br/>
              <w:t>The treatment must provide no more than the balance of up to 3 doses therapy available under Initial 1, 2 or 3 treatment; OR</w:t>
            </w:r>
            <w:r w:rsidRPr="00E106BD">
              <w:rPr>
                <w:rFonts w:ascii="Arial" w:eastAsia="SimSun" w:hAnsi="Arial" w:cs="Arial"/>
                <w:sz w:val="16"/>
                <w:szCs w:val="16"/>
                <w:lang w:eastAsia="zh-CN"/>
              </w:rPr>
              <w:br/>
              <w:t>The treatment must provide no more than the balance of up to 24 weeks therapy available under Continuing treatment.</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C9756</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Crohn Disease Activity Index (CDAI) Score calculation sheet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if relevant; or</w:t>
            </w:r>
            <w:r w:rsidRPr="00E106BD">
              <w:rPr>
                <w:rFonts w:ascii="Arial" w:eastAsia="SimSun" w:hAnsi="Arial" w:cs="Arial"/>
                <w:sz w:val="16"/>
                <w:szCs w:val="16"/>
                <w:lang w:eastAsia="zh-CN"/>
              </w:rPr>
              <w:br/>
              <w:t>(ii) the reports and dates of the pathology or diagnostic imaging test(s) used to assess response to therapy for patients with short gut syndrome, extensive small intestine disease or an ostomy, if relevant; and</w:t>
            </w:r>
            <w:r w:rsidRPr="00E106BD">
              <w:rPr>
                <w:rFonts w:ascii="Arial" w:eastAsia="SimSun" w:hAnsi="Arial" w:cs="Arial"/>
                <w:sz w:val="16"/>
                <w:szCs w:val="16"/>
                <w:lang w:eastAsia="zh-CN"/>
              </w:rPr>
              <w:br/>
              <w:t>(iii) the date of clinical assessment; and</w:t>
            </w:r>
            <w:r w:rsidRPr="00E106BD">
              <w:rPr>
                <w:rFonts w:ascii="Arial" w:eastAsia="SimSun" w:hAnsi="Arial" w:cs="Arial"/>
                <w:sz w:val="16"/>
                <w:szCs w:val="16"/>
                <w:lang w:eastAsia="zh-CN"/>
              </w:rPr>
              <w:br/>
              <w:t>(iv) the details of prior biological medicine treatment including the details of date and duration of treatment.</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an initial treatment restriction, the patient must have been assessed for response to that course following a minimum of 12 weeks of therapy for adalimumab or ustekinumab and up to 12 weeks after the first dose (6 weeks following the third dose) for infliximab and vedolizumab and this assessment must be submitted to the Department of Human Services no later than 4 weeks from the date that course was ceased.</w:t>
            </w:r>
            <w:r w:rsidRPr="00E106BD">
              <w:rPr>
                <w:rFonts w:ascii="Arial" w:eastAsia="SimSun" w:hAnsi="Arial" w:cs="Arial"/>
                <w:sz w:val="16"/>
                <w:szCs w:val="16"/>
                <w:lang w:eastAsia="zh-CN"/>
              </w:rPr>
              <w:br/>
              <w:t>If the response assessment to the previous course of biological medicine treatment is not submitted as detailed above, the patient will be deemed to have failed therapy with that particular course of biological medicine.</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The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C9759</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Crohn Disease Activity Index (CDAI) Score; or</w:t>
            </w:r>
            <w:r w:rsidRPr="00E106BD">
              <w:rPr>
                <w:rFonts w:ascii="Arial" w:eastAsia="SimSun" w:hAnsi="Arial" w:cs="Arial"/>
                <w:sz w:val="16"/>
                <w:szCs w:val="16"/>
                <w:lang w:eastAsia="zh-CN"/>
              </w:rPr>
              <w:br/>
              <w:t>(ii) the reports and dates of the pathology test or diagnostic imaging test(s) used to assess response to therapy for patients with short gut syndrome, extensive small intestine disease or an ostomy, if relevant; and</w:t>
            </w:r>
            <w:r w:rsidRPr="00E106BD">
              <w:rPr>
                <w:rFonts w:ascii="Arial" w:eastAsia="SimSun" w:hAnsi="Arial" w:cs="Arial"/>
                <w:sz w:val="16"/>
                <w:szCs w:val="16"/>
                <w:lang w:eastAsia="zh-CN"/>
              </w:rPr>
              <w:br/>
              <w:t>(iii) the date of the most recent clinical assessment.</w:t>
            </w:r>
            <w:r w:rsidRPr="00E106BD">
              <w:rPr>
                <w:rFonts w:ascii="Arial" w:eastAsia="SimSun" w:hAnsi="Arial" w:cs="Arial"/>
                <w:sz w:val="16"/>
                <w:szCs w:val="16"/>
                <w:lang w:eastAsia="zh-CN"/>
              </w:rPr>
              <w:br/>
              <w:t>All assessments, pathology tests, and diagnostic imaging studies must be made within 1 month of the date of application.</w:t>
            </w:r>
            <w:r w:rsidRPr="00E106BD">
              <w:rPr>
                <w:rFonts w:ascii="Arial" w:eastAsia="SimSun" w:hAnsi="Arial" w:cs="Arial"/>
                <w:sz w:val="16"/>
                <w:szCs w:val="16"/>
                <w:lang w:eastAsia="zh-CN"/>
              </w:rPr>
              <w:br/>
              <w:t>Each application for subsequent continuing treatment with this drug must include an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the prior course of therapy. If the response assessment is not provided at the time of application the patient will be deemed to have failed this course of treatment.</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Patients are eligible to receive continuing treatment with this drug in courses of up to 24 weeks providing they continue to sustain the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C9775</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 reduction in PCDAI Score by at least 15 points from baseline value; AND</w:t>
            </w:r>
            <w:r w:rsidRPr="00E106BD">
              <w:rPr>
                <w:rFonts w:ascii="Arial" w:eastAsia="SimSun" w:hAnsi="Arial" w:cs="Arial"/>
                <w:sz w:val="16"/>
                <w:szCs w:val="16"/>
                <w:lang w:eastAsia="zh-CN"/>
              </w:rPr>
              <w:br/>
              <w:t>Patient must have a total PCDAI score of 30 points or less;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The PCDAI assessment must be no more than 1 month old at the time of prescribing.</w:t>
            </w:r>
            <w:r w:rsidRPr="00E106BD">
              <w:rPr>
                <w:rFonts w:ascii="Arial" w:eastAsia="SimSun" w:hAnsi="Arial" w:cs="Arial"/>
                <w:sz w:val="16"/>
                <w:szCs w:val="16"/>
                <w:lang w:eastAsia="zh-CN"/>
              </w:rPr>
              <w:br/>
              <w:t>The PCDAI score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 as the measurement of response to the prior course of therapy.</w:t>
            </w:r>
            <w:r w:rsidRPr="00E106BD">
              <w:rPr>
                <w:rFonts w:ascii="Arial" w:eastAsia="SimSun" w:hAnsi="Arial" w:cs="Arial"/>
                <w:sz w:val="16"/>
                <w:szCs w:val="16"/>
                <w:lang w:eastAsia="zh-CN"/>
              </w:rPr>
              <w:br/>
              <w:t>Patients are only eligible to receive subsequent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9775</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C9776</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failed to achieve an adequate response to a 5</w:t>
            </w:r>
            <w:r>
              <w:rPr>
                <w:rFonts w:ascii="Arial" w:eastAsia="SimSun" w:hAnsi="Arial" w:cs="Arial"/>
                <w:sz w:val="16"/>
                <w:szCs w:val="16"/>
                <w:lang w:eastAsia="zh-CN"/>
              </w:rPr>
              <w:noBreakHyphen/>
            </w:r>
            <w:r w:rsidRPr="00E106BD">
              <w:rPr>
                <w:rFonts w:ascii="Arial" w:eastAsia="SimSun" w:hAnsi="Arial" w:cs="Arial"/>
                <w:sz w:val="16"/>
                <w:szCs w:val="16"/>
                <w:lang w:eastAsia="zh-CN"/>
              </w:rPr>
              <w:t>aminosalicylate oral preparation in a standard dose for induction of remission for 3 or more consecutive months or have intolerance necessitating permanent treatment withdrawal; AND</w:t>
            </w:r>
            <w:r w:rsidRPr="00E106BD">
              <w:rPr>
                <w:rFonts w:ascii="Arial" w:eastAsia="SimSun" w:hAnsi="Arial" w:cs="Arial"/>
                <w:sz w:val="16"/>
                <w:szCs w:val="16"/>
                <w:lang w:eastAsia="zh-CN"/>
              </w:rPr>
              <w:br/>
              <w:t>Patient must have failed to achieve an adequate response to azathioprine at a dose of at least 2 mg per kg daily for 3 or more consecutive months or have intolerance necessitating permanent treatment withdrawal; OR</w:t>
            </w:r>
            <w:r w:rsidRPr="00E106BD">
              <w:rPr>
                <w:rFonts w:ascii="Arial" w:eastAsia="SimSun" w:hAnsi="Arial" w:cs="Arial"/>
                <w:sz w:val="16"/>
                <w:szCs w:val="16"/>
                <w:lang w:eastAsia="zh-CN"/>
              </w:rPr>
              <w:br/>
              <w:t>Patient must have failed to achieve an adequate response to 6</w:t>
            </w:r>
            <w:r>
              <w:rPr>
                <w:rFonts w:ascii="Arial" w:eastAsia="SimSun" w:hAnsi="Arial" w:cs="Arial"/>
                <w:sz w:val="16"/>
                <w:szCs w:val="16"/>
                <w:lang w:eastAsia="zh-CN"/>
              </w:rPr>
              <w:noBreakHyphen/>
            </w:r>
            <w:r w:rsidRPr="00E106BD">
              <w:rPr>
                <w:rFonts w:ascii="Arial" w:eastAsia="SimSun" w:hAnsi="Arial" w:cs="Arial"/>
                <w:sz w:val="16"/>
                <w:szCs w:val="16"/>
                <w:lang w:eastAsia="zh-CN"/>
              </w:rPr>
              <w:t>mercaptopurine at a dose of at least 1 mg per kg daily for 3 or more consecutive months or have intolerance necessitating permanent treatment withdrawal; OR</w:t>
            </w:r>
            <w:r w:rsidRPr="00E106BD">
              <w:rPr>
                <w:rFonts w:ascii="Arial" w:eastAsia="SimSun" w:hAnsi="Arial" w:cs="Arial"/>
                <w:sz w:val="16"/>
                <w:szCs w:val="16"/>
                <w:lang w:eastAsia="zh-CN"/>
              </w:rPr>
              <w:br/>
              <w:t>Patient must have failed to achieve an adequate response to a tapered course of oral steroids, starting at a dose of at least 40 mg (for a child, 1 to 2 mg/kg up to 40 mg) prednisolone (or equivalent), over a 6 week period or have intolerance necessitating permanent treatment withdrawal, and followed by a failure to achieve an adequate response to 3 or more consecutive months of treatment of an appropriately dosed thiopurine agent; AND</w:t>
            </w:r>
            <w:r w:rsidRPr="00E106BD">
              <w:rPr>
                <w:rFonts w:ascii="Arial" w:eastAsia="SimSun" w:hAnsi="Arial" w:cs="Arial"/>
                <w:sz w:val="16"/>
                <w:szCs w:val="16"/>
                <w:lang w:eastAsia="zh-CN"/>
              </w:rPr>
              <w:br/>
              <w:t>Patient must have a Mayo clinic score greater than or equal to 6 if an adult patient; OR</w:t>
            </w:r>
            <w:r w:rsidRPr="00E106BD">
              <w:rPr>
                <w:rFonts w:ascii="Arial" w:eastAsia="SimSun" w:hAnsi="Arial" w:cs="Arial"/>
                <w:sz w:val="16"/>
                <w:szCs w:val="16"/>
                <w:lang w:eastAsia="zh-CN"/>
              </w:rPr>
              <w:br/>
              <w:t>Patient must have a partial Mayo clinic score greater than or equal to 6, provided the rectal bleeding and stool frequency subscores are both greater than or equal to 2 (endoscopy subscore is not required for a partial Mayo clinic score); OR</w:t>
            </w:r>
            <w:r w:rsidRPr="00E106BD">
              <w:rPr>
                <w:rFonts w:ascii="Arial" w:eastAsia="SimSun" w:hAnsi="Arial" w:cs="Arial"/>
                <w:sz w:val="16"/>
                <w:szCs w:val="16"/>
                <w:lang w:eastAsia="zh-CN"/>
              </w:rPr>
              <w:br/>
              <w:t>Patient must have a Paediatric Ulcerative Colitis Activity Index (PUCAI) Score greater than or equal to 30 if aged 6 to 17 years; OR</w:t>
            </w:r>
            <w:r w:rsidRPr="00E106BD">
              <w:rPr>
                <w:rFonts w:ascii="Arial" w:eastAsia="SimSun" w:hAnsi="Arial" w:cs="Arial"/>
                <w:sz w:val="16"/>
                <w:szCs w:val="16"/>
                <w:lang w:eastAsia="zh-CN"/>
              </w:rPr>
              <w:br/>
              <w:t>Patient must have previously received induction therapy with this drug for an acute severe episode of ulcerative colitis in the last 4 months and demonstrated an adequate response to induction therapy by achieving and maintaining a partial Mayo clinic score less than or equal to 2, with no subscore greater than 1, or a PUCAI score less than 10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Ulcerative Colitis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Mayo clinic or partial Mayo clinic or Paediatric Ulcerative Colitis Activity Index (PUCAI) calculation sheet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and</w:t>
            </w:r>
            <w:r w:rsidRPr="00E106BD">
              <w:rPr>
                <w:rFonts w:ascii="Arial" w:eastAsia="SimSun" w:hAnsi="Arial" w:cs="Arial"/>
                <w:sz w:val="16"/>
                <w:szCs w:val="16"/>
                <w:lang w:eastAsia="zh-CN"/>
              </w:rPr>
              <w:br/>
              <w:t>(ii) details of prior systemic drug therapy [dosage, date of commencement and duration of therapy].</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or to be administered at 8</w:t>
            </w:r>
            <w:r>
              <w:rPr>
                <w:rFonts w:ascii="Arial" w:eastAsia="SimSun" w:hAnsi="Arial" w:cs="Arial"/>
                <w:sz w:val="16"/>
                <w:szCs w:val="16"/>
                <w:lang w:eastAsia="zh-CN"/>
              </w:rPr>
              <w:noBreakHyphen/>
            </w:r>
            <w:r w:rsidRPr="00E106BD">
              <w:rPr>
                <w:rFonts w:ascii="Arial" w:eastAsia="SimSun" w:hAnsi="Arial" w:cs="Arial"/>
                <w:sz w:val="16"/>
                <w:szCs w:val="16"/>
                <w:lang w:eastAsia="zh-CN"/>
              </w:rPr>
              <w:t>weekly intervals for patients who have received prior treatment for an acute severe episode, will be authorised.</w:t>
            </w:r>
            <w:r w:rsidRPr="00E106BD">
              <w:rPr>
                <w:rFonts w:ascii="Arial" w:eastAsia="SimSun" w:hAnsi="Arial" w:cs="Arial"/>
                <w:sz w:val="16"/>
                <w:szCs w:val="16"/>
                <w:lang w:eastAsia="zh-CN"/>
              </w:rPr>
              <w:br/>
              <w:t>All tests and assessments should be performed preferably whilst still on treatment, but no longer than 4 weeks following cessation of the most recent prior conventional treatment.</w:t>
            </w:r>
            <w:r w:rsidRPr="00E106BD">
              <w:rPr>
                <w:rFonts w:ascii="Arial" w:eastAsia="SimSun" w:hAnsi="Arial" w:cs="Arial"/>
                <w:sz w:val="16"/>
                <w:szCs w:val="16"/>
                <w:lang w:eastAsia="zh-CN"/>
              </w:rPr>
              <w:br/>
              <w:t>The most recent Mayo clinic, partial Mayo clinic or Paediatric Ulcerative Colitis Activity Index (PUCAI) score must be no more than 4 weeks old at the time of application.</w:t>
            </w:r>
            <w:r w:rsidRPr="00E106BD">
              <w:rPr>
                <w:rFonts w:ascii="Arial" w:eastAsia="SimSun" w:hAnsi="Arial" w:cs="Arial"/>
                <w:sz w:val="16"/>
                <w:szCs w:val="16"/>
                <w:lang w:eastAsia="zh-CN"/>
              </w:rPr>
              <w:br/>
              <w:t>Where treatment for an acute severe episode has occurred, an adequate response to induction therapy needs to be demonstrated by achieving and maintaining a partial Mayo clinic score less than or equal to 2, with no subscore greater than 1, or a Paediatric Ulcerative Colitis Activity Index (PUCAI) score less than 10 (if aged 6 to 17 years), within the first 12 weeks of receiving this drug for acute severe ulcerative colitis.</w:t>
            </w:r>
            <w:r w:rsidRPr="00E106BD">
              <w:rPr>
                <w:rFonts w:ascii="Arial" w:eastAsia="SimSun" w:hAnsi="Arial" w:cs="Arial"/>
                <w:sz w:val="16"/>
                <w:szCs w:val="16"/>
                <w:lang w:eastAsia="zh-CN"/>
              </w:rPr>
              <w:br/>
              <w:t>A partial Mayo clinic or Paediatric Ulcerative Colitis Activity Index (PUCAI)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following a minimum of 12 weeks of treatment for adalimumab and up to 12 weeks after the first dose (6 weeks following the third dose) for golimumab, infliximab and vedolizumab so that there is adequate time for a response to be demonstrated.</w:t>
            </w:r>
            <w:r w:rsidRPr="00E106BD">
              <w:rPr>
                <w:rFonts w:ascii="Arial" w:eastAsia="SimSun" w:hAnsi="Arial" w:cs="Arial"/>
                <w:sz w:val="16"/>
                <w:szCs w:val="16"/>
                <w:lang w:eastAsia="zh-CN"/>
              </w:rPr>
              <w:br/>
              <w:t>If treatment with any of the above</w:t>
            </w:r>
            <w:r>
              <w:rPr>
                <w:rFonts w:ascii="Arial" w:eastAsia="SimSun" w:hAnsi="Arial" w:cs="Arial"/>
                <w:sz w:val="16"/>
                <w:szCs w:val="16"/>
                <w:lang w:eastAsia="zh-CN"/>
              </w:rPr>
              <w:noBreakHyphen/>
            </w:r>
            <w:r w:rsidRPr="00E106BD">
              <w:rPr>
                <w:rFonts w:ascii="Arial" w:eastAsia="SimSun" w:hAnsi="Arial" w:cs="Arial"/>
                <w:sz w:val="16"/>
                <w:szCs w:val="16"/>
                <w:lang w:eastAsia="zh-CN"/>
              </w:rPr>
              <w:t>mentioned drugs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details must be provided at the time of application.</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Details of the accepted toxicities including severity can be found on the Department of Human Services website.</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C9778</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Patient must have confirmed severe Crohn disease, defined by standard clinical, endoscopic and/or imaging features, including histological evidence, with the diagnosis confirmed by a gastroenterologist or a consultant physician; AND</w:t>
            </w:r>
            <w:r w:rsidRPr="00E106BD">
              <w:rPr>
                <w:rFonts w:ascii="Arial" w:eastAsia="SimSun" w:hAnsi="Arial" w:cs="Arial"/>
                <w:sz w:val="16"/>
                <w:szCs w:val="16"/>
                <w:lang w:eastAsia="zh-CN"/>
              </w:rPr>
              <w:br/>
              <w:t>Patient must have failed to achieve an adequate response to prior systemic therapy with a tapered course of steroids, starting at a dose of at least 40 mg prednisolone (or equivalent), over a 6 week period; AND</w:t>
            </w:r>
            <w:r w:rsidRPr="00E106BD">
              <w:rPr>
                <w:rFonts w:ascii="Arial" w:eastAsia="SimSun" w:hAnsi="Arial" w:cs="Arial"/>
                <w:sz w:val="16"/>
                <w:szCs w:val="16"/>
                <w:lang w:eastAsia="zh-CN"/>
              </w:rPr>
              <w:br/>
              <w:t>The treatment must not exceed a total of 3 doses to be administered at weeks 0, 2 and 6 under this restriction; AND</w:t>
            </w:r>
            <w:r w:rsidRPr="00E106BD">
              <w:rPr>
                <w:rFonts w:ascii="Arial" w:eastAsia="SimSun" w:hAnsi="Arial" w:cs="Arial"/>
                <w:sz w:val="16"/>
                <w:szCs w:val="16"/>
                <w:lang w:eastAsia="zh-CN"/>
              </w:rPr>
              <w:br/>
              <w:t>Patient must have failed to achieve adequate response to prior systemic immunosuppressive therapy with azathioprine at a dose of at least 2 mg per kg daily for 3 or more consecutive months; OR</w:t>
            </w:r>
            <w:r w:rsidRPr="00E106BD">
              <w:rPr>
                <w:rFonts w:ascii="Arial" w:eastAsia="SimSun" w:hAnsi="Arial" w:cs="Arial"/>
                <w:sz w:val="16"/>
                <w:szCs w:val="16"/>
                <w:lang w:eastAsia="zh-CN"/>
              </w:rPr>
              <w:br/>
              <w:t>Patient must have failed to achieve adequate response to prior systemic immunosuppressive therapy with 6</w:t>
            </w:r>
            <w:r>
              <w:rPr>
                <w:rFonts w:ascii="Arial" w:eastAsia="SimSun" w:hAnsi="Arial" w:cs="Arial"/>
                <w:sz w:val="16"/>
                <w:szCs w:val="16"/>
                <w:lang w:eastAsia="zh-CN"/>
              </w:rPr>
              <w:noBreakHyphen/>
            </w:r>
            <w:r w:rsidRPr="00E106BD">
              <w:rPr>
                <w:rFonts w:ascii="Arial" w:eastAsia="SimSun" w:hAnsi="Arial" w:cs="Arial"/>
                <w:sz w:val="16"/>
                <w:szCs w:val="16"/>
                <w:lang w:eastAsia="zh-CN"/>
              </w:rPr>
              <w:t>mercaptopurine at a dose of at least 1 mg per kg daily for 3 or more consecutive months; OR</w:t>
            </w:r>
            <w:r w:rsidRPr="00E106BD">
              <w:rPr>
                <w:rFonts w:ascii="Arial" w:eastAsia="SimSun" w:hAnsi="Arial" w:cs="Arial"/>
                <w:sz w:val="16"/>
                <w:szCs w:val="16"/>
                <w:lang w:eastAsia="zh-CN"/>
              </w:rPr>
              <w:br/>
              <w:t>Patient must have failed to achieve adequate response to prior systemic immunosuppressive therapy with methotrexate at a dose of at least 15 mg weekly for 3 or more consecutive months; AND</w:t>
            </w:r>
            <w:r w:rsidRPr="00E106BD">
              <w:rPr>
                <w:rFonts w:ascii="Arial" w:eastAsia="SimSun" w:hAnsi="Arial" w:cs="Arial"/>
                <w:sz w:val="16"/>
                <w:szCs w:val="16"/>
                <w:lang w:eastAsia="zh-CN"/>
              </w:rPr>
              <w:br/>
              <w:t>Patient must have a Crohn Disease Activity Index (CDAI) Score greater than or equal to 300 as evidence of failure to achieve an adequate response to prior systemic therapy; OR</w:t>
            </w:r>
            <w:r w:rsidRPr="00E106BD">
              <w:rPr>
                <w:rFonts w:ascii="Arial" w:eastAsia="SimSun" w:hAnsi="Arial" w:cs="Arial"/>
                <w:sz w:val="16"/>
                <w:szCs w:val="16"/>
                <w:lang w:eastAsia="zh-CN"/>
              </w:rPr>
              <w:b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r w:rsidRPr="00E106BD">
              <w:rPr>
                <w:rFonts w:ascii="Arial" w:eastAsia="SimSun" w:hAnsi="Arial" w:cs="Arial"/>
                <w:sz w:val="16"/>
                <w:szCs w:val="16"/>
                <w:lang w:eastAsia="zh-CN"/>
              </w:rPr>
              <w:br/>
              <w:t>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therapy as specified below.</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Crohn Disease Activity Index (CDAI) calculation sheet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if relevant; and</w:t>
            </w:r>
            <w:r w:rsidRPr="00E106BD">
              <w:rPr>
                <w:rFonts w:ascii="Arial" w:eastAsia="SimSun" w:hAnsi="Arial" w:cs="Arial"/>
                <w:sz w:val="16"/>
                <w:szCs w:val="16"/>
                <w:lang w:eastAsia="zh-CN"/>
              </w:rPr>
              <w:br/>
              <w:t>(ii) details of prior systemic drug therapy [dosage, date of commencement and duration of therapy]; and</w:t>
            </w:r>
            <w:r w:rsidRPr="00E106BD">
              <w:rPr>
                <w:rFonts w:ascii="Arial" w:eastAsia="SimSun" w:hAnsi="Arial" w:cs="Arial"/>
                <w:sz w:val="16"/>
                <w:szCs w:val="16"/>
                <w:lang w:eastAsia="zh-CN"/>
              </w:rPr>
              <w:br/>
              <w:t>(iii) the reports and dates of the pathology or diagnostic imaging test(s) nominated as the response criterion, if relevant; and</w:t>
            </w:r>
            <w:r w:rsidRPr="00E106BD">
              <w:rPr>
                <w:rFonts w:ascii="Arial" w:eastAsia="SimSun" w:hAnsi="Arial" w:cs="Arial"/>
                <w:sz w:val="16"/>
                <w:szCs w:val="16"/>
                <w:lang w:eastAsia="zh-CN"/>
              </w:rPr>
              <w:br/>
              <w:t>(iv) the date of the most recent clinical assessment.</w:t>
            </w:r>
            <w:r w:rsidRPr="00E106BD">
              <w:rPr>
                <w:rFonts w:ascii="Arial" w:eastAsia="SimSun" w:hAnsi="Arial" w:cs="Arial"/>
                <w:sz w:val="16"/>
                <w:szCs w:val="16"/>
                <w:lang w:eastAsia="zh-CN"/>
              </w:rPr>
              <w:br/>
              <w:t>Evidence of failure to achieve an adequate response to prior therapy must include at least one of the following:</w:t>
            </w:r>
            <w:r w:rsidRPr="00E106BD">
              <w:rPr>
                <w:rFonts w:ascii="Arial" w:eastAsia="SimSun" w:hAnsi="Arial" w:cs="Arial"/>
                <w:sz w:val="16"/>
                <w:szCs w:val="16"/>
                <w:lang w:eastAsia="zh-CN"/>
              </w:rPr>
              <w:br/>
              <w:t>(a) patient must have evidence of intestinal inflammation;</w:t>
            </w:r>
            <w:r w:rsidRPr="00E106BD">
              <w:rPr>
                <w:rFonts w:ascii="Arial" w:eastAsia="SimSun" w:hAnsi="Arial" w:cs="Arial"/>
                <w:sz w:val="16"/>
                <w:szCs w:val="16"/>
                <w:lang w:eastAsia="zh-CN"/>
              </w:rPr>
              <w:br/>
              <w:t>(b) patient must be assessed clinically as being in a high faecal output state;</w:t>
            </w:r>
            <w:r w:rsidRPr="00E106BD">
              <w:rPr>
                <w:rFonts w:ascii="Arial" w:eastAsia="SimSun" w:hAnsi="Arial" w:cs="Arial"/>
                <w:sz w:val="16"/>
                <w:szCs w:val="16"/>
                <w:lang w:eastAsia="zh-CN"/>
              </w:rPr>
              <w:br/>
              <w:t>(c) patient must be assessed clinically as requiring surgery or total parenteral nutrition (TPN) as the next therapeutic option, in the absence of this drug, if affected by short gut syndrome, extensive small intestine disease or is an ostomy patient.</w:t>
            </w:r>
            <w:r w:rsidRPr="00E106BD">
              <w:rPr>
                <w:rFonts w:ascii="Arial" w:eastAsia="SimSun" w:hAnsi="Arial" w:cs="Arial"/>
                <w:sz w:val="16"/>
                <w:szCs w:val="16"/>
                <w:lang w:eastAsia="zh-CN"/>
              </w:rPr>
              <w:br/>
              <w:t>Evidence of intestinal inflammation includes:</w:t>
            </w:r>
            <w:r w:rsidRPr="00E106BD">
              <w:rPr>
                <w:rFonts w:ascii="Arial" w:eastAsia="SimSun" w:hAnsi="Arial" w:cs="Arial"/>
                <w:sz w:val="16"/>
                <w:szCs w:val="16"/>
                <w:lang w:eastAsia="zh-CN"/>
              </w:rPr>
              <w:br/>
              <w:t>(i) blood: higher than normal platelet count, or, an elevated erythrocyte sedimentation rate (ESR)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15 mg per L; or</w:t>
            </w:r>
            <w:r w:rsidRPr="00E106BD">
              <w:rPr>
                <w:rFonts w:ascii="Arial" w:eastAsia="SimSun" w:hAnsi="Arial" w:cs="Arial"/>
                <w:sz w:val="16"/>
                <w:szCs w:val="16"/>
                <w:lang w:eastAsia="zh-CN"/>
              </w:rPr>
              <w:br/>
              <w:t>(ii) faeces: higher than normal lactoferrin or calprotectin level; or</w:t>
            </w:r>
            <w:r w:rsidRPr="00E106BD">
              <w:rPr>
                <w:rFonts w:ascii="Arial" w:eastAsia="SimSun" w:hAnsi="Arial" w:cs="Arial"/>
                <w:sz w:val="16"/>
                <w:szCs w:val="16"/>
                <w:lang w:eastAsia="zh-CN"/>
              </w:rPr>
              <w:br/>
              <w:t>(iii) diagnostic imaging: demonstration of increased uptake of intravenous contrast with thickening of the bowel wall or mesenteric lymphadenopathy or fat streaking in the mesentery.</w:t>
            </w:r>
            <w:r w:rsidRPr="00E106BD">
              <w:rPr>
                <w:rFonts w:ascii="Arial" w:eastAsia="SimSun" w:hAnsi="Arial" w:cs="Arial"/>
                <w:sz w:val="16"/>
                <w:szCs w:val="16"/>
                <w:lang w:eastAsia="zh-CN"/>
              </w:rPr>
              <w:br/>
              <w:t>All assessments, pathology tests and diagnostic imaging studies must be made within 1 month of the date of application and should be performed preferably whilst still on conventional treatment, but no longer than 1 month following cessation of the most recent prior treatment</w:t>
            </w:r>
            <w:r w:rsidRPr="00E106BD">
              <w:rPr>
                <w:rFonts w:ascii="Arial" w:eastAsia="SimSun" w:hAnsi="Arial" w:cs="Arial"/>
                <w:sz w:val="16"/>
                <w:szCs w:val="16"/>
                <w:lang w:eastAsia="zh-CN"/>
              </w:rPr>
              <w:br/>
              <w:t>If treatment with any of the specified prior conventional drugs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please provide details at the time of application.</w:t>
            </w:r>
            <w:r w:rsidRPr="00E106BD">
              <w:rPr>
                <w:rFonts w:ascii="Arial" w:eastAsia="SimSun" w:hAnsi="Arial" w:cs="Arial"/>
                <w:sz w:val="16"/>
                <w:szCs w:val="16"/>
                <w:lang w:eastAsia="zh-CN"/>
              </w:rPr>
              <w:br/>
              <w:t>If intolerance to treatment develops during the relevant period of use, which is of a severity necessitating permanent treatment withdrawal, details of this toxicity must be provided at the time of application.</w:t>
            </w:r>
            <w:r w:rsidRPr="00E106BD">
              <w:rPr>
                <w:rFonts w:ascii="Arial" w:eastAsia="SimSun" w:hAnsi="Arial" w:cs="Arial"/>
                <w:sz w:val="16"/>
                <w:szCs w:val="16"/>
                <w:lang w:eastAsia="zh-CN"/>
              </w:rPr>
              <w:br/>
              <w:t>Details of the accepted toxicities including severity can be found on the Department of Human Services website.</w:t>
            </w:r>
            <w:r w:rsidRPr="00E106BD">
              <w:rPr>
                <w:rFonts w:ascii="Arial" w:eastAsia="SimSun" w:hAnsi="Arial" w:cs="Arial"/>
                <w:sz w:val="16"/>
                <w:szCs w:val="16"/>
                <w:lang w:eastAsia="zh-CN"/>
              </w:rPr>
              <w:br/>
              <w:t>Any one of the baseline criteria may be used to determine response to an initial course of treatment and eligibility for continued therapy, according to the criteria included in the first or subsequent continuing treatment restrictions. However, the same criterion must be used for any subsequent determination of response to treatment, for the purpose of eligibility for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The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C9779</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Balance of supply</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insufficient therapy with this drug for this condition under the Initial 1 (new patient)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continuing treatment restriction to complete 24 weeks of treatment; AND</w:t>
            </w:r>
            <w:r w:rsidRPr="00E106BD">
              <w:rPr>
                <w:rFonts w:ascii="Arial" w:eastAsia="SimSun" w:hAnsi="Arial" w:cs="Arial"/>
                <w:sz w:val="16"/>
                <w:szCs w:val="16"/>
                <w:lang w:eastAsia="zh-CN"/>
              </w:rPr>
              <w:br/>
              <w:t>The treatment must provide no more than the balance of up to 14 weeks therapy available under Initial 1, 2 or 3 treatment; OR</w:t>
            </w:r>
            <w:r w:rsidRPr="00E106BD">
              <w:rPr>
                <w:rFonts w:ascii="Arial" w:eastAsia="SimSun" w:hAnsi="Arial" w:cs="Arial"/>
                <w:sz w:val="16"/>
                <w:szCs w:val="16"/>
                <w:lang w:eastAsia="zh-CN"/>
              </w:rPr>
              <w:br/>
              <w:t>The treatment must provide no more than the balance of up to 24 weeks therapy available under Continuing treatment.</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C9781</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 break in treatment of 5 years or more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Patient must have confirmed severe Crohn disease, defined by standard clinical, endoscopic and/or imaging features, including histological evidence, with the diagnosis confirmed by a gastroenterologist or a consultant physician; AND</w:t>
            </w:r>
            <w:r w:rsidRPr="00E106BD">
              <w:rPr>
                <w:rFonts w:ascii="Arial" w:eastAsia="SimSun" w:hAnsi="Arial" w:cs="Arial"/>
                <w:sz w:val="16"/>
                <w:szCs w:val="16"/>
                <w:lang w:eastAsia="zh-CN"/>
              </w:rPr>
              <w:br/>
              <w:t>Patient must have a Crohn Disease Activity Index (CDAI) Score of greater than or equal to 300 that is no more than 4 weeks old at the time of application; OR</w:t>
            </w:r>
            <w:r w:rsidRPr="00E106BD">
              <w:rPr>
                <w:rFonts w:ascii="Arial" w:eastAsia="SimSun" w:hAnsi="Arial" w:cs="Arial"/>
                <w:sz w:val="16"/>
                <w:szCs w:val="16"/>
                <w:lang w:eastAsia="zh-CN"/>
              </w:rPr>
              <w:br/>
              <w:t>Patient must have a documented history of intestinal inflammation and have diagnostic imaging or surgical evidence of short gut syndrome if affected by the syndrome or has an ileostomy or colostomy; OR</w:t>
            </w:r>
            <w:r w:rsidRPr="00E106BD">
              <w:rPr>
                <w:rFonts w:ascii="Arial" w:eastAsia="SimSun" w:hAnsi="Arial" w:cs="Arial"/>
                <w:sz w:val="16"/>
                <w:szCs w:val="16"/>
                <w:lang w:eastAsia="zh-CN"/>
              </w:rPr>
              <w:b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 AND</w:t>
            </w:r>
            <w:r w:rsidRPr="00E106BD">
              <w:rPr>
                <w:rFonts w:ascii="Arial" w:eastAsia="SimSun" w:hAnsi="Arial" w:cs="Arial"/>
                <w:sz w:val="16"/>
                <w:szCs w:val="16"/>
                <w:lang w:eastAsia="zh-CN"/>
              </w:rPr>
              <w:br/>
              <w:t>Patient must have evidence of intestinal inflammation; OR</w:t>
            </w:r>
            <w:r w:rsidRPr="00E106BD">
              <w:rPr>
                <w:rFonts w:ascii="Arial" w:eastAsia="SimSun" w:hAnsi="Arial" w:cs="Arial"/>
                <w:sz w:val="16"/>
                <w:szCs w:val="16"/>
                <w:lang w:eastAsia="zh-CN"/>
              </w:rPr>
              <w:br/>
              <w:t>Patient must be assessed clinically as being in a high faecal output state; OR</w:t>
            </w:r>
            <w:r w:rsidRPr="00E106BD">
              <w:rPr>
                <w:rFonts w:ascii="Arial" w:eastAsia="SimSun" w:hAnsi="Arial" w:cs="Arial"/>
                <w:sz w:val="16"/>
                <w:szCs w:val="16"/>
                <w:lang w:eastAsia="zh-CN"/>
              </w:rPr>
              <w:br/>
              <w:t>Patient must be assessed clinically as requiring surgery or total parenteral nutrition (TPN) as the next therapeutic option, in the absence of this drug, if affected by short gut syndrome, extensive small intestine disease or is an ostomy patient;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Crohn Disease Activity Index (CDAI) calculation sheet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if relevant; and</w:t>
            </w:r>
            <w:r w:rsidRPr="00E106BD">
              <w:rPr>
                <w:rFonts w:ascii="Arial" w:eastAsia="SimSun" w:hAnsi="Arial" w:cs="Arial"/>
                <w:sz w:val="16"/>
                <w:szCs w:val="16"/>
                <w:lang w:eastAsia="zh-CN"/>
              </w:rPr>
              <w:br/>
              <w:t>(ii) the reports and dates of the pathology or diagnostic imaging test(s) nominated as the response criterion, if relevant; and</w:t>
            </w:r>
            <w:r w:rsidRPr="00E106BD">
              <w:rPr>
                <w:rFonts w:ascii="Arial" w:eastAsia="SimSun" w:hAnsi="Arial" w:cs="Arial"/>
                <w:sz w:val="16"/>
                <w:szCs w:val="16"/>
                <w:lang w:eastAsia="zh-CN"/>
              </w:rPr>
              <w:br/>
              <w:t>(iii) the date of the most recent clinical assessment.</w:t>
            </w:r>
            <w:r w:rsidRPr="00E106BD">
              <w:rPr>
                <w:rFonts w:ascii="Arial" w:eastAsia="SimSun" w:hAnsi="Arial" w:cs="Arial"/>
                <w:sz w:val="16"/>
                <w:szCs w:val="16"/>
                <w:lang w:eastAsia="zh-CN"/>
              </w:rPr>
              <w:br/>
              <w:t>Evidence of intestinal inflammation includes:</w:t>
            </w:r>
            <w:r w:rsidRPr="00E106BD">
              <w:rPr>
                <w:rFonts w:ascii="Arial" w:eastAsia="SimSun" w:hAnsi="Arial" w:cs="Arial"/>
                <w:sz w:val="16"/>
                <w:szCs w:val="16"/>
                <w:lang w:eastAsia="zh-CN"/>
              </w:rPr>
              <w:br/>
              <w:t>(i) blood: higher than normal platelet count, or, an elevated erythrocyte sedimentation rate (ESR)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15 mg per L; or</w:t>
            </w:r>
            <w:r w:rsidRPr="00E106BD">
              <w:rPr>
                <w:rFonts w:ascii="Arial" w:eastAsia="SimSun" w:hAnsi="Arial" w:cs="Arial"/>
                <w:sz w:val="16"/>
                <w:szCs w:val="16"/>
                <w:lang w:eastAsia="zh-CN"/>
              </w:rPr>
              <w:br/>
              <w:t>(ii) faeces: higher than normal lactoferrin or calprotectin level; or</w:t>
            </w:r>
            <w:r w:rsidRPr="00E106BD">
              <w:rPr>
                <w:rFonts w:ascii="Arial" w:eastAsia="SimSun" w:hAnsi="Arial" w:cs="Arial"/>
                <w:sz w:val="16"/>
                <w:szCs w:val="16"/>
                <w:lang w:eastAsia="zh-CN"/>
              </w:rPr>
              <w:br/>
              <w:t>(iii) diagnostic imaging: demonstration of increased uptake of intravenous contrast with thickening of the bowel wall or mesenteric lymphadenopathy or fat streaking in the mesentery.</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Any one of the baseline criteria may be used to determine response to an initial course of treatment and eligibility for continued therapy, according to the criteria included in the first or subsequent continuing treatment restrictions. However, the same criterion must be used for any subsequent determination of response to treatment, for the purpose of eligibility for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w:t>
            </w:r>
            <w:r w:rsidRPr="00E106BD">
              <w:rPr>
                <w:rFonts w:ascii="Arial" w:eastAsia="SimSun" w:hAnsi="Arial" w:cs="Arial"/>
                <w:sz w:val="16"/>
                <w:szCs w:val="16"/>
                <w:lang w:eastAsia="zh-CN"/>
              </w:rPr>
              <w:br/>
              <w:t>The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C9783</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an adequate response to treatment with this drug.</w:t>
            </w:r>
            <w:r w:rsidRPr="00E106BD">
              <w:rPr>
                <w:rFonts w:ascii="Arial" w:eastAsia="SimSun" w:hAnsi="Arial" w:cs="Arial"/>
                <w:sz w:val="16"/>
                <w:szCs w:val="16"/>
                <w:lang w:eastAsia="zh-CN"/>
              </w:rPr>
              <w:br/>
              <w:t>An adequate response is defined as:</w:t>
            </w:r>
            <w:r w:rsidRPr="00E106BD">
              <w:rPr>
                <w:rFonts w:ascii="Arial" w:eastAsia="SimSun" w:hAnsi="Arial" w:cs="Arial"/>
                <w:sz w:val="16"/>
                <w:szCs w:val="16"/>
                <w:lang w:eastAsia="zh-CN"/>
              </w:rPr>
              <w:br/>
              <w:t>(a) a decrease from baseline in the number of open draining fistulae of greater than or equal to 50%; and/or</w:t>
            </w:r>
            <w:r w:rsidRPr="00E106BD">
              <w:rPr>
                <w:rFonts w:ascii="Arial" w:eastAsia="SimSun" w:hAnsi="Arial" w:cs="Arial"/>
                <w:sz w:val="16"/>
                <w:szCs w:val="16"/>
                <w:lang w:eastAsia="zh-CN"/>
              </w:rPr>
              <w:br/>
              <w:t>(b) a marked reduction in drainage of all fistula(e) from baseline, together with less pain and induration as reported by the patient.</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Fistulising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a completed Fistula Assessment form including the date of the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w:t>
            </w:r>
            <w:r w:rsidRPr="00E106BD">
              <w:rPr>
                <w:rFonts w:ascii="Arial" w:eastAsia="SimSun" w:hAnsi="Arial" w:cs="Arial"/>
                <w:sz w:val="16"/>
                <w:szCs w:val="16"/>
                <w:lang w:eastAsia="zh-CN"/>
              </w:rPr>
              <w:br/>
              <w:t>The most recent fistula assessment must be no more than 1 month old at the time of application.</w:t>
            </w:r>
            <w:r w:rsidRPr="00E106BD">
              <w:rPr>
                <w:rFonts w:ascii="Arial" w:eastAsia="SimSun" w:hAnsi="Arial" w:cs="Arial"/>
                <w:sz w:val="16"/>
                <w:szCs w:val="16"/>
                <w:lang w:eastAsia="zh-CN"/>
              </w:rPr>
              <w:br/>
              <w:t>The application for first continuing treatment with this drug must include an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the initial course of treatment. The assessment must be made up to 12 weeks after the first dose so that there is adequate time for a response to be demonstrated. This assessment must be submitted no later than 4 weeks from the cessation of that treatment course.</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eastAsia="SimSun" w:hAnsi="Arial" w:cs="Arial"/>
                <w:sz w:val="16"/>
                <w:szCs w:val="16"/>
                <w:lang w:eastAsia="zh-CN"/>
              </w:rPr>
              <w:br/>
              <w:t>A maximum of 24 weeks of treatment with this drug will be authorised under this restriction.</w:t>
            </w:r>
            <w:r w:rsidRPr="00E106BD">
              <w:rPr>
                <w:rFonts w:ascii="Arial" w:eastAsia="SimSun" w:hAnsi="Arial" w:cs="Arial"/>
                <w:sz w:val="16"/>
                <w:szCs w:val="16"/>
                <w:lang w:eastAsia="zh-CN"/>
              </w:rPr>
              <w:br/>
              <w:t>At the time of the authority application, medical practitioners should request the appropriate number of vials, based on the weight of the patient, to provide for infusions at a dose of 5 mg per kg eight weekly.</w:t>
            </w:r>
            <w:r w:rsidRPr="00E106BD">
              <w:rPr>
                <w:rFonts w:ascii="Arial" w:eastAsia="SimSun" w:hAnsi="Arial" w:cs="Arial"/>
                <w:sz w:val="16"/>
                <w:szCs w:val="16"/>
                <w:lang w:eastAsia="zh-CN"/>
              </w:rPr>
              <w:br/>
              <w:t>Up to a maximum of 2 repeats will be authorised.</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C9785</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or sustained an adequate response to treatment by having a partial Mayo clinic score less than or equal to 2, with no subscore greater than 1 while receiving treatment with this drug; OR</w:t>
            </w:r>
            <w:r w:rsidRPr="00E106BD">
              <w:rPr>
                <w:rFonts w:ascii="Arial" w:eastAsia="SimSun" w:hAnsi="Arial" w:cs="Arial"/>
                <w:sz w:val="16"/>
                <w:szCs w:val="16"/>
                <w:lang w:eastAsia="zh-CN"/>
              </w:rPr>
              <w:br/>
              <w:t>Patient must have demonstrated or sustained an adequate response to treatment by having a Paediatric Ulcerative Colitis Activity Index (PUCAI) score of less than 10 while receiving treatment with this drug,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Patients who have failed to maintain a partial Mayo clinic score of less than or equal to 2, with no subscore greater than 1, or, patients who have failed to maintain a Paediatric Ulcerative Colitis Activity Index (PUCAI) score of less than 10 (if aged 6 to 17 years) with continuing treatment with this drug,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r w:rsidRPr="00E106BD">
              <w:rPr>
                <w:rFonts w:ascii="Arial" w:eastAsia="SimSun" w:hAnsi="Arial" w:cs="Arial"/>
                <w:sz w:val="16"/>
                <w:szCs w:val="16"/>
                <w:lang w:eastAsia="zh-CN"/>
              </w:rPr>
              <w:br/>
              <w:t>Patients are only eligible to receive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r w:rsidRPr="00E106BD">
              <w:rPr>
                <w:rFonts w:ascii="Arial" w:eastAsia="SimSun" w:hAnsi="Arial" w:cs="Arial"/>
                <w:sz w:val="16"/>
                <w:szCs w:val="16"/>
                <w:lang w:eastAsia="zh-CN"/>
              </w:rPr>
              <w:br/>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If patients aged 6 to 17 years fail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3 times (twice with one agent)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in this treatment cycle.</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9785</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C9787</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agent treatment for this condition in this treatment cycle; AND</w:t>
            </w:r>
            <w:r w:rsidRPr="00E106BD">
              <w:rPr>
                <w:rFonts w:ascii="Arial" w:eastAsia="SimSun" w:hAnsi="Arial" w:cs="Arial"/>
                <w:sz w:val="16"/>
                <w:szCs w:val="16"/>
                <w:lang w:eastAsia="zh-CN"/>
              </w:rPr>
              <w:br/>
              <w:t>Patient must have demonstrated an adequate response to treatment with this drug.</w:t>
            </w:r>
            <w:r w:rsidRPr="00E106BD">
              <w:rPr>
                <w:rFonts w:ascii="Arial" w:eastAsia="SimSun" w:hAnsi="Arial" w:cs="Arial"/>
                <w:sz w:val="16"/>
                <w:szCs w:val="16"/>
                <w:lang w:eastAsia="zh-CN"/>
              </w:rPr>
              <w:br/>
              <w:t>An adequate response is defined as:</w:t>
            </w:r>
            <w:r w:rsidRPr="00E106BD">
              <w:rPr>
                <w:rFonts w:ascii="Arial" w:eastAsia="SimSun" w:hAnsi="Arial" w:cs="Arial"/>
                <w:sz w:val="16"/>
                <w:szCs w:val="16"/>
                <w:lang w:eastAsia="zh-CN"/>
              </w:rPr>
              <w:br/>
              <w:t>(a) a decrease from baseline in the number of open draining fistulae of greater than or equal to 50%; and/or</w:t>
            </w:r>
            <w:r w:rsidRPr="00E106BD">
              <w:rPr>
                <w:rFonts w:ascii="Arial" w:eastAsia="SimSun" w:hAnsi="Arial" w:cs="Arial"/>
                <w:sz w:val="16"/>
                <w:szCs w:val="16"/>
                <w:lang w:eastAsia="zh-CN"/>
              </w:rPr>
              <w:br/>
              <w:t>(b) a marked reduction in drainage of all fistula(e) from baseline, together with less pain and induration as reported by the patient.</w:t>
            </w:r>
            <w:r w:rsidRPr="00E106BD">
              <w:rPr>
                <w:rFonts w:ascii="Arial" w:eastAsia="SimSun" w:hAnsi="Arial" w:cs="Arial"/>
                <w:sz w:val="16"/>
                <w:szCs w:val="16"/>
                <w:lang w:eastAsia="zh-CN"/>
              </w:rPr>
              <w:br/>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Patients are eligible to receive subsequent continuing treatment with this drug in courses of up to 24 weeks at a dose of 5 mg per kg per dose providing they continue to sustain the response.</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9787</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C9788</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or sustained an adequate response to treatment by having a partial Mayo clinic score less than or equal to 2, with no subscore greater than 1 while receiving treatment with this drug; OR</w:t>
            </w:r>
            <w:r w:rsidRPr="00E106BD">
              <w:rPr>
                <w:rFonts w:ascii="Arial" w:eastAsia="SimSun" w:hAnsi="Arial" w:cs="Arial"/>
                <w:sz w:val="16"/>
                <w:szCs w:val="16"/>
                <w:lang w:eastAsia="zh-CN"/>
              </w:rPr>
              <w:br/>
              <w:t>Patient must have demonstrated or sustained an adequate response to treatment by having a Paediatric Ulcerative Colitis Activity Index (PUCAI) score of less than 10 while receiving treatment with this drug,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Patients who have failed to maintain a partial Mayo clinic score of less than or equal to 2, with no subscore greater than 1, or, patients who have failed to maintain a Paediatric Ulcerative Colitis Activity Index (PUCAI) score of less than 10 (if aged 6 to 17 years) with continuing treatment with this drug,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r w:rsidRPr="00E106BD">
              <w:rPr>
                <w:rFonts w:ascii="Arial" w:eastAsia="SimSun" w:hAnsi="Arial" w:cs="Arial"/>
                <w:sz w:val="16"/>
                <w:szCs w:val="16"/>
                <w:lang w:eastAsia="zh-CN"/>
              </w:rPr>
              <w:br/>
              <w:t>Patients are only eligible to receive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If patients aged 6 to 17 years fail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3 times (twice with one agent)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in this treatment cycle.</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C9799</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 break in treatment of 5 years or more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Patient must have confirmed diagnosis of Crohn disease, defined by standard clinical, endoscopic and/or imaging features including histological evidence; AND</w:t>
            </w:r>
            <w:r w:rsidRPr="00E106BD">
              <w:rPr>
                <w:rFonts w:ascii="Arial" w:eastAsia="SimSun" w:hAnsi="Arial" w:cs="Arial"/>
                <w:sz w:val="16"/>
                <w:szCs w:val="16"/>
                <w:lang w:eastAsia="zh-CN"/>
              </w:rPr>
              <w:br/>
              <w:t>Patient must have a Paediatric Crohn Disease Activity Index (PCDAI) Score greater than or equal to 30;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Paediatric Crohn Disease Activity Index (PCDAI) calculation sheet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which must be no more than one month old at the time of application.</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A PCDAI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C9800</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had a break in treatment of 5 years or more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Patient must have a Mayo clinic score greater than or equal to 6 if an adult patient; OR</w:t>
            </w:r>
            <w:r w:rsidRPr="00E106BD">
              <w:rPr>
                <w:rFonts w:ascii="Arial" w:eastAsia="SimSun" w:hAnsi="Arial" w:cs="Arial"/>
                <w:sz w:val="16"/>
                <w:szCs w:val="16"/>
                <w:lang w:eastAsia="zh-CN"/>
              </w:rPr>
              <w:br/>
              <w:t>Patient must have a partial Mayo clinic score greater than or equal to 6, provided the rectal bleeding and stool frequency subscores are both greater than or equal to 2 (endoscopy subscore is not required for a partial Mayo clinic score); OR</w:t>
            </w:r>
            <w:r w:rsidRPr="00E106BD">
              <w:rPr>
                <w:rFonts w:ascii="Arial" w:eastAsia="SimSun" w:hAnsi="Arial" w:cs="Arial"/>
                <w:sz w:val="16"/>
                <w:szCs w:val="16"/>
                <w:lang w:eastAsia="zh-CN"/>
              </w:rPr>
              <w:br/>
              <w:t>Patient must have a Paediatric Ulcerative Colitis Activity Index (PUCAI) Score greater than or equal to 30 if aged 6 to 17 years; OR</w:t>
            </w:r>
            <w:r w:rsidRPr="00E106BD">
              <w:rPr>
                <w:rFonts w:ascii="Arial" w:eastAsia="SimSun" w:hAnsi="Arial" w:cs="Arial"/>
                <w:sz w:val="16"/>
                <w:szCs w:val="16"/>
                <w:lang w:eastAsia="zh-CN"/>
              </w:rPr>
              <w:br/>
              <w:t>Patient must have previously received induction therapy with this drug for an acute severe episode of ulcerative colitis in the last 4 months and demonstrated an adequate response to induction therapy by achieving and maintaining a partial Mayo clinic score less than or equal to 2, with no subscore greater than 1, or a PUCAI score less than 10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Ulcerative Colitis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Mayo clinic or partial Mayo clinic or Paediatric Ulcerative Colitis Activity Index (PUCAI) calculation sheet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and</w:t>
            </w:r>
            <w:r w:rsidRPr="00E106BD">
              <w:rPr>
                <w:rFonts w:ascii="Arial" w:eastAsia="SimSun" w:hAnsi="Arial" w:cs="Arial"/>
                <w:sz w:val="16"/>
                <w:szCs w:val="16"/>
                <w:lang w:eastAsia="zh-CN"/>
              </w:rPr>
              <w:br/>
              <w:t>(ii) the details of prior biological medicine treatment including the details of date and duration of treatment.</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or to be administered at 8</w:t>
            </w:r>
            <w:r>
              <w:rPr>
                <w:rFonts w:ascii="Arial" w:eastAsia="SimSun" w:hAnsi="Arial" w:cs="Arial"/>
                <w:sz w:val="16"/>
                <w:szCs w:val="16"/>
                <w:lang w:eastAsia="zh-CN"/>
              </w:rPr>
              <w:noBreakHyphen/>
            </w:r>
            <w:r w:rsidRPr="00E106BD">
              <w:rPr>
                <w:rFonts w:ascii="Arial" w:eastAsia="SimSun" w:hAnsi="Arial" w:cs="Arial"/>
                <w:sz w:val="16"/>
                <w:szCs w:val="16"/>
                <w:lang w:eastAsia="zh-CN"/>
              </w:rPr>
              <w:t>weekly intervals for patients who have received prior treatment for an acute severe episode, will be authorised.</w:t>
            </w:r>
            <w:r w:rsidRPr="00E106BD">
              <w:rPr>
                <w:rFonts w:ascii="Arial" w:eastAsia="SimSun" w:hAnsi="Arial" w:cs="Arial"/>
                <w:sz w:val="16"/>
                <w:szCs w:val="16"/>
                <w:lang w:eastAsia="zh-CN"/>
              </w:rPr>
              <w:br/>
              <w:t>All tests and assessments should be performed preferably whilst still on treatment, but no longer than 4 weeks following cessation of the most recent prior conventional treatment.</w:t>
            </w:r>
            <w:r w:rsidRPr="00E106BD">
              <w:rPr>
                <w:rFonts w:ascii="Arial" w:eastAsia="SimSun" w:hAnsi="Arial" w:cs="Arial"/>
                <w:sz w:val="16"/>
                <w:szCs w:val="16"/>
                <w:lang w:eastAsia="zh-CN"/>
              </w:rPr>
              <w:br/>
              <w:t>The most recent Mayo clinic, partial Mayo clinic or Paediatric Ulcerative Colitis Activity Index (PUCAI) score must be no more than 4 weeks old at the time of application.</w:t>
            </w:r>
            <w:r w:rsidRPr="00E106BD">
              <w:rPr>
                <w:rFonts w:ascii="Arial" w:eastAsia="SimSun" w:hAnsi="Arial" w:cs="Arial"/>
                <w:sz w:val="16"/>
                <w:szCs w:val="16"/>
                <w:lang w:eastAsia="zh-CN"/>
              </w:rPr>
              <w:br/>
              <w:t>Where treatment for an acute severe episode has occurred, an adequate response to induction therapy needs to be demonstrated by achieving and maintaining a partial Mayo clinic score less than or equal to 2, with no subscore greater than 1, or a Paediatric Ulcerative Colitis Activity Index (PUCAI) score less than 10 (if aged 6 to 17 years), within the first 12 weeks of receiving this drug for acute severe ulcerative colitis.</w:t>
            </w:r>
            <w:r w:rsidRPr="00E106BD">
              <w:rPr>
                <w:rFonts w:ascii="Arial" w:eastAsia="SimSun" w:hAnsi="Arial" w:cs="Arial"/>
                <w:sz w:val="16"/>
                <w:szCs w:val="16"/>
                <w:lang w:eastAsia="zh-CN"/>
              </w:rPr>
              <w:br/>
              <w:t>A partial Mayo clinic or Paediatric Ulcerative Colitis Activity Index (PUCAI)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following a minimum of 12 weeks of treatment for adalimumab and up to 12 weeks after the first dose (6 weeks following the third dose) for golimumab, infliximab and vedolizumab so that there is adequate time for a response to be demonstrated.</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recommence therapy with this drug, must be accompanied by evidence of a response to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or continuing treatment restrictions, 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Details of the accepted toxicities including severity can be found on the Department of Human Services website.</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C9803</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Change or Recommencement of treatment after a break in therapy of less than 5 years (Initial 2)</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failed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with this drug for this condition more than once in the current treatment cycle.</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Fistulising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 completed current Fistula Assessment Form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and</w:t>
            </w:r>
            <w:r w:rsidRPr="00E106BD">
              <w:rPr>
                <w:rFonts w:ascii="Arial" w:eastAsia="SimSun" w:hAnsi="Arial" w:cs="Arial"/>
                <w:sz w:val="16"/>
                <w:szCs w:val="16"/>
                <w:lang w:eastAsia="zh-CN"/>
              </w:rPr>
              <w:br/>
              <w:t>(ii) details of prior biological medicine treatment including details of date and duration of treatment.</w:t>
            </w:r>
            <w:r w:rsidRPr="00E106BD">
              <w:rPr>
                <w:rFonts w:ascii="Arial" w:eastAsia="SimSun" w:hAnsi="Arial" w:cs="Arial"/>
                <w:sz w:val="16"/>
                <w:szCs w:val="16"/>
                <w:lang w:eastAsia="zh-CN"/>
              </w:rPr>
              <w:br/>
              <w:t>The most recent fistula assessment must be no more than 1 month old at the time of application.</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an initial treatment restriction, the patient must have been assessed for response to that course following a minimum of 12 weeks therapy for adalimumab and up to 12 weeks after the first dose (6 weeks following the third dose) for infliximab and this assessment must be submitted to the Department of Human Services no later than 4 weeks from the date that course was ceased.</w:t>
            </w:r>
            <w:r w:rsidRPr="00E106BD">
              <w:rPr>
                <w:rFonts w:ascii="Arial" w:eastAsia="SimSun" w:hAnsi="Arial" w:cs="Arial"/>
                <w:sz w:val="16"/>
                <w:szCs w:val="16"/>
                <w:lang w:eastAsia="zh-CN"/>
              </w:rPr>
              <w:br/>
              <w:t>To demonstrate a response to treatment the application must be accompanied by the results of the most recent course of biological medicine therapy within the timeframes specified in the relevant restriction.</w:t>
            </w:r>
            <w:r w:rsidRPr="00E106BD">
              <w:rPr>
                <w:rFonts w:ascii="Arial" w:eastAsia="SimSun" w:hAnsi="Arial" w:cs="Arial"/>
                <w:sz w:val="16"/>
                <w:szCs w:val="16"/>
                <w:lang w:eastAsia="zh-CN"/>
              </w:rPr>
              <w:br/>
              <w:t>If the response assessment to the previous course of biological medicine treatment is not submitted as detailed above, the patient will be deemed to have failed therapy with that particular course of biological medicine.</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An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(up to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C9806</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or sustained an adequate response to treatment by having a partial Mayo clinic score less than or equal to 2, with no subscore greater than 1 while receiving treatment with this drug; OR</w:t>
            </w:r>
            <w:r w:rsidRPr="00E106BD">
              <w:rPr>
                <w:rFonts w:ascii="Arial" w:eastAsia="SimSun" w:hAnsi="Arial" w:cs="Arial"/>
                <w:sz w:val="16"/>
                <w:szCs w:val="16"/>
                <w:lang w:eastAsia="zh-CN"/>
              </w:rPr>
              <w:br/>
              <w:t>Patient must have demonstrated or sustained an adequate response to treatment by having a Paediatric Ulcerative Colitis Activity Index (PUCAI) score of less than 10 while receiving treatment with this drug,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Patients who have failed to maintain a partial Mayo clinic score of less than or equal to 2, with no subscore greater than 1, or, patients who have failed to maintain a Paediatric Ulcerative Colitis Activity Index (PUCAI) score of less than 10 (if aged 6 to 17 years) with continuing treatment with this drug,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r w:rsidRPr="00E106BD">
              <w:rPr>
                <w:rFonts w:ascii="Arial" w:eastAsia="SimSun" w:hAnsi="Arial" w:cs="Arial"/>
                <w:sz w:val="16"/>
                <w:szCs w:val="16"/>
                <w:lang w:eastAsia="zh-CN"/>
              </w:rPr>
              <w:br/>
              <w:t>Patients are only eligible to receive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r w:rsidRPr="00E106BD">
              <w:rPr>
                <w:rFonts w:ascii="Arial" w:eastAsia="SimSun" w:hAnsi="Arial" w:cs="Arial"/>
                <w:sz w:val="16"/>
                <w:szCs w:val="16"/>
                <w:lang w:eastAsia="zh-CN"/>
              </w:rPr>
              <w:br/>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If patients aged 6 to 17 years fail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3 times (twice with one agent)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in this treatment cycle.</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9806</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C9877</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chronic plaque psoriasis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Face, hand, foot (change or recommencement of treatment after a break in biological medicine of less than 5 years)</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3 biological medicines for this condition within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The treatment must be as systemic monotherapy (other than methotrexate);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dermatologist.</w:t>
            </w:r>
            <w:r w:rsidRPr="00E106BD">
              <w:rPr>
                <w:rFonts w:ascii="Arial" w:eastAsia="SimSun" w:hAnsi="Arial" w:cs="Arial"/>
                <w:sz w:val="16"/>
                <w:szCs w:val="16"/>
                <w:lang w:eastAsia="zh-CN"/>
              </w:rPr>
              <w:br/>
              <w:t>An adequate response to treatment is defined as the plaque or plaques assessed prior to biological treatment showing:</w:t>
            </w:r>
            <w:r w:rsidRPr="00E106BD">
              <w:rPr>
                <w:rFonts w:ascii="Arial" w:eastAsia="SimSun" w:hAnsi="Arial" w:cs="Arial"/>
                <w:sz w:val="16"/>
                <w:szCs w:val="16"/>
                <w:lang w:eastAsia="zh-CN"/>
              </w:rPr>
              <w:br/>
              <w:t>(i) a reduction in the Psoriasis Area and Severity Index (PASI) symptom subscores for all 3 of erythema, thickness and scaling, to slight or better, or sustained at this level, as compared to the baseline values; or</w:t>
            </w:r>
            <w:r w:rsidRPr="00E106BD">
              <w:rPr>
                <w:rFonts w:ascii="Arial" w:eastAsia="SimSun" w:hAnsi="Arial" w:cs="Arial"/>
                <w:sz w:val="16"/>
                <w:szCs w:val="16"/>
                <w:lang w:eastAsia="zh-CN"/>
              </w:rPr>
              <w:br/>
              <w:t>(ii) a reduction by 75% or more in the skin area affected, or sustained at this level, as compared to the baseline value for this treatment cycle.</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and who wishes to re</w:t>
            </w:r>
            <w:r>
              <w:rPr>
                <w:rFonts w:ascii="Arial" w:eastAsia="SimSun" w:hAnsi="Arial" w:cs="Arial"/>
                <w:sz w:val="16"/>
                <w:szCs w:val="16"/>
                <w:lang w:eastAsia="zh-CN"/>
              </w:rPr>
              <w:noBreakHyphen/>
            </w:r>
            <w:r w:rsidRPr="00E106BD">
              <w:rPr>
                <w:rFonts w:ascii="Arial" w:eastAsia="SimSun" w:hAnsi="Arial" w:cs="Arial"/>
                <w:sz w:val="16"/>
                <w:szCs w:val="16"/>
                <w:lang w:eastAsia="zh-CN"/>
              </w:rPr>
              <w:t>commence therapy with this drug, must be accompanied by evidence of a response to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was approved under either of the Initial 1, Initial 2, Initial 3, first or subsequent continuing treatment restrictions, it is recommended that 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is conducted following a minimum of 12 weeks of therapy and no later than 4 weeks from the completion of the most recent course of treatment.</w:t>
            </w:r>
            <w:r w:rsidRPr="00E106BD">
              <w:rPr>
                <w:rFonts w:ascii="Arial" w:eastAsia="SimSun" w:hAnsi="Arial" w:cs="Arial"/>
                <w:sz w:val="16"/>
                <w:szCs w:val="16"/>
                <w:lang w:eastAsia="zh-CN"/>
              </w:rPr>
              <w:br/>
              <w:t>To demonstrate a response to treatment the application must be accompanied with the assessment of response from the most recent course of biological medicine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Demonstration of response should be provided within this timeframe.</w:t>
            </w:r>
            <w:r w:rsidRPr="00E106BD">
              <w:rPr>
                <w:rFonts w:ascii="Arial" w:eastAsia="SimSun" w:hAnsi="Arial" w:cs="Arial"/>
                <w:sz w:val="16"/>
                <w:szCs w:val="16"/>
                <w:lang w:eastAsia="zh-CN"/>
              </w:rPr>
              <w:br/>
              <w:t>The PASI assessment for first continuing or subsequent continuing treatment must be performed on the same affected area as assessed at baseline.</w:t>
            </w:r>
            <w:r w:rsidRPr="00E106BD">
              <w:rPr>
                <w:rFonts w:ascii="Arial" w:eastAsia="SimSun" w:hAnsi="Arial" w:cs="Arial"/>
                <w:sz w:val="16"/>
                <w:szCs w:val="16"/>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form(s); and</w:t>
            </w:r>
            <w:r w:rsidRPr="00E106BD">
              <w:rPr>
                <w:rFonts w:ascii="Arial" w:eastAsia="SimSun" w:hAnsi="Arial" w:cs="Arial"/>
                <w:sz w:val="16"/>
                <w:szCs w:val="16"/>
                <w:lang w:eastAsia="zh-CN"/>
              </w:rPr>
              <w:br/>
              <w:t xml:space="preserve">(b) a completed Severe Chronic Plaque Psoriasis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Psoriasis Area and Severity Index (PASI) calculation sheets and face, hand, foot area diagrams including the dates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and</w:t>
            </w:r>
            <w:r w:rsidRPr="00E106BD">
              <w:rPr>
                <w:rFonts w:ascii="Arial" w:eastAsia="SimSun" w:hAnsi="Arial" w:cs="Arial"/>
                <w:sz w:val="16"/>
                <w:szCs w:val="16"/>
                <w:lang w:eastAsia="zh-CN"/>
              </w:rPr>
              <w:br/>
              <w:t>(ii) details of prior biological treatment, including dosage, date and duration of treatment.</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this treatment cycle.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C9900</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 xml:space="preserve">Initial treatment (new patient or Recommencement of treatment after more than 5 years break in therapy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confirmed Crohn disease, defined by standard clinical, endoscopic and/or imaging features, including histological evidence, with the diagnosis confirmed by a gastroenterologist or a consultant physician; AND</w:t>
            </w:r>
            <w:r w:rsidRPr="00E106BD">
              <w:rPr>
                <w:rFonts w:ascii="Arial" w:eastAsia="SimSun" w:hAnsi="Arial" w:cs="Arial"/>
                <w:sz w:val="16"/>
                <w:szCs w:val="16"/>
                <w:lang w:eastAsia="zh-CN"/>
              </w:rPr>
              <w:br/>
              <w:t>Patient must have an externally draining enterocutaneous or rectovaginal fistula.</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Fistulising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 completed current Fistula Assessment Form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w:t>
            </w:r>
            <w:r w:rsidRPr="00E106BD">
              <w:rPr>
                <w:rFonts w:ascii="Arial" w:eastAsia="SimSun" w:hAnsi="Arial" w:cs="Arial"/>
                <w:sz w:val="16"/>
                <w:szCs w:val="16"/>
                <w:lang w:eastAsia="zh-CN"/>
              </w:rPr>
              <w:br/>
              <w:t>The most recent fistula assessment must be no more than 1 month old at the time of application.</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An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(up to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52" w:type="dxa"/>
            <w:tcMar>
              <w:top w:w="28" w:type="dxa"/>
              <w:left w:w="28" w:type="dxa"/>
              <w:right w:w="57" w:type="dxa"/>
            </w:tcMar>
          </w:tcPr>
          <w:p w:rsidR="00F05C1E" w:rsidRPr="00E106BD" w:rsidRDefault="00F05C1E" w:rsidP="0090160B">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C9975</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active rheumatoid arthritis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rheumatoid arthritis.</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 AND</w:t>
            </w:r>
            <w:r w:rsidRPr="00E106BD">
              <w:rPr>
                <w:rFonts w:ascii="Arial" w:eastAsia="SimSun" w:hAnsi="Arial" w:cs="Arial"/>
                <w:sz w:val="16"/>
                <w:szCs w:val="16"/>
                <w:lang w:eastAsia="zh-CN"/>
              </w:rPr>
              <w:br/>
              <w:t>The treatment must be given concomitantly with methotrexate at a dose of at least 7.5 mg weekly.</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ESR no greater than 25 mm per hour or a CRP level no greater than 15 mg per L or either marker reduced by at least 20% from baseline;</w:t>
            </w:r>
            <w:r w:rsidRPr="00E106BD">
              <w:rPr>
                <w:rFonts w:ascii="Arial" w:eastAsia="SimSun" w:hAnsi="Arial" w:cs="Arial"/>
                <w:sz w:val="16"/>
                <w:szCs w:val="16"/>
                <w:lang w:eastAsia="zh-CN"/>
              </w:rPr>
              <w:br/>
              <w:t>AND 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eastAsia="SimSun" w:hAnsi="Arial" w:cs="Arial"/>
                <w:sz w:val="16"/>
                <w:szCs w:val="16"/>
                <w:lang w:eastAsia="zh-CN"/>
              </w:rPr>
              <w:br/>
              <w:t>The measurement of response to the prior course of therapy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w:t>
            </w:r>
            <w:r w:rsidRPr="00E106BD">
              <w:rPr>
                <w:rFonts w:ascii="Arial" w:eastAsia="SimSun" w:hAnsi="Arial" w:cs="Arial"/>
                <w:sz w:val="16"/>
                <w:szCs w:val="16"/>
                <w:lang w:eastAsia="zh-CN"/>
              </w:rPr>
              <w:br/>
              <w:t>If a patient has either failed or ceased to respond to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5 times,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w:t>
            </w:r>
          </w:p>
        </w:tc>
        <w:tc>
          <w:tcPr>
            <w:tcW w:w="2552" w:type="dxa"/>
            <w:tcMar>
              <w:top w:w="28" w:type="dxa"/>
              <w:left w:w="28" w:type="dxa"/>
              <w:right w:w="57" w:type="dxa"/>
            </w:tcMar>
          </w:tcPr>
          <w:p w:rsidR="00F05C1E" w:rsidRPr="00E106BD" w:rsidRDefault="00F05C1E" w:rsidP="0090160B">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9975</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C9994</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chronic plaque psoriasis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Whole body (change or recommencement of treatment after a break in biological medicine of less than 5 years)</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3 biological medicines for this condition within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The treatment must be as systemic monotherapy (other than methotrexate);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dermatologist.</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 Psoriasis Area and Severity Index (PASI) score which is reduced by 75% or more, or is sustained at this level, when compared with the baseline value for this treatment cycle.</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and who wishes to re</w:t>
            </w:r>
            <w:r>
              <w:rPr>
                <w:rFonts w:ascii="Arial" w:eastAsia="SimSun" w:hAnsi="Arial" w:cs="Arial"/>
                <w:sz w:val="16"/>
                <w:szCs w:val="16"/>
                <w:lang w:eastAsia="zh-CN"/>
              </w:rPr>
              <w:noBreakHyphen/>
            </w:r>
            <w:r w:rsidRPr="00E106BD">
              <w:rPr>
                <w:rFonts w:ascii="Arial" w:eastAsia="SimSun" w:hAnsi="Arial" w:cs="Arial"/>
                <w:sz w:val="16"/>
                <w:szCs w:val="16"/>
                <w:lang w:eastAsia="zh-CN"/>
              </w:rPr>
              <w:t>commence therapy with this drug, must be accompanied by evidence of a response to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was approved under either of the Initial 1, Initial 2, Initial 3, first or subsequent continuing treatment restrictions, it is recommended that an assessment of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is conducted following a minimum of 12 weeks of therapy and no later than 4 weeks from the completion of the most recent course of treatment.</w:t>
            </w:r>
            <w:r w:rsidRPr="00E106BD">
              <w:rPr>
                <w:rFonts w:ascii="Arial" w:eastAsia="SimSun" w:hAnsi="Arial" w:cs="Arial"/>
                <w:sz w:val="16"/>
                <w:szCs w:val="16"/>
                <w:lang w:eastAsia="zh-CN"/>
              </w:rPr>
              <w:br/>
              <w:t>To demonstrate a response to treatment the application must be accompanied with the assessment of response from the most recent course of biological medicine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Demonstration of response should be provided within this timeframe.</w:t>
            </w:r>
            <w:r w:rsidRPr="00E106BD">
              <w:rPr>
                <w:rFonts w:ascii="Arial" w:eastAsia="SimSun" w:hAnsi="Arial" w:cs="Arial"/>
                <w:sz w:val="16"/>
                <w:szCs w:val="16"/>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form(s); and</w:t>
            </w:r>
            <w:r w:rsidRPr="00E106BD">
              <w:rPr>
                <w:rFonts w:ascii="Arial" w:eastAsia="SimSun" w:hAnsi="Arial" w:cs="Arial"/>
                <w:sz w:val="16"/>
                <w:szCs w:val="16"/>
                <w:lang w:eastAsia="zh-CN"/>
              </w:rPr>
              <w:br/>
              <w:t xml:space="preserve">(b) a completed Severe Chronic Plaque Psoriasis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Psoriasis Area and Severity Index (PASI) calculation sheets including the dates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condition; and</w:t>
            </w:r>
            <w:r w:rsidRPr="00E106BD">
              <w:rPr>
                <w:rFonts w:ascii="Arial" w:eastAsia="SimSun" w:hAnsi="Arial" w:cs="Arial"/>
                <w:sz w:val="16"/>
                <w:szCs w:val="16"/>
                <w:lang w:eastAsia="zh-CN"/>
              </w:rPr>
              <w:br/>
              <w:t>(ii) details of prior biological treatment, including dosage, date and duration of treatment.</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this treatment cycle.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4C72A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38228E" w:rsidTr="008929EB">
        <w:tc>
          <w:tcPr>
            <w:tcW w:w="172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Interferon alfa</w:t>
            </w:r>
            <w:r>
              <w:rPr>
                <w:rFonts w:ascii="Arial" w:eastAsia="SimSun" w:hAnsi="Arial" w:cs="Arial"/>
                <w:sz w:val="16"/>
                <w:szCs w:val="16"/>
                <w:lang w:eastAsia="zh-CN"/>
              </w:rPr>
              <w:noBreakHyphen/>
            </w:r>
            <w:r w:rsidRPr="00E106BD">
              <w:rPr>
                <w:rFonts w:ascii="Arial" w:eastAsia="SimSun" w:hAnsi="Arial" w:cs="Arial"/>
                <w:sz w:val="16"/>
                <w:szCs w:val="16"/>
                <w:lang w:eastAsia="zh-CN"/>
              </w:rPr>
              <w:t>2a</w:t>
            </w:r>
          </w:p>
        </w:tc>
        <w:tc>
          <w:tcPr>
            <w:tcW w:w="70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C4993</w:t>
            </w:r>
          </w:p>
        </w:tc>
        <w:tc>
          <w:tcPr>
            <w:tcW w:w="70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B infection</w:t>
            </w:r>
            <w:r w:rsidRPr="00E106BD">
              <w:rPr>
                <w:rFonts w:ascii="Arial" w:eastAsia="SimSun" w:hAnsi="Arial" w:cs="Arial"/>
                <w:sz w:val="16"/>
                <w:szCs w:val="16"/>
                <w:lang w:eastAsia="zh-CN"/>
              </w:rPr>
              <w:br/>
              <w:t>Patient must not have cirrhosis, AND</w:t>
            </w:r>
            <w:r w:rsidRPr="00E106BD">
              <w:rPr>
                <w:rFonts w:ascii="Arial" w:eastAsia="SimSun" w:hAnsi="Arial" w:cs="Arial"/>
                <w:sz w:val="16"/>
                <w:szCs w:val="16"/>
                <w:lang w:eastAsia="zh-CN"/>
              </w:rPr>
              <w:br/>
              <w:t>Patient must have elevated HBV DNA levels greater than 20,000 IU/mL (100,000 copies/mL) if HBeAg positive, in conjunction with documented hepatitis B infection; OR</w:t>
            </w:r>
            <w:r w:rsidRPr="00E106BD">
              <w:rPr>
                <w:rFonts w:ascii="Arial" w:eastAsia="SimSun" w:hAnsi="Arial" w:cs="Arial"/>
                <w:sz w:val="16"/>
                <w:szCs w:val="16"/>
                <w:lang w:eastAsia="zh-CN"/>
              </w:rPr>
              <w:br/>
              <w:t>Patient must have elevated HBV DNA levels greater than 2,000 IU/mL (10,000 copies/mL) if HBeAg negative, in conjunction with documented hepatitis B infection, AND</w:t>
            </w:r>
            <w:r w:rsidRPr="00E106BD">
              <w:rPr>
                <w:rFonts w:ascii="Arial" w:eastAsia="SimSun" w:hAnsi="Arial" w:cs="Arial"/>
                <w:sz w:val="16"/>
                <w:szCs w:val="16"/>
                <w:lang w:eastAsia="zh-CN"/>
              </w:rPr>
              <w:br/>
              <w:t>Patient must have evidence of chronic liver injury determined by confirmed elevated serum ALT or liver biopsy.</w:t>
            </w:r>
          </w:p>
        </w:tc>
        <w:tc>
          <w:tcPr>
            <w:tcW w:w="2552" w:type="dxa"/>
            <w:tcMar>
              <w:top w:w="28" w:type="dxa"/>
              <w:left w:w="28" w:type="dxa"/>
              <w:right w:w="57" w:type="dxa"/>
            </w:tcMar>
          </w:tcPr>
          <w:p w:rsidR="00F05C1E" w:rsidRPr="00E106BD" w:rsidDel="0038228E" w:rsidRDefault="00F05C1E" w:rsidP="00954B76">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4993</w:t>
            </w:r>
          </w:p>
        </w:tc>
      </w:tr>
      <w:tr w:rsidR="00F05C1E" w:rsidRPr="00E106BD" w:rsidDel="0038228E" w:rsidTr="008929EB">
        <w:tc>
          <w:tcPr>
            <w:tcW w:w="172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C5036</w:t>
            </w:r>
          </w:p>
        </w:tc>
        <w:tc>
          <w:tcPr>
            <w:tcW w:w="70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B infection</w:t>
            </w:r>
            <w:r w:rsidRPr="00E106BD">
              <w:rPr>
                <w:rFonts w:ascii="Arial" w:eastAsia="SimSun" w:hAnsi="Arial" w:cs="Arial"/>
                <w:sz w:val="16"/>
                <w:szCs w:val="16"/>
                <w:lang w:eastAsia="zh-CN"/>
              </w:rPr>
              <w:br/>
              <w:t>Patient must have cirrhosis, AND</w:t>
            </w:r>
            <w:r w:rsidRPr="00E106BD">
              <w:rPr>
                <w:rFonts w:ascii="Arial" w:eastAsia="SimSun" w:hAnsi="Arial" w:cs="Arial"/>
                <w:sz w:val="16"/>
                <w:szCs w:val="16"/>
                <w:lang w:eastAsia="zh-CN"/>
              </w:rPr>
              <w:br/>
              <w:t>Patient must have detectable HBV DNA.</w:t>
            </w:r>
            <w:r w:rsidRPr="00E106BD">
              <w:rPr>
                <w:rFonts w:ascii="Arial" w:eastAsia="SimSun" w:hAnsi="Arial" w:cs="Arial"/>
                <w:sz w:val="16"/>
                <w:szCs w:val="16"/>
                <w:lang w:eastAsia="zh-CN"/>
              </w:rPr>
              <w:br/>
              <w:t>Patients with Child</w:t>
            </w:r>
            <w:r w:rsidR="00A653CA">
              <w:rPr>
                <w:rFonts w:ascii="Arial" w:eastAsia="SimSun" w:hAnsi="Arial" w:cs="Arial"/>
                <w:sz w:val="16"/>
                <w:szCs w:val="16"/>
                <w:lang w:eastAsia="zh-CN"/>
              </w:rPr>
              <w:t>’</w:t>
            </w:r>
            <w:r w:rsidRPr="00E106BD">
              <w:rPr>
                <w:rFonts w:ascii="Arial" w:eastAsia="SimSun" w:hAnsi="Arial" w:cs="Arial"/>
                <w:sz w:val="16"/>
                <w:szCs w:val="16"/>
                <w:lang w:eastAsia="zh-CN"/>
              </w:rPr>
              <w:t>s class B or C cirrhosis (ascites, variceal bleeding, encephalopathy, albumin less than 30 g per L, bilirubin greater than 30 micromoles per L) should have their treatment discussed with a transplant unit prior to initiating therapy.</w:t>
            </w:r>
          </w:p>
        </w:tc>
        <w:tc>
          <w:tcPr>
            <w:tcW w:w="2552" w:type="dxa"/>
            <w:tcMar>
              <w:top w:w="28" w:type="dxa"/>
              <w:left w:w="28" w:type="dxa"/>
              <w:right w:w="57" w:type="dxa"/>
            </w:tcMar>
          </w:tcPr>
          <w:p w:rsidR="00F05C1E" w:rsidRPr="00E106BD" w:rsidDel="0038228E" w:rsidRDefault="00F05C1E" w:rsidP="000C61E7">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5036</w:t>
            </w:r>
          </w:p>
        </w:tc>
      </w:tr>
      <w:tr w:rsidR="00E857B4" w:rsidRPr="00E857B4" w:rsidDel="00E857B4" w:rsidTr="008929EB">
        <w:tc>
          <w:tcPr>
            <w:tcW w:w="1729" w:type="dxa"/>
            <w:tcMar>
              <w:top w:w="28" w:type="dxa"/>
              <w:left w:w="28" w:type="dxa"/>
            </w:tcMar>
          </w:tcPr>
          <w:p w:rsidR="00E857B4" w:rsidRPr="00E857B4" w:rsidDel="00E857B4" w:rsidRDefault="00E857B4" w:rsidP="00881477">
            <w:pPr>
              <w:spacing w:line="240" w:lineRule="auto"/>
              <w:rPr>
                <w:rFonts w:ascii="Arial" w:eastAsia="SimSun" w:hAnsi="Arial" w:cs="Arial"/>
                <w:sz w:val="16"/>
                <w:szCs w:val="16"/>
                <w:lang w:eastAsia="zh-CN"/>
              </w:rPr>
            </w:pPr>
          </w:p>
        </w:tc>
        <w:tc>
          <w:tcPr>
            <w:tcW w:w="709" w:type="dxa"/>
            <w:tcMar>
              <w:top w:w="28" w:type="dxa"/>
              <w:left w:w="28" w:type="dxa"/>
            </w:tcMar>
          </w:tcPr>
          <w:p w:rsidR="00E857B4" w:rsidRPr="00E857B4" w:rsidDel="00E857B4" w:rsidRDefault="00E857B4" w:rsidP="00881477">
            <w:pPr>
              <w:spacing w:line="240" w:lineRule="auto"/>
              <w:rPr>
                <w:rFonts w:ascii="Arial" w:eastAsia="SimSun" w:hAnsi="Arial" w:cs="Arial"/>
                <w:sz w:val="16"/>
                <w:szCs w:val="16"/>
                <w:lang w:eastAsia="zh-CN"/>
              </w:rPr>
            </w:pPr>
            <w:r w:rsidRPr="00E857B4">
              <w:rPr>
                <w:rFonts w:ascii="Arial" w:hAnsi="Arial" w:cs="Arial"/>
                <w:sz w:val="16"/>
                <w:szCs w:val="16"/>
              </w:rPr>
              <w:t>C5042</w:t>
            </w:r>
          </w:p>
        </w:tc>
        <w:tc>
          <w:tcPr>
            <w:tcW w:w="709" w:type="dxa"/>
            <w:tcMar>
              <w:top w:w="28" w:type="dxa"/>
              <w:left w:w="28" w:type="dxa"/>
            </w:tcMar>
          </w:tcPr>
          <w:p w:rsidR="00E857B4" w:rsidRPr="00E857B4" w:rsidDel="00E857B4" w:rsidRDefault="00E857B4" w:rsidP="00881477">
            <w:pPr>
              <w:spacing w:line="240" w:lineRule="auto"/>
              <w:rPr>
                <w:rFonts w:ascii="Arial" w:eastAsia="SimSun" w:hAnsi="Arial" w:cs="Arial"/>
                <w:sz w:val="16"/>
                <w:szCs w:val="16"/>
                <w:lang w:eastAsia="zh-CN"/>
              </w:rPr>
            </w:pPr>
          </w:p>
        </w:tc>
        <w:tc>
          <w:tcPr>
            <w:tcW w:w="7654" w:type="dxa"/>
            <w:tcMar>
              <w:top w:w="28" w:type="dxa"/>
              <w:left w:w="28" w:type="dxa"/>
            </w:tcMar>
          </w:tcPr>
          <w:p w:rsidR="00E857B4" w:rsidRPr="00E857B4" w:rsidDel="00E857B4" w:rsidRDefault="00E857B4" w:rsidP="00881477">
            <w:pPr>
              <w:spacing w:line="240" w:lineRule="auto"/>
              <w:rPr>
                <w:rFonts w:ascii="Arial" w:eastAsia="SimSun" w:hAnsi="Arial" w:cs="Arial"/>
                <w:sz w:val="16"/>
                <w:szCs w:val="16"/>
                <w:lang w:eastAsia="zh-CN"/>
              </w:rPr>
            </w:pPr>
            <w:r w:rsidRPr="00E857B4">
              <w:rPr>
                <w:rFonts w:ascii="Arial" w:hAnsi="Arial" w:cs="Arial"/>
                <w:sz w:val="16"/>
                <w:szCs w:val="16"/>
              </w:rPr>
              <w:t>Chronic Myeloid Leukaemia (CML)</w:t>
            </w:r>
            <w:r w:rsidRPr="00E857B4">
              <w:rPr>
                <w:rFonts w:ascii="Arial" w:hAnsi="Arial" w:cs="Arial"/>
                <w:sz w:val="16"/>
                <w:szCs w:val="16"/>
              </w:rPr>
              <w:br/>
              <w:t>The condition must be Philadelphia chromosome positive.</w:t>
            </w:r>
          </w:p>
        </w:tc>
        <w:tc>
          <w:tcPr>
            <w:tcW w:w="2552" w:type="dxa"/>
            <w:tcMar>
              <w:top w:w="28" w:type="dxa"/>
              <w:left w:w="28" w:type="dxa"/>
              <w:right w:w="57" w:type="dxa"/>
            </w:tcMar>
          </w:tcPr>
          <w:p w:rsidR="00E857B4" w:rsidRPr="00E857B4" w:rsidDel="00E857B4" w:rsidRDefault="00E857B4" w:rsidP="00954B76">
            <w:pPr>
              <w:keepNext/>
              <w:spacing w:line="240" w:lineRule="auto"/>
              <w:rPr>
                <w:rFonts w:ascii="Arial" w:eastAsia="SimSun" w:hAnsi="Arial" w:cs="Arial"/>
                <w:sz w:val="16"/>
                <w:szCs w:val="16"/>
                <w:lang w:eastAsia="zh-CN"/>
              </w:rPr>
            </w:pPr>
            <w:r w:rsidRPr="00E857B4">
              <w:rPr>
                <w:rFonts w:ascii="Arial" w:hAnsi="Arial" w:cs="Arial"/>
                <w:sz w:val="16"/>
                <w:szCs w:val="16"/>
              </w:rPr>
              <w:t>Compliance with Authority Required procedures - Streamlined Authority Code 5042</w:t>
            </w:r>
          </w:p>
        </w:tc>
      </w:tr>
      <w:tr w:rsidR="00F05C1E" w:rsidRPr="00E106BD" w:rsidDel="0038228E" w:rsidTr="008929EB">
        <w:tc>
          <w:tcPr>
            <w:tcW w:w="172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C9259</w:t>
            </w:r>
          </w:p>
        </w:tc>
        <w:tc>
          <w:tcPr>
            <w:tcW w:w="70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Chronic Myeloid Leukaemia (CML)</w:t>
            </w:r>
            <w:r w:rsidRPr="00E106BD">
              <w:rPr>
                <w:szCs w:val="16"/>
              </w:rPr>
              <w:br/>
            </w:r>
            <w:r w:rsidRPr="00E106BD">
              <w:rPr>
                <w:rFonts w:ascii="Arial" w:hAnsi="Arial" w:cs="Arial"/>
                <w:sz w:val="16"/>
                <w:szCs w:val="16"/>
              </w:rPr>
              <w:t>The condition must be Philadelphia chromosome positive.</w:t>
            </w:r>
          </w:p>
        </w:tc>
        <w:tc>
          <w:tcPr>
            <w:tcW w:w="2552" w:type="dxa"/>
            <w:tcMar>
              <w:top w:w="28" w:type="dxa"/>
              <w:left w:w="28" w:type="dxa"/>
              <w:right w:w="57" w:type="dxa"/>
            </w:tcMar>
          </w:tcPr>
          <w:p w:rsidR="00F05C1E" w:rsidRPr="00E106BD" w:rsidRDefault="00F05C1E" w:rsidP="00954B76">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9259</w:t>
            </w:r>
          </w:p>
        </w:tc>
      </w:tr>
      <w:tr w:rsidR="00F05C1E" w:rsidRPr="00E106BD" w:rsidDel="00FE20B2" w:rsidTr="008929EB">
        <w:tc>
          <w:tcPr>
            <w:tcW w:w="1729" w:type="dxa"/>
            <w:tcBorders>
              <w:bottom w:val="single" w:sz="4" w:space="0" w:color="auto"/>
            </w:tcBorders>
            <w:shd w:val="clear" w:color="auto" w:fill="auto"/>
            <w:tcMar>
              <w:top w:w="28" w:type="dxa"/>
              <w:left w:w="28" w:type="dxa"/>
            </w:tcMar>
          </w:tcPr>
          <w:p w:rsidR="00F05C1E" w:rsidRPr="00E106BD" w:rsidDel="00FE20B2" w:rsidRDefault="00F05C1E" w:rsidP="00881477">
            <w:pPr>
              <w:widowControl w:val="0"/>
              <w:spacing w:line="240" w:lineRule="auto"/>
              <w:rPr>
                <w:rFonts w:ascii="Arial" w:eastAsia="SimSun" w:hAnsi="Arial" w:cs="Arial"/>
                <w:sz w:val="16"/>
                <w:szCs w:val="16"/>
                <w:lang w:eastAsia="zh-CN"/>
              </w:rPr>
            </w:pPr>
            <w:bookmarkStart w:id="176" w:name="CU_299568658"/>
            <w:bookmarkStart w:id="177" w:name="CU_303570663"/>
            <w:bookmarkEnd w:id="176"/>
            <w:bookmarkEnd w:id="177"/>
            <w:r w:rsidRPr="00E106BD">
              <w:rPr>
                <w:rFonts w:ascii="Arial" w:eastAsia="SimSun" w:hAnsi="Arial" w:cs="Arial"/>
                <w:sz w:val="16"/>
                <w:szCs w:val="16"/>
                <w:lang w:eastAsia="zh-CN"/>
              </w:rPr>
              <w:t>Interferon Gamma</w:t>
            </w:r>
            <w:r>
              <w:rPr>
                <w:rFonts w:ascii="Arial" w:eastAsia="SimSun" w:hAnsi="Arial" w:cs="Arial"/>
                <w:sz w:val="16"/>
                <w:szCs w:val="16"/>
                <w:lang w:eastAsia="zh-CN"/>
              </w:rPr>
              <w:noBreakHyphen/>
            </w:r>
            <w:r w:rsidRPr="00E106BD">
              <w:rPr>
                <w:rFonts w:ascii="Arial" w:eastAsia="SimSun" w:hAnsi="Arial" w:cs="Arial"/>
                <w:sz w:val="16"/>
                <w:szCs w:val="16"/>
                <w:lang w:eastAsia="zh-CN"/>
              </w:rPr>
              <w:t>1b</w:t>
            </w:r>
          </w:p>
        </w:tc>
        <w:tc>
          <w:tcPr>
            <w:tcW w:w="709" w:type="dxa"/>
            <w:tcBorders>
              <w:bottom w:val="single" w:sz="4" w:space="0" w:color="auto"/>
            </w:tcBorders>
            <w:shd w:val="clear" w:color="auto" w:fill="auto"/>
            <w:tcMar>
              <w:top w:w="28" w:type="dxa"/>
              <w:left w:w="28" w:type="dxa"/>
            </w:tcMar>
          </w:tcPr>
          <w:p w:rsidR="00F05C1E" w:rsidRPr="00E106BD" w:rsidDel="00FE20B2"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C6222</w:t>
            </w:r>
          </w:p>
        </w:tc>
        <w:tc>
          <w:tcPr>
            <w:tcW w:w="709" w:type="dxa"/>
            <w:tcBorders>
              <w:bottom w:val="single" w:sz="4" w:space="0" w:color="auto"/>
            </w:tcBorders>
            <w:shd w:val="clear" w:color="auto" w:fill="auto"/>
            <w:tcMar>
              <w:top w:w="28" w:type="dxa"/>
              <w:left w:w="28" w:type="dxa"/>
            </w:tcMar>
          </w:tcPr>
          <w:p w:rsidR="00F05C1E" w:rsidRPr="00E106BD" w:rsidDel="00FE20B2" w:rsidRDefault="00F05C1E" w:rsidP="00881477">
            <w:pPr>
              <w:widowControl w:val="0"/>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Del="00FE20B2"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granulomatous disease</w:t>
            </w:r>
            <w:r w:rsidRPr="00E106BD">
              <w:rPr>
                <w:rFonts w:ascii="Arial" w:eastAsia="SimSun" w:hAnsi="Arial" w:cs="Arial"/>
                <w:sz w:val="16"/>
                <w:szCs w:val="16"/>
                <w:lang w:eastAsia="zh-CN"/>
              </w:rPr>
              <w:br/>
              <w:t>Patient must have frequent and severe infections despite adequate prophylaxis with antimicrobial agents.</w:t>
            </w:r>
          </w:p>
        </w:tc>
        <w:tc>
          <w:tcPr>
            <w:tcW w:w="2552" w:type="dxa"/>
            <w:tcBorders>
              <w:bottom w:val="single" w:sz="4" w:space="0" w:color="auto"/>
            </w:tcBorders>
            <w:shd w:val="clear" w:color="auto" w:fill="auto"/>
            <w:tcMar>
              <w:top w:w="28" w:type="dxa"/>
              <w:left w:w="28" w:type="dxa"/>
              <w:right w:w="57" w:type="dxa"/>
            </w:tcMar>
          </w:tcPr>
          <w:p w:rsidR="00F05C1E" w:rsidRPr="00E106BD" w:rsidDel="00FE20B2" w:rsidRDefault="00F05C1E" w:rsidP="00954B76">
            <w:pPr>
              <w:keepNext/>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6222</w:t>
            </w:r>
          </w:p>
        </w:tc>
      </w:tr>
      <w:tr w:rsidR="00F05C1E" w:rsidRPr="00E106BD" w:rsidDel="0052299A" w:rsidTr="008929EB">
        <w:tc>
          <w:tcPr>
            <w:tcW w:w="1729" w:type="dxa"/>
            <w:tcBorders>
              <w:bottom w:val="single" w:sz="4" w:space="0" w:color="auto"/>
            </w:tcBorders>
            <w:shd w:val="clear" w:color="auto" w:fill="auto"/>
            <w:tcMar>
              <w:top w:w="28" w:type="dxa"/>
              <w:left w:w="28" w:type="dxa"/>
            </w:tcMar>
          </w:tcPr>
          <w:p w:rsidR="00F05C1E" w:rsidRPr="00E106BD" w:rsidDel="0052299A" w:rsidRDefault="00F05C1E" w:rsidP="00881477">
            <w:pPr>
              <w:widowControl w:val="0"/>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Del="0052299A"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C9639</w:t>
            </w:r>
          </w:p>
        </w:tc>
        <w:tc>
          <w:tcPr>
            <w:tcW w:w="709" w:type="dxa"/>
            <w:tcBorders>
              <w:bottom w:val="single" w:sz="4" w:space="0" w:color="auto"/>
            </w:tcBorders>
            <w:shd w:val="clear" w:color="auto" w:fill="auto"/>
            <w:tcMar>
              <w:top w:w="28" w:type="dxa"/>
              <w:left w:w="28" w:type="dxa"/>
            </w:tcMar>
          </w:tcPr>
          <w:p w:rsidR="00F05C1E" w:rsidRPr="00E106BD" w:rsidDel="0052299A" w:rsidRDefault="00F05C1E" w:rsidP="00881477">
            <w:pPr>
              <w:widowControl w:val="0"/>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Del="0052299A"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granulomatous disease</w:t>
            </w:r>
            <w:r w:rsidRPr="00E106BD">
              <w:rPr>
                <w:rFonts w:ascii="Arial" w:eastAsia="SimSun" w:hAnsi="Arial" w:cs="Arial"/>
                <w:sz w:val="16"/>
                <w:szCs w:val="16"/>
                <w:lang w:eastAsia="zh-CN"/>
              </w:rPr>
              <w:br/>
              <w:t>Patient must have frequent and severe infections despite adequate prophylaxis with antimicrobial agents.</w:t>
            </w:r>
          </w:p>
        </w:tc>
        <w:tc>
          <w:tcPr>
            <w:tcW w:w="2552" w:type="dxa"/>
            <w:tcBorders>
              <w:bottom w:val="single" w:sz="4" w:space="0" w:color="auto"/>
            </w:tcBorders>
            <w:shd w:val="clear" w:color="auto" w:fill="auto"/>
            <w:tcMar>
              <w:top w:w="28" w:type="dxa"/>
              <w:left w:w="28" w:type="dxa"/>
              <w:right w:w="57" w:type="dxa"/>
            </w:tcMar>
          </w:tcPr>
          <w:p w:rsidR="00F05C1E" w:rsidRPr="00E106BD" w:rsidDel="0052299A" w:rsidRDefault="00F05C1E" w:rsidP="00954B76">
            <w:pPr>
              <w:keepNext/>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9639</w:t>
            </w:r>
          </w:p>
        </w:tc>
      </w:tr>
      <w:tr w:rsidR="00F05C1E" w:rsidRPr="00E106BD" w:rsidDel="001528FD" w:rsidTr="008929EB">
        <w:tc>
          <w:tcPr>
            <w:tcW w:w="1729" w:type="dxa"/>
          </w:tcPr>
          <w:p w:rsidR="00F05C1E" w:rsidRPr="00E106BD" w:rsidDel="001528F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Ivacaftor</w:t>
            </w:r>
          </w:p>
        </w:tc>
        <w:tc>
          <w:tcPr>
            <w:tcW w:w="709" w:type="dxa"/>
          </w:tcPr>
          <w:p w:rsidR="00F05C1E" w:rsidRPr="00E106BD" w:rsidDel="001528F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C9889</w:t>
            </w:r>
          </w:p>
        </w:tc>
        <w:tc>
          <w:tcPr>
            <w:tcW w:w="709" w:type="dxa"/>
          </w:tcPr>
          <w:p w:rsidR="00F05C1E" w:rsidRPr="00E106BD" w:rsidDel="001528FD" w:rsidRDefault="00F05C1E" w:rsidP="00881477">
            <w:pPr>
              <w:spacing w:line="240" w:lineRule="auto"/>
              <w:rPr>
                <w:rFonts w:ascii="Arial" w:eastAsia="SimSun" w:hAnsi="Arial" w:cs="Arial"/>
                <w:sz w:val="16"/>
                <w:szCs w:val="16"/>
                <w:lang w:eastAsia="zh-CN"/>
              </w:rPr>
            </w:pPr>
          </w:p>
        </w:tc>
        <w:tc>
          <w:tcPr>
            <w:tcW w:w="7654" w:type="dxa"/>
          </w:tcPr>
          <w:p w:rsidR="00F05C1E" w:rsidRPr="00E106BD" w:rsidDel="001528F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 AND</w:t>
            </w:r>
            <w:r w:rsidRPr="00E106BD">
              <w:rPr>
                <w:rFonts w:ascii="Arial" w:eastAsia="SimSun" w:hAnsi="Arial" w:cs="Arial"/>
                <w:sz w:val="16"/>
                <w:szCs w:val="16"/>
                <w:lang w:eastAsia="zh-CN"/>
              </w:rPr>
              <w:br/>
              <w:t>Patient must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initial therapy with ivacaftor, given concomitantly with standard therapy, for this condition; AND</w:t>
            </w:r>
            <w:r w:rsidRPr="00E106BD">
              <w:rPr>
                <w:rFonts w:ascii="Arial" w:eastAsia="SimSun" w:hAnsi="Arial" w:cs="Arial"/>
                <w:sz w:val="16"/>
                <w:szCs w:val="16"/>
                <w:lang w:eastAsia="zh-CN"/>
              </w:rPr>
              <w:br/>
              <w:t>Patient must not receive more than 24 weeks of treatment under this restriction;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aged 12 months or older.</w:t>
            </w:r>
            <w:r w:rsidRPr="00E106BD">
              <w:rPr>
                <w:rFonts w:ascii="Arial" w:eastAsia="SimSun" w:hAnsi="Arial" w:cs="Arial"/>
                <w:sz w:val="16"/>
                <w:szCs w:val="16"/>
                <w:lang w:eastAsia="zh-CN"/>
              </w:rPr>
              <w:br/>
              <w:t>Patients receiving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ivacaftor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w:t>
            </w:r>
            <w:r w:rsidR="00A653CA">
              <w:rPr>
                <w:rFonts w:ascii="Arial" w:eastAsia="SimSun" w:hAnsi="Arial" w:cs="Arial"/>
                <w:sz w:val="16"/>
                <w:szCs w:val="16"/>
                <w:lang w:eastAsia="zh-CN"/>
              </w:rPr>
              <w:t>’</w:t>
            </w:r>
            <w:r w:rsidRPr="00E106BD">
              <w:rPr>
                <w:rFonts w:ascii="Arial" w:eastAsia="SimSun" w:hAnsi="Arial" w:cs="Arial"/>
                <w:sz w:val="16"/>
                <w:szCs w:val="16"/>
                <w:lang w:eastAsia="zh-CN"/>
              </w:rPr>
              <w:t>s supply in order to enable the assessment to be repeated following resolution of the exacerbation.</w:t>
            </w:r>
            <w:r w:rsidRPr="00E106BD">
              <w:rPr>
                <w:rFonts w:ascii="Arial" w:eastAsia="SimSun" w:hAnsi="Arial" w:cs="Arial"/>
                <w:sz w:val="16"/>
                <w:szCs w:val="16"/>
                <w:lang w:eastAsia="zh-CN"/>
              </w:rPr>
              <w:br/>
              <w:t>Dosage of ivacaftor must not exceed the dose of one tablet (150 mg) or one sachet twice a week, if the patient is concomitantly receiving one of the following strong CYP3A4 drugs inhibitors: boceprevir, clarithromycin, conivaptan, indinavir, itraconazole, ketoconazole, lopinavir/ritonavir, mibefradil, nefazodone, nelfinavir, posaconazole, ritonavir, saquinavir, telaprevir, telithromycin, voriconazole. Where a patient is concomitantly receiving a strong CYP3A4 inhibitor, a single supply of 56 tablets or sachets of ivacaftor will last for 28 weeks.</w:t>
            </w:r>
            <w:r w:rsidRPr="00E106BD">
              <w:rPr>
                <w:rFonts w:ascii="Arial" w:eastAsia="SimSun" w:hAnsi="Arial" w:cs="Arial"/>
                <w:sz w:val="16"/>
                <w:szCs w:val="16"/>
                <w:lang w:eastAsia="zh-CN"/>
              </w:rPr>
              <w:br/>
              <w:t>Dosage of ivacaftor must not exceed the dose of one tablet (150 mg) or one sachet once daily, if the patient is concomitantly receiving one of the following moderate CYP3A4 inhibitors: amprenavir, aprepitant, atazanavir, darunavir/ritonavir, diltiazem, erythromycin, fluconazole, fosamprenavir, imatinib, verapamil. Where a patient is concomitantly receiving a moderate CYP3A4 inhibitor, a single supply of 56 tablets or sachets of ivacaftor will last for 8 weeks.</w:t>
            </w:r>
            <w:r w:rsidRPr="00E106BD">
              <w:rPr>
                <w:rFonts w:ascii="Arial" w:eastAsia="SimSun" w:hAnsi="Arial" w:cs="Arial"/>
                <w:sz w:val="16"/>
                <w:szCs w:val="16"/>
                <w:lang w:eastAsia="zh-CN"/>
              </w:rPr>
              <w:br/>
              <w:t>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as a sole therapy.</w:t>
            </w:r>
            <w:r w:rsidRPr="00E106BD">
              <w:rPr>
                <w:rFonts w:ascii="Arial" w:eastAsia="SimSun" w:hAnsi="Arial" w:cs="Arial"/>
                <w:sz w:val="16"/>
                <w:szCs w:val="16"/>
                <w:lang w:eastAsia="zh-CN"/>
              </w:rPr>
              <w:br/>
              <w:t>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sidR="00A653CA">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Ivacaftor Authority Continuing Application Supporting Information Form; and</w:t>
            </w:r>
            <w:r w:rsidRPr="00E106BD">
              <w:rPr>
                <w:rFonts w:ascii="Arial" w:eastAsia="SimSun" w:hAnsi="Arial" w:cs="Arial"/>
                <w:sz w:val="16"/>
                <w:szCs w:val="16"/>
                <w:lang w:eastAsia="zh-CN"/>
              </w:rPr>
              <w:br/>
              <w:t>(3) the result of a FEV1 measurement performed within one month prior to the date of application, if aged 6 years or older. Note: FEV1, must be measured in an accredited pulmonary function laboratory, with documented no acute infective exacerbation at the time FEV1 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a measurement of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 in the home) in the previous 6 months.</w:t>
            </w:r>
          </w:p>
        </w:tc>
        <w:tc>
          <w:tcPr>
            <w:tcW w:w="2552" w:type="dxa"/>
          </w:tcPr>
          <w:p w:rsidR="00F05C1E" w:rsidRPr="00E106BD" w:rsidDel="001528FD" w:rsidRDefault="00F05C1E" w:rsidP="004C72A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1528FD" w:rsidTr="008929EB">
        <w:tc>
          <w:tcPr>
            <w:tcW w:w="1729" w:type="dxa"/>
          </w:tcPr>
          <w:p w:rsidR="00F05C1E" w:rsidRPr="00E106BD" w:rsidDel="001528FD" w:rsidRDefault="00F05C1E" w:rsidP="00881477">
            <w:pPr>
              <w:spacing w:line="240" w:lineRule="auto"/>
              <w:rPr>
                <w:rFonts w:ascii="Arial" w:eastAsia="SimSun" w:hAnsi="Arial" w:cs="Arial"/>
                <w:sz w:val="16"/>
                <w:szCs w:val="16"/>
                <w:lang w:eastAsia="zh-CN"/>
              </w:rPr>
            </w:pPr>
          </w:p>
        </w:tc>
        <w:tc>
          <w:tcPr>
            <w:tcW w:w="709" w:type="dxa"/>
          </w:tcPr>
          <w:p w:rsidR="00F05C1E" w:rsidRPr="00E106BD" w:rsidDel="001528F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C9890</w:t>
            </w:r>
          </w:p>
        </w:tc>
        <w:tc>
          <w:tcPr>
            <w:tcW w:w="709" w:type="dxa"/>
          </w:tcPr>
          <w:p w:rsidR="00F05C1E" w:rsidRPr="00E106BD" w:rsidDel="001528FD" w:rsidRDefault="00F05C1E" w:rsidP="00881477">
            <w:pPr>
              <w:spacing w:line="240" w:lineRule="auto"/>
              <w:rPr>
                <w:rFonts w:ascii="Arial" w:eastAsia="SimSun" w:hAnsi="Arial" w:cs="Arial"/>
                <w:sz w:val="16"/>
                <w:szCs w:val="16"/>
                <w:lang w:eastAsia="zh-CN"/>
              </w:rPr>
            </w:pPr>
          </w:p>
        </w:tc>
        <w:tc>
          <w:tcPr>
            <w:tcW w:w="7654" w:type="dxa"/>
          </w:tcPr>
          <w:p w:rsidR="00F05C1E" w:rsidRPr="00E106BD" w:rsidDel="001528F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New patients</w:t>
            </w:r>
            <w:r w:rsidRPr="00E106BD">
              <w:rPr>
                <w:rFonts w:ascii="Arial" w:eastAsia="SimSun" w:hAnsi="Arial" w:cs="Arial"/>
                <w:sz w:val="16"/>
                <w:szCs w:val="16"/>
                <w:lang w:eastAsia="zh-CN"/>
              </w:rPr>
              <w:br/>
              <w:t>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 AND</w:t>
            </w:r>
            <w:r w:rsidRPr="00E106BD">
              <w:rPr>
                <w:rFonts w:ascii="Arial" w:eastAsia="SimSun" w:hAnsi="Arial" w:cs="Arial"/>
                <w:sz w:val="16"/>
                <w:szCs w:val="16"/>
                <w:lang w:eastAsia="zh-CN"/>
              </w:rPr>
              <w:br/>
              <w:t>Patient must have G551D mutation in the cystic fibrosis transmembrane conductance regulator (CFTR) gene on at least 1 allele; OR</w:t>
            </w:r>
            <w:r w:rsidRPr="00E106BD">
              <w:rPr>
                <w:rFonts w:ascii="Arial" w:eastAsia="SimSun" w:hAnsi="Arial" w:cs="Arial"/>
                <w:sz w:val="16"/>
                <w:szCs w:val="16"/>
                <w:lang w:eastAsia="zh-CN"/>
              </w:rPr>
              <w:br/>
              <w:t>Patient must have other gating (class III) mutation in the CFTR gene on at least 1 allele; AND</w:t>
            </w:r>
            <w:r w:rsidRPr="00E106BD">
              <w:rPr>
                <w:rFonts w:ascii="Arial" w:eastAsia="SimSun" w:hAnsi="Arial" w:cs="Arial"/>
                <w:sz w:val="16"/>
                <w:szCs w:val="16"/>
                <w:lang w:eastAsia="zh-CN"/>
              </w:rPr>
              <w:br/>
              <w:t>Patient must have a sweat chloride value of at least 60 mmol/L by quantitative pilocarpine iontophoresis; AND</w:t>
            </w:r>
            <w:r w:rsidRPr="00E106BD">
              <w:rPr>
                <w:rFonts w:ascii="Arial" w:eastAsia="SimSun" w:hAnsi="Arial" w:cs="Arial"/>
                <w:sz w:val="16"/>
                <w:szCs w:val="16"/>
                <w:lang w:eastAsia="zh-CN"/>
              </w:rPr>
              <w:br/>
              <w:t>Patient must not receive more than 24 weeks of treatment under this restriction;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aged 12 months or older.</w:t>
            </w:r>
            <w:r w:rsidRPr="00E106BD">
              <w:rPr>
                <w:rFonts w:ascii="Arial" w:eastAsia="SimSun" w:hAnsi="Arial" w:cs="Arial"/>
                <w:sz w:val="16"/>
                <w:szCs w:val="16"/>
                <w:lang w:eastAsia="zh-CN"/>
              </w:rPr>
              <w:br/>
              <w:t>Patients receiving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ivacaftor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Dosage of ivacaftor must not exceed the dose of one tablet (150 mg) or one sachet twice a week, if the patient is concomitantly receiving one of the following strong CYP3A4 drugs inhibitors: boceprevir, clarithromycin, conivaptan, indinavir, itraconazole, ketoconazole, lopinavir/ritonavir, mibefradil, nefazodone, nelfinavir, posaconazole, ritonavir, saquinavir, telaprevir, telithromycin, voriconazole. Where a patient is concomitantly receiving a strong CYP3A4 inhibitor, a single supply of 56 tablets or sachets of ivacaftor will last for 28 weeks.</w:t>
            </w:r>
            <w:r w:rsidRPr="00E106BD">
              <w:rPr>
                <w:rFonts w:ascii="Arial" w:eastAsia="SimSun" w:hAnsi="Arial" w:cs="Arial"/>
                <w:sz w:val="16"/>
                <w:szCs w:val="16"/>
                <w:lang w:eastAsia="zh-CN"/>
              </w:rPr>
              <w:br/>
              <w:t>Dosage of ivacaftor must not exceed the dose of one tablet (150 mg) or one sachet once daily, if the patient is concomitantly receiving one of the following moderate CYP3A4 inhibitors: amprenavir, aprepitant, atazanavir, darunavir/ritonavir, diltiazem, erythromycin, fluconazole, fosamprenavir, imatinib, verapamil. Where a patient is concomitantly receiving a moderate CYP3A4 inhibitor, a single supply of 56 tablets or sachets of ivacaftor will last for 8 weeks.</w:t>
            </w:r>
            <w:r w:rsidRPr="00E106BD">
              <w:rPr>
                <w:rFonts w:ascii="Arial" w:eastAsia="SimSun" w:hAnsi="Arial" w:cs="Arial"/>
                <w:sz w:val="16"/>
                <w:szCs w:val="16"/>
                <w:lang w:eastAsia="zh-CN"/>
              </w:rPr>
              <w:br/>
              <w:t>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as a sole therapy.</w:t>
            </w:r>
            <w:r w:rsidRPr="00E106BD">
              <w:rPr>
                <w:rFonts w:ascii="Arial" w:eastAsia="SimSun" w:hAnsi="Arial" w:cs="Arial"/>
                <w:sz w:val="16"/>
                <w:szCs w:val="16"/>
                <w:lang w:eastAsia="zh-CN"/>
              </w:rPr>
              <w:br/>
              <w:t>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sidR="00A653CA">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Ivacaftor Authority Application Supporting Information Form; and</w:t>
            </w:r>
            <w:r w:rsidRPr="00E106BD">
              <w:rPr>
                <w:rFonts w:ascii="Arial" w:eastAsia="SimSun" w:hAnsi="Arial" w:cs="Arial"/>
                <w:sz w:val="16"/>
                <w:szCs w:val="16"/>
                <w:lang w:eastAsia="zh-CN"/>
              </w:rPr>
              <w:br/>
              <w:t>(3) a copy of the pathology report detailing the molecular testing for G551D mutation or other gating (class III) mutation on the CFTR gene; and</w:t>
            </w:r>
            <w:r w:rsidRPr="00E106BD">
              <w:rPr>
                <w:rFonts w:ascii="Arial" w:eastAsia="SimSun" w:hAnsi="Arial" w:cs="Arial"/>
                <w:sz w:val="16"/>
                <w:szCs w:val="16"/>
                <w:lang w:eastAsia="zh-CN"/>
              </w:rPr>
              <w:br/>
              <w:t>(4) the result of a FEV1 measurement performed within a month prior to the date of application, if aged from 6 years or older. Note: FEV1, must be measured in an accredited pulmonary function laboratory, with documented no acute infective exacerbation at the time FEV1 is measured; and</w:t>
            </w:r>
            <w:r w:rsidRPr="00E106BD">
              <w:rPr>
                <w:rFonts w:ascii="Arial" w:eastAsia="SimSun" w:hAnsi="Arial" w:cs="Arial"/>
                <w:sz w:val="16"/>
                <w:szCs w:val="16"/>
                <w:lang w:eastAsia="zh-CN"/>
              </w:rPr>
              <w:br/>
              <w:t>(5) current CYP3A4 inhibitors, CYP3A4 inducers and IV antibiotics; and</w:t>
            </w:r>
            <w:r w:rsidRPr="00E106BD">
              <w:rPr>
                <w:rFonts w:ascii="Arial" w:eastAsia="SimSun" w:hAnsi="Arial" w:cs="Arial"/>
                <w:sz w:val="16"/>
                <w:szCs w:val="16"/>
                <w:lang w:eastAsia="zh-CN"/>
              </w:rPr>
              <w:br/>
              <w:t>(6) sweat chloride result; and</w:t>
            </w:r>
            <w:r w:rsidRPr="00E106BD">
              <w:rPr>
                <w:rFonts w:ascii="Arial" w:eastAsia="SimSun" w:hAnsi="Arial" w:cs="Arial"/>
                <w:sz w:val="16"/>
                <w:szCs w:val="16"/>
                <w:lang w:eastAsia="zh-CN"/>
              </w:rPr>
              <w:br/>
              <w:t>(7) height and weight measurements at the time of application; and</w:t>
            </w:r>
            <w:r w:rsidRPr="00E106BD">
              <w:rPr>
                <w:rFonts w:ascii="Arial" w:eastAsia="SimSun" w:hAnsi="Arial" w:cs="Arial"/>
                <w:sz w:val="16"/>
                <w:szCs w:val="16"/>
                <w:lang w:eastAsia="zh-CN"/>
              </w:rPr>
              <w:br/>
              <w:t>(8) a baseline measurement of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12 months.</w:t>
            </w:r>
          </w:p>
        </w:tc>
        <w:tc>
          <w:tcPr>
            <w:tcW w:w="2552" w:type="dxa"/>
          </w:tcPr>
          <w:p w:rsidR="00F05C1E" w:rsidRPr="00E106BD" w:rsidDel="001528F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F50979" w:rsidTr="008929EB">
        <w:tc>
          <w:tcPr>
            <w:tcW w:w="1729" w:type="dxa"/>
          </w:tcPr>
          <w:p w:rsidR="00F05C1E" w:rsidRPr="00E106BD" w:rsidDel="00F50979" w:rsidRDefault="00F05C1E" w:rsidP="00881477">
            <w:pPr>
              <w:spacing w:line="240" w:lineRule="auto"/>
              <w:rPr>
                <w:rFonts w:ascii="Arial" w:eastAsia="SimSun" w:hAnsi="Arial" w:cs="Arial"/>
                <w:sz w:val="16"/>
                <w:szCs w:val="16"/>
                <w:lang w:eastAsia="zh-CN"/>
              </w:rPr>
            </w:pPr>
            <w:bookmarkStart w:id="178" w:name="CU_304570986"/>
            <w:bookmarkStart w:id="179" w:name="CU_305574692"/>
            <w:bookmarkStart w:id="180" w:name="CU_308583996"/>
            <w:bookmarkStart w:id="181" w:name="CU_313586357"/>
            <w:bookmarkEnd w:id="178"/>
            <w:bookmarkEnd w:id="179"/>
            <w:bookmarkEnd w:id="180"/>
            <w:bookmarkEnd w:id="181"/>
            <w:r w:rsidRPr="00E106BD">
              <w:rPr>
                <w:rFonts w:ascii="Arial" w:eastAsia="SimSun" w:hAnsi="Arial" w:cs="Arial"/>
                <w:sz w:val="16"/>
                <w:szCs w:val="16"/>
                <w:lang w:eastAsia="zh-CN"/>
              </w:rPr>
              <w:t>Lamivudine</w:t>
            </w: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p>
        </w:tc>
        <w:tc>
          <w:tcPr>
            <w:tcW w:w="7654" w:type="dxa"/>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Pr>
          <w:p w:rsidR="00F05C1E" w:rsidRPr="00E106BD" w:rsidDel="00F50979"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F05C1E" w:rsidRPr="00E106BD" w:rsidDel="00F50979" w:rsidTr="008929EB">
        <w:tc>
          <w:tcPr>
            <w:tcW w:w="1729" w:type="dxa"/>
          </w:tcPr>
          <w:p w:rsidR="00F05C1E" w:rsidRPr="00E106BD" w:rsidDel="00F50979" w:rsidRDefault="00F05C1E" w:rsidP="00881477">
            <w:pPr>
              <w:spacing w:line="240" w:lineRule="auto"/>
              <w:rPr>
                <w:rFonts w:ascii="Arial" w:eastAsia="SimSun" w:hAnsi="Arial" w:cs="Arial"/>
                <w:sz w:val="16"/>
                <w:szCs w:val="16"/>
                <w:lang w:eastAsia="zh-CN"/>
              </w:rPr>
            </w:pP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p>
        </w:tc>
        <w:tc>
          <w:tcPr>
            <w:tcW w:w="7654" w:type="dxa"/>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Pr>
          <w:p w:rsidR="00F05C1E" w:rsidRPr="00E106BD" w:rsidDel="00F50979"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F05C1E" w:rsidRPr="00E106BD" w:rsidDel="00F50979" w:rsidTr="008929EB">
        <w:tc>
          <w:tcPr>
            <w:tcW w:w="1729" w:type="dxa"/>
          </w:tcPr>
          <w:p w:rsidR="00F05C1E" w:rsidRPr="00E106BD" w:rsidDel="00F50979" w:rsidRDefault="00F05C1E" w:rsidP="00881477">
            <w:pPr>
              <w:spacing w:line="240" w:lineRule="auto"/>
              <w:rPr>
                <w:rFonts w:ascii="Arial" w:eastAsia="SimSun" w:hAnsi="Arial" w:cs="Arial"/>
                <w:sz w:val="16"/>
                <w:szCs w:val="16"/>
                <w:lang w:eastAsia="zh-CN"/>
              </w:rPr>
            </w:pP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C4993 </w:t>
            </w: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p>
        </w:tc>
        <w:tc>
          <w:tcPr>
            <w:tcW w:w="7654" w:type="dxa"/>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B infection</w:t>
            </w:r>
            <w:r w:rsidRPr="00E106BD">
              <w:rPr>
                <w:rFonts w:ascii="Arial" w:eastAsia="SimSun" w:hAnsi="Arial" w:cs="Arial"/>
                <w:sz w:val="16"/>
                <w:szCs w:val="16"/>
                <w:lang w:eastAsia="zh-CN"/>
              </w:rPr>
              <w:br/>
              <w:t>Patient must not have cirrhosis, AND</w:t>
            </w:r>
            <w:r w:rsidRPr="00E106BD">
              <w:rPr>
                <w:rFonts w:ascii="Arial" w:eastAsia="SimSun" w:hAnsi="Arial" w:cs="Arial"/>
                <w:sz w:val="16"/>
                <w:szCs w:val="16"/>
                <w:lang w:eastAsia="zh-CN"/>
              </w:rPr>
              <w:br/>
              <w:t>Patient must have elevated HBV DNA levels greater than 20,000 IU/mL (100,000 copies/mL) if HBeAg positive, in conjunction with documented hepatitis B infection; OR</w:t>
            </w:r>
            <w:r w:rsidRPr="00E106BD">
              <w:rPr>
                <w:rFonts w:ascii="Arial" w:eastAsia="SimSun" w:hAnsi="Arial" w:cs="Arial"/>
                <w:sz w:val="16"/>
                <w:szCs w:val="16"/>
                <w:lang w:eastAsia="zh-CN"/>
              </w:rPr>
              <w:br/>
              <w:t>Patient must have elevated HBV DNA levels greater than 2,000 IU/mL (10,000 copies/mL) if HBeAg negative, in conjunction with documented hepatitis B infection, AND</w:t>
            </w:r>
            <w:r w:rsidRPr="00E106BD">
              <w:rPr>
                <w:rFonts w:ascii="Arial" w:eastAsia="SimSun" w:hAnsi="Arial" w:cs="Arial"/>
                <w:sz w:val="16"/>
                <w:szCs w:val="16"/>
                <w:lang w:eastAsia="zh-CN"/>
              </w:rPr>
              <w:br/>
              <w:t>Patient must have evidence of chronic liver injury determined by confirmed elevated serum ALT or liver biopsy.</w:t>
            </w:r>
          </w:p>
        </w:tc>
        <w:tc>
          <w:tcPr>
            <w:tcW w:w="2552" w:type="dxa"/>
          </w:tcPr>
          <w:p w:rsidR="00F05C1E" w:rsidRPr="00E106BD" w:rsidDel="00F50979" w:rsidRDefault="00F05C1E" w:rsidP="006D676A">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4993</w:t>
            </w:r>
          </w:p>
        </w:tc>
      </w:tr>
      <w:tr w:rsidR="00F05C1E" w:rsidRPr="00E106BD" w:rsidDel="00F50979" w:rsidTr="008929EB">
        <w:tc>
          <w:tcPr>
            <w:tcW w:w="1729" w:type="dxa"/>
          </w:tcPr>
          <w:p w:rsidR="00F05C1E" w:rsidRPr="00E106BD" w:rsidDel="00F50979" w:rsidRDefault="00F05C1E" w:rsidP="00881477">
            <w:pPr>
              <w:spacing w:line="240" w:lineRule="auto"/>
              <w:rPr>
                <w:rFonts w:ascii="Arial" w:eastAsia="SimSun" w:hAnsi="Arial" w:cs="Arial"/>
                <w:sz w:val="16"/>
                <w:szCs w:val="16"/>
                <w:lang w:eastAsia="zh-CN"/>
              </w:rPr>
            </w:pP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C5036</w:t>
            </w: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p>
        </w:tc>
        <w:tc>
          <w:tcPr>
            <w:tcW w:w="7654" w:type="dxa"/>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B infection</w:t>
            </w:r>
            <w:r w:rsidRPr="00E106BD">
              <w:rPr>
                <w:rFonts w:ascii="Arial" w:eastAsia="SimSun" w:hAnsi="Arial" w:cs="Arial"/>
                <w:sz w:val="16"/>
                <w:szCs w:val="16"/>
                <w:lang w:eastAsia="zh-CN"/>
              </w:rPr>
              <w:br/>
              <w:t>Patient must have cirrhosis, AND</w:t>
            </w:r>
            <w:r w:rsidRPr="00E106BD">
              <w:rPr>
                <w:rFonts w:ascii="Arial" w:eastAsia="SimSun" w:hAnsi="Arial" w:cs="Arial"/>
                <w:sz w:val="16"/>
                <w:szCs w:val="16"/>
                <w:lang w:eastAsia="zh-CN"/>
              </w:rPr>
              <w:br/>
              <w:t>Patient must have detectable HBV DNA.</w:t>
            </w:r>
            <w:r w:rsidRPr="00E106BD">
              <w:rPr>
                <w:rFonts w:ascii="Arial" w:eastAsia="SimSun" w:hAnsi="Arial" w:cs="Arial"/>
                <w:sz w:val="16"/>
                <w:szCs w:val="16"/>
                <w:lang w:eastAsia="zh-CN"/>
              </w:rPr>
              <w:br/>
              <w:t>Patients with Child</w:t>
            </w:r>
            <w:r w:rsidR="00A653CA">
              <w:rPr>
                <w:rFonts w:ascii="Arial" w:eastAsia="SimSun" w:hAnsi="Arial" w:cs="Arial"/>
                <w:sz w:val="16"/>
                <w:szCs w:val="16"/>
                <w:lang w:eastAsia="zh-CN"/>
              </w:rPr>
              <w:t>’</w:t>
            </w:r>
            <w:r w:rsidRPr="00E106BD">
              <w:rPr>
                <w:rFonts w:ascii="Arial" w:eastAsia="SimSun" w:hAnsi="Arial" w:cs="Arial"/>
                <w:sz w:val="16"/>
                <w:szCs w:val="16"/>
                <w:lang w:eastAsia="zh-CN"/>
              </w:rPr>
              <w:t>s class B or C cirrhosis (ascites, variceal bleeding, encephalopathy, albumin less than 30 g per L, bilirubin greater than 30 micromoles per L) should have their treatment discussed with a transplant unit prior to initiating therapy.</w:t>
            </w:r>
          </w:p>
        </w:tc>
        <w:tc>
          <w:tcPr>
            <w:tcW w:w="2552" w:type="dxa"/>
          </w:tcPr>
          <w:p w:rsidR="00F05C1E" w:rsidRPr="00E106BD" w:rsidDel="00F50979" w:rsidRDefault="00F05C1E"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5036</w:t>
            </w:r>
          </w:p>
        </w:tc>
      </w:tr>
      <w:tr w:rsidR="00F05C1E" w:rsidRPr="00E106BD" w:rsidDel="00F50979"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bookmarkStart w:id="182" w:name="CU_318588059"/>
            <w:bookmarkEnd w:id="182"/>
            <w:r w:rsidRPr="00E106BD">
              <w:rPr>
                <w:rFonts w:ascii="Arial" w:eastAsia="SimSun" w:hAnsi="Arial" w:cs="Arial"/>
                <w:sz w:val="16"/>
                <w:szCs w:val="16"/>
                <w:lang w:eastAsia="zh-CN"/>
              </w:rPr>
              <w:t>Lamivudine with zidovudine</w:t>
            </w:r>
          </w:p>
        </w:tc>
        <w:tc>
          <w:tcPr>
            <w:tcW w:w="709" w:type="dxa"/>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Del="00F50979" w:rsidRDefault="00F05C1E" w:rsidP="0005112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F05C1E" w:rsidRPr="00E106BD" w:rsidDel="00F50979"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Del="00F50979" w:rsidRDefault="00F05C1E" w:rsidP="00051127">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bookmarkStart w:id="183" w:name="CU_320589506"/>
            <w:bookmarkStart w:id="184" w:name="CU_323592666"/>
            <w:bookmarkEnd w:id="183"/>
            <w:bookmarkEnd w:id="184"/>
            <w:r w:rsidRPr="00E106BD">
              <w:rPr>
                <w:rFonts w:ascii="Arial" w:eastAsia="SimSun" w:hAnsi="Arial" w:cs="Arial"/>
                <w:sz w:val="16"/>
                <w:szCs w:val="16"/>
                <w:lang w:eastAsia="zh-CN"/>
              </w:rPr>
              <w:t>Lanreotide</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C4575</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Functional carcinoid tumour</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causing intractable symptoms;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experienced on average over 1 week, 3 or more episodes per day of diarrhoea and/or flushing, which persisted despite the use of anti</w:t>
            </w:r>
            <w:r>
              <w:rPr>
                <w:rFonts w:ascii="Arial" w:eastAsia="SimSun" w:hAnsi="Arial" w:cs="Arial"/>
                <w:sz w:val="16"/>
                <w:szCs w:val="16"/>
                <w:lang w:eastAsia="zh-CN"/>
              </w:rPr>
              <w:noBreakHyphen/>
            </w:r>
            <w:r w:rsidRPr="00E106BD">
              <w:rPr>
                <w:rFonts w:ascii="Arial" w:eastAsia="SimSun" w:hAnsi="Arial" w:cs="Arial"/>
                <w:sz w:val="16"/>
                <w:szCs w:val="16"/>
                <w:lang w:eastAsia="zh-CN"/>
              </w:rPr>
              <w:t>histamines, anti</w:t>
            </w:r>
            <w:r>
              <w:rPr>
                <w:rFonts w:ascii="Arial" w:eastAsia="SimSun" w:hAnsi="Arial" w:cs="Arial"/>
                <w:sz w:val="16"/>
                <w:szCs w:val="16"/>
                <w:lang w:eastAsia="zh-CN"/>
              </w:rPr>
              <w:noBreakHyphen/>
            </w:r>
            <w:r w:rsidRPr="00E106BD">
              <w:rPr>
                <w:rFonts w:ascii="Arial" w:eastAsia="SimSun" w:hAnsi="Arial" w:cs="Arial"/>
                <w:sz w:val="16"/>
                <w:szCs w:val="16"/>
                <w:lang w:eastAsia="zh-CN"/>
              </w:rPr>
              <w:t>serotonin agents and anti</w:t>
            </w:r>
            <w:r>
              <w:rPr>
                <w:rFonts w:ascii="Arial" w:eastAsia="SimSun" w:hAnsi="Arial" w:cs="Arial"/>
                <w:sz w:val="16"/>
                <w:szCs w:val="16"/>
                <w:lang w:eastAsia="zh-CN"/>
              </w:rPr>
              <w:noBreakHyphen/>
            </w:r>
            <w:r w:rsidRPr="00E106BD">
              <w:rPr>
                <w:rFonts w:ascii="Arial" w:eastAsia="SimSun" w:hAnsi="Arial" w:cs="Arial"/>
                <w:sz w:val="16"/>
                <w:szCs w:val="16"/>
                <w:lang w:eastAsia="zh-CN"/>
              </w:rPr>
              <w:t>diarrhoea agents; AND</w:t>
            </w:r>
            <w:r w:rsidRPr="00E106BD">
              <w:rPr>
                <w:rFonts w:ascii="Arial" w:eastAsia="SimSun" w:hAnsi="Arial" w:cs="Arial"/>
                <w:sz w:val="16"/>
                <w:szCs w:val="16"/>
                <w:lang w:eastAsia="zh-CN"/>
              </w:rPr>
              <w:br/>
              <w:t>Patient must be one in whom surgery or antineoplastic therapy has failed or is inappropriate; AND</w:t>
            </w:r>
            <w:r w:rsidRPr="00E106BD">
              <w:rPr>
                <w:rFonts w:ascii="Arial" w:eastAsia="SimSun" w:hAnsi="Arial" w:cs="Arial"/>
                <w:sz w:val="16"/>
                <w:szCs w:val="16"/>
                <w:lang w:eastAsia="zh-CN"/>
              </w:rPr>
              <w:br/>
              <w:t>The treatment must cease if there is failure to produce a clinically significant reduction in the frequency and severity of symptoms after 3 months</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therapy at a dose of 120 mg every 28 days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Dosage and tolerance to the drug should be assessed regularly and the dosage should be titrated slowly downwards to determine the minimum effective dose</w:t>
            </w:r>
          </w:p>
        </w:tc>
        <w:tc>
          <w:tcPr>
            <w:tcW w:w="2552" w:type="dxa"/>
            <w:tcMar>
              <w:top w:w="28" w:type="dxa"/>
              <w:left w:w="28" w:type="dxa"/>
              <w:right w:w="57" w:type="dxa"/>
            </w:tcMar>
          </w:tcPr>
          <w:p w:rsidR="00F05C1E" w:rsidRPr="00E106BD" w:rsidRDefault="00F05C1E"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4575</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C7025</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szCs w:val="16"/>
              </w:rPr>
            </w:pPr>
            <w:r w:rsidRPr="00E106BD">
              <w:rPr>
                <w:szCs w:val="16"/>
              </w:rPr>
              <w:t>Acromegaly</w:t>
            </w:r>
          </w:p>
          <w:p w:rsidR="00F05C1E" w:rsidRPr="00E106BD" w:rsidRDefault="00F05C1E" w:rsidP="00881477">
            <w:pPr>
              <w:pStyle w:val="mps3-data"/>
              <w:spacing w:before="0" w:after="0"/>
              <w:rPr>
                <w:szCs w:val="16"/>
              </w:rPr>
            </w:pPr>
            <w:r w:rsidRPr="00E106BD">
              <w:rPr>
                <w:szCs w:val="16"/>
              </w:rPr>
              <w:t>The condition must be active; AND</w:t>
            </w:r>
          </w:p>
          <w:p w:rsidR="00F05C1E" w:rsidRPr="00E106BD" w:rsidRDefault="00F05C1E" w:rsidP="00881477">
            <w:pPr>
              <w:pStyle w:val="mps3-data"/>
              <w:spacing w:before="0" w:after="0"/>
              <w:rPr>
                <w:szCs w:val="16"/>
              </w:rPr>
            </w:pPr>
            <w:r w:rsidRPr="00E106BD">
              <w:rPr>
                <w:szCs w:val="16"/>
              </w:rPr>
              <w:t>Patient must have persistent elevation of mean growth hormone levels of greater than 2.5 micrograms per litre; AND</w:t>
            </w:r>
          </w:p>
          <w:p w:rsidR="00F05C1E" w:rsidRPr="00E106BD" w:rsidRDefault="00F05C1E" w:rsidP="00881477">
            <w:pPr>
              <w:pStyle w:val="mps3-data"/>
              <w:spacing w:before="0" w:after="0"/>
              <w:rPr>
                <w:szCs w:val="16"/>
              </w:rPr>
            </w:pPr>
            <w:r w:rsidRPr="00E106BD">
              <w:rPr>
                <w:szCs w:val="16"/>
              </w:rPr>
              <w:t>The treatment must be after failure of other therapy including dopamine agonists; OR</w:t>
            </w:r>
          </w:p>
          <w:p w:rsidR="00F05C1E" w:rsidRPr="00E106BD" w:rsidRDefault="00F05C1E" w:rsidP="00881477">
            <w:pPr>
              <w:pStyle w:val="mps3-data"/>
              <w:spacing w:before="0" w:after="0"/>
              <w:rPr>
                <w:szCs w:val="16"/>
              </w:rPr>
            </w:pPr>
            <w:r w:rsidRPr="00E106BD">
              <w:rPr>
                <w:szCs w:val="16"/>
              </w:rPr>
              <w:t>The treatment must be as interim treatment while awaiting the effects of radiotherapy and where treatment with dopamine agonists has failed; OR</w:t>
            </w:r>
          </w:p>
          <w:p w:rsidR="00F05C1E" w:rsidRPr="00E106BD" w:rsidRDefault="00F05C1E" w:rsidP="00881477">
            <w:pPr>
              <w:pStyle w:val="mps3-data"/>
              <w:spacing w:before="0" w:after="0"/>
              <w:rPr>
                <w:szCs w:val="16"/>
              </w:rPr>
            </w:pPr>
            <w:r w:rsidRPr="00E106BD">
              <w:rPr>
                <w:szCs w:val="16"/>
              </w:rPr>
              <w:t>The treatment must be in a patient who is unfit for or unwilling to undergo surgery and where radiotherapy is contraindicated; AND</w:t>
            </w:r>
          </w:p>
          <w:p w:rsidR="00F05C1E" w:rsidRPr="00E106BD" w:rsidRDefault="00F05C1E" w:rsidP="00881477">
            <w:pPr>
              <w:pStyle w:val="mps3-data"/>
              <w:spacing w:before="0" w:after="0"/>
              <w:rPr>
                <w:szCs w:val="16"/>
              </w:rPr>
            </w:pPr>
            <w:r w:rsidRPr="00E106BD">
              <w:rPr>
                <w:szCs w:val="16"/>
              </w:rPr>
              <w:t>The treatment must cease in a patient treated with radiotherapy if there is biochemical evidence of remission (normal IGF1) after lanreotide has been withdrawn for at least 4 weeks (8 weeks after the last dose); AND</w:t>
            </w:r>
          </w:p>
          <w:p w:rsidR="00F05C1E" w:rsidRPr="00E106BD" w:rsidRDefault="00F05C1E" w:rsidP="00881477">
            <w:pPr>
              <w:pStyle w:val="mps3-data"/>
              <w:spacing w:before="0" w:after="0"/>
              <w:rPr>
                <w:szCs w:val="16"/>
              </w:rPr>
            </w:pPr>
            <w:r w:rsidRPr="00E106BD">
              <w:rPr>
                <w:szCs w:val="16"/>
              </w:rPr>
              <w:t>The treatment must cease if IGF1 is not lower after 3 months of treatment; AND</w:t>
            </w:r>
          </w:p>
          <w:p w:rsidR="00F05C1E" w:rsidRPr="00E106BD" w:rsidRDefault="00F05C1E" w:rsidP="00881477">
            <w:pPr>
              <w:pStyle w:val="mps3-data"/>
              <w:spacing w:before="0" w:after="0"/>
              <w:rPr>
                <w:szCs w:val="16"/>
              </w:rPr>
            </w:pPr>
            <w:r w:rsidRPr="00E106BD">
              <w:rPr>
                <w:szCs w:val="16"/>
              </w:rPr>
              <w:t>The treatment must not be given concomitantly with PBS</w:t>
            </w:r>
            <w:r>
              <w:rPr>
                <w:szCs w:val="16"/>
              </w:rPr>
              <w:noBreakHyphen/>
            </w:r>
            <w:r w:rsidRPr="00E106BD">
              <w:rPr>
                <w:szCs w:val="16"/>
              </w:rPr>
              <w:t>subsidised pegvisomant.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In a patient treated with radiotherapy, lanreotide should be withdrawn every 2 years in the 10 years after radiotherapy for assessment of remission.</w:t>
            </w:r>
          </w:p>
        </w:tc>
        <w:tc>
          <w:tcPr>
            <w:tcW w:w="2552" w:type="dxa"/>
            <w:tcMar>
              <w:top w:w="28" w:type="dxa"/>
              <w:left w:w="28" w:type="dxa"/>
              <w:right w:w="57" w:type="dxa"/>
            </w:tcMar>
          </w:tcPr>
          <w:p w:rsidR="00F05C1E" w:rsidRPr="00E106BD" w:rsidRDefault="00F05C1E" w:rsidP="0005112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7025</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C7042</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szCs w:val="16"/>
              </w:rPr>
            </w:pPr>
            <w:r w:rsidRPr="00E106BD">
              <w:rPr>
                <w:szCs w:val="16"/>
              </w:rPr>
              <w:t>Acromegaly</w:t>
            </w:r>
          </w:p>
          <w:p w:rsidR="00F05C1E" w:rsidRPr="00E106BD" w:rsidRDefault="00F05C1E" w:rsidP="00881477">
            <w:pPr>
              <w:pStyle w:val="mps3-data"/>
              <w:spacing w:before="0" w:after="0"/>
              <w:rPr>
                <w:szCs w:val="16"/>
              </w:rPr>
            </w:pPr>
            <w:r w:rsidRPr="00E106BD">
              <w:rPr>
                <w:szCs w:val="16"/>
              </w:rPr>
              <w:t>The condition must be active; AND</w:t>
            </w:r>
          </w:p>
          <w:p w:rsidR="00F05C1E" w:rsidRPr="00E106BD" w:rsidRDefault="00F05C1E" w:rsidP="00881477">
            <w:pPr>
              <w:pStyle w:val="mps3-data"/>
              <w:spacing w:before="0" w:after="0"/>
              <w:rPr>
                <w:szCs w:val="16"/>
              </w:rPr>
            </w:pPr>
            <w:r w:rsidRPr="00E106BD">
              <w:rPr>
                <w:szCs w:val="16"/>
              </w:rPr>
              <w:t>Patient must have persistent elevation of mean growth hormone levels of greater than 2.5 micrograms per litre; AND</w:t>
            </w:r>
          </w:p>
          <w:p w:rsidR="00F05C1E" w:rsidRPr="00E106BD" w:rsidRDefault="00F05C1E" w:rsidP="00881477">
            <w:pPr>
              <w:pStyle w:val="mps3-data"/>
              <w:spacing w:before="0" w:after="0"/>
              <w:rPr>
                <w:szCs w:val="16"/>
              </w:rPr>
            </w:pPr>
            <w:r w:rsidRPr="00E106BD">
              <w:rPr>
                <w:szCs w:val="16"/>
              </w:rPr>
              <w:t>The treatment must be after failure of other therapy including dopamine agonists; OR</w:t>
            </w:r>
          </w:p>
          <w:p w:rsidR="00F05C1E" w:rsidRPr="00E106BD" w:rsidRDefault="00F05C1E" w:rsidP="00881477">
            <w:pPr>
              <w:pStyle w:val="mps3-data"/>
              <w:spacing w:before="0" w:after="0"/>
              <w:rPr>
                <w:szCs w:val="16"/>
              </w:rPr>
            </w:pPr>
            <w:r w:rsidRPr="00E106BD">
              <w:rPr>
                <w:szCs w:val="16"/>
              </w:rPr>
              <w:t>The treatment must be as interim treatment while awaiting the effects of radiotherapy and where treatment with dopamine agonists has failed; OR</w:t>
            </w:r>
          </w:p>
          <w:p w:rsidR="00F05C1E" w:rsidRPr="00E106BD" w:rsidRDefault="00F05C1E" w:rsidP="00881477">
            <w:pPr>
              <w:pStyle w:val="mps3-data"/>
              <w:spacing w:before="0" w:after="0"/>
              <w:rPr>
                <w:szCs w:val="16"/>
              </w:rPr>
            </w:pPr>
            <w:r w:rsidRPr="00E106BD">
              <w:rPr>
                <w:szCs w:val="16"/>
              </w:rPr>
              <w:t>The treatment must be in a patient who is unfit for or unwilling to undergo surgery and where radiotherapy is contraindicated; AND</w:t>
            </w:r>
          </w:p>
          <w:p w:rsidR="00F05C1E" w:rsidRPr="00E106BD" w:rsidRDefault="00F05C1E" w:rsidP="00881477">
            <w:pPr>
              <w:pStyle w:val="mps3-data"/>
              <w:spacing w:before="0" w:after="0"/>
              <w:rPr>
                <w:szCs w:val="16"/>
              </w:rPr>
            </w:pPr>
            <w:r w:rsidRPr="00E106BD">
              <w:rPr>
                <w:szCs w:val="16"/>
              </w:rPr>
              <w:t>The treatment must cease in a patient treated with radiotherapy if there is biochemical evidence of remission (normal IGF1) after lanreotide has been withdrawn for at least 4 weeks (6 weeks after the last dose); AND</w:t>
            </w:r>
          </w:p>
          <w:p w:rsidR="00F05C1E" w:rsidRPr="00E106BD" w:rsidRDefault="00F05C1E" w:rsidP="00881477">
            <w:pPr>
              <w:pStyle w:val="mps3-data"/>
              <w:spacing w:before="0" w:after="0"/>
              <w:rPr>
                <w:szCs w:val="16"/>
              </w:rPr>
            </w:pPr>
            <w:r w:rsidRPr="00E106BD">
              <w:rPr>
                <w:szCs w:val="16"/>
              </w:rPr>
              <w:t>The treatment must cease if IGF1 is not lower after 3 months of treatment; AND</w:t>
            </w:r>
          </w:p>
          <w:p w:rsidR="00F05C1E" w:rsidRPr="00E106BD" w:rsidRDefault="00F05C1E" w:rsidP="00881477">
            <w:pPr>
              <w:pStyle w:val="mps3-data"/>
              <w:spacing w:before="0" w:after="0"/>
              <w:rPr>
                <w:szCs w:val="16"/>
              </w:rPr>
            </w:pPr>
            <w:r w:rsidRPr="00E106BD">
              <w:rPr>
                <w:szCs w:val="16"/>
              </w:rPr>
              <w:t>The treatment must not be given concomitantly with PBS</w:t>
            </w:r>
            <w:r>
              <w:rPr>
                <w:szCs w:val="16"/>
              </w:rPr>
              <w:noBreakHyphen/>
            </w:r>
            <w:r w:rsidRPr="00E106BD">
              <w:rPr>
                <w:szCs w:val="16"/>
              </w:rPr>
              <w:t>subsidised pegvisomant.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In a patient treated with radiotherapy, lanreotide should be withdrawn every 2 years in the 10 years after radiotherapy for assessment of remission.</w:t>
            </w:r>
          </w:p>
        </w:tc>
        <w:tc>
          <w:tcPr>
            <w:tcW w:w="2552" w:type="dxa"/>
            <w:tcMar>
              <w:top w:w="28" w:type="dxa"/>
              <w:left w:w="28" w:type="dxa"/>
              <w:right w:w="57" w:type="dxa"/>
            </w:tcMar>
          </w:tcPr>
          <w:p w:rsidR="00F05C1E" w:rsidRPr="00E106BD" w:rsidRDefault="00F05C1E" w:rsidP="0005112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7042</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C7509</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szCs w:val="16"/>
              </w:rPr>
            </w:pPr>
            <w:r w:rsidRPr="00E106BD">
              <w:rPr>
                <w:szCs w:val="16"/>
              </w:rPr>
              <w:t>Functional carcinoid tumour</w:t>
            </w:r>
          </w:p>
          <w:p w:rsidR="00F05C1E" w:rsidRPr="00E106BD" w:rsidRDefault="00F05C1E" w:rsidP="00881477">
            <w:pPr>
              <w:pStyle w:val="mps3-data"/>
              <w:spacing w:before="0" w:after="0"/>
              <w:rPr>
                <w:szCs w:val="16"/>
              </w:rPr>
            </w:pPr>
            <w:r w:rsidRPr="00E106BD">
              <w:rPr>
                <w:szCs w:val="16"/>
              </w:rPr>
              <w:t>Patient must have previously received PBS</w:t>
            </w:r>
            <w:r>
              <w:rPr>
                <w:szCs w:val="16"/>
              </w:rPr>
              <w:noBreakHyphen/>
            </w:r>
            <w:r w:rsidRPr="00E106BD">
              <w:rPr>
                <w:szCs w:val="16"/>
              </w:rPr>
              <w:t>subsidised treatment with this drug for this condition; AND</w:t>
            </w:r>
          </w:p>
          <w:p w:rsidR="00F05C1E" w:rsidRPr="00E106BD" w:rsidRDefault="00F05C1E" w:rsidP="00881477">
            <w:pPr>
              <w:pStyle w:val="mps3-data"/>
              <w:spacing w:before="0" w:after="0"/>
              <w:rPr>
                <w:szCs w:val="16"/>
              </w:rPr>
            </w:pPr>
            <w:r w:rsidRPr="00E106BD">
              <w:rPr>
                <w:szCs w:val="16"/>
              </w:rPr>
              <w:t>The condition must be causing intractable symptoms; AND</w:t>
            </w:r>
          </w:p>
          <w:p w:rsidR="00F05C1E" w:rsidRPr="00E106BD" w:rsidRDefault="00F05C1E" w:rsidP="00881477">
            <w:pPr>
              <w:pStyle w:val="mps3-data"/>
              <w:spacing w:before="0" w:after="0"/>
              <w:rPr>
                <w:szCs w:val="16"/>
              </w:rPr>
            </w:pPr>
            <w:r w:rsidRPr="00E106BD">
              <w:rPr>
                <w:szCs w:val="16"/>
              </w:rPr>
              <w:t>Patient must have experienced on average over 1 week, 3 or more episodes per day of diarrhoea and/or flushing, which persisted despite the use of anti</w:t>
            </w:r>
            <w:r>
              <w:rPr>
                <w:szCs w:val="16"/>
              </w:rPr>
              <w:noBreakHyphen/>
            </w:r>
            <w:r w:rsidRPr="00E106BD">
              <w:rPr>
                <w:szCs w:val="16"/>
              </w:rPr>
              <w:t>histamines, anti</w:t>
            </w:r>
            <w:r>
              <w:rPr>
                <w:szCs w:val="16"/>
              </w:rPr>
              <w:noBreakHyphen/>
            </w:r>
            <w:r w:rsidRPr="00E106BD">
              <w:rPr>
                <w:szCs w:val="16"/>
              </w:rPr>
              <w:t>serotonin agents and anti</w:t>
            </w:r>
            <w:r>
              <w:rPr>
                <w:szCs w:val="16"/>
              </w:rPr>
              <w:noBreakHyphen/>
            </w:r>
            <w:r w:rsidRPr="00E106BD">
              <w:rPr>
                <w:szCs w:val="16"/>
              </w:rPr>
              <w:t>diarrhoea agents; AND</w:t>
            </w:r>
          </w:p>
          <w:p w:rsidR="00F05C1E" w:rsidRPr="00E106BD" w:rsidRDefault="00F05C1E" w:rsidP="00881477">
            <w:pPr>
              <w:pStyle w:val="mps3-data"/>
              <w:spacing w:before="0" w:after="0"/>
              <w:rPr>
                <w:szCs w:val="16"/>
              </w:rPr>
            </w:pPr>
            <w:r w:rsidRPr="00E106BD">
              <w:rPr>
                <w:szCs w:val="16"/>
              </w:rPr>
              <w:t>Patient must be one in whom surgery or antineoplastic therapy has failed or is inappropriate; AND</w:t>
            </w:r>
          </w:p>
          <w:p w:rsidR="00F05C1E" w:rsidRPr="00E106BD" w:rsidRDefault="00F05C1E" w:rsidP="00881477">
            <w:pPr>
              <w:pStyle w:val="mps3-data"/>
              <w:spacing w:before="0" w:after="0"/>
              <w:rPr>
                <w:szCs w:val="16"/>
              </w:rPr>
            </w:pPr>
            <w:r w:rsidRPr="00E106BD">
              <w:rPr>
                <w:szCs w:val="16"/>
              </w:rPr>
              <w:t>The treatment must cease if there is failure to produce a clinically significant reduction in the frequency and severity of symptoms after 3 months</w:t>
            </w:r>
            <w:r w:rsidR="00A653CA">
              <w:rPr>
                <w:szCs w:val="16"/>
              </w:rPr>
              <w:t>’</w:t>
            </w:r>
            <w:r w:rsidRPr="00E106BD">
              <w:rPr>
                <w:szCs w:val="16"/>
              </w:rPr>
              <w:t xml:space="preserve"> therapy at a dose of 120 mg every 28 days.</w:t>
            </w:r>
          </w:p>
          <w:p w:rsidR="00F05C1E" w:rsidRPr="00E106BD" w:rsidRDefault="00F05C1E" w:rsidP="00881477">
            <w:pPr>
              <w:pStyle w:val="mps3-data"/>
              <w:spacing w:before="0" w:after="0"/>
              <w:rPr>
                <w:szCs w:val="16"/>
              </w:rPr>
            </w:pPr>
            <w:r w:rsidRPr="00E106BD">
              <w:rPr>
                <w:szCs w:val="16"/>
              </w:rPr>
              <w:t>Dosage and tolerance to the drug should be assessed regularly and the dosage should be titrated slowly downwards to determine the minimum effective dose.</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7509</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C7532</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szCs w:val="16"/>
              </w:rPr>
            </w:pPr>
            <w:r w:rsidRPr="00E106BD">
              <w:rPr>
                <w:szCs w:val="16"/>
              </w:rPr>
              <w:t>Acromegaly</w:t>
            </w:r>
          </w:p>
          <w:p w:rsidR="00F05C1E" w:rsidRPr="00E106BD" w:rsidRDefault="00F05C1E" w:rsidP="00881477">
            <w:pPr>
              <w:pStyle w:val="mps3-data"/>
              <w:spacing w:before="0" w:after="0"/>
              <w:rPr>
                <w:szCs w:val="16"/>
              </w:rPr>
            </w:pPr>
            <w:r w:rsidRPr="00E106BD">
              <w:rPr>
                <w:szCs w:val="16"/>
              </w:rPr>
              <w:t>Patient must have previously received PBS</w:t>
            </w:r>
            <w:r>
              <w:rPr>
                <w:szCs w:val="16"/>
              </w:rPr>
              <w:noBreakHyphen/>
            </w:r>
            <w:r w:rsidRPr="00E106BD">
              <w:rPr>
                <w:szCs w:val="16"/>
              </w:rPr>
              <w:t>subsidised treatment with this drug for this condition; AND</w:t>
            </w:r>
          </w:p>
          <w:p w:rsidR="00F05C1E" w:rsidRPr="00E106BD" w:rsidRDefault="00F05C1E" w:rsidP="00881477">
            <w:pPr>
              <w:pStyle w:val="mps3-data"/>
              <w:spacing w:before="0" w:after="0"/>
              <w:rPr>
                <w:szCs w:val="16"/>
              </w:rPr>
            </w:pPr>
            <w:r w:rsidRPr="00E106BD">
              <w:rPr>
                <w:szCs w:val="16"/>
              </w:rPr>
              <w:t>The condition must be active; AND</w:t>
            </w:r>
          </w:p>
          <w:p w:rsidR="00F05C1E" w:rsidRPr="00E106BD" w:rsidRDefault="00F05C1E" w:rsidP="00881477">
            <w:pPr>
              <w:pStyle w:val="mps3-data"/>
              <w:spacing w:before="0" w:after="0"/>
              <w:rPr>
                <w:szCs w:val="16"/>
              </w:rPr>
            </w:pPr>
            <w:r w:rsidRPr="00E106BD">
              <w:rPr>
                <w:szCs w:val="16"/>
              </w:rPr>
              <w:t>Patient must have persistent elevation of mean growth hormone levels of greater than 2.5 micrograms per litre; AND</w:t>
            </w:r>
          </w:p>
          <w:p w:rsidR="00F05C1E" w:rsidRPr="00E106BD" w:rsidRDefault="00F05C1E" w:rsidP="00881477">
            <w:pPr>
              <w:pStyle w:val="mps3-data"/>
              <w:spacing w:before="0" w:after="0"/>
              <w:rPr>
                <w:szCs w:val="16"/>
              </w:rPr>
            </w:pPr>
            <w:r w:rsidRPr="00E106BD">
              <w:rPr>
                <w:szCs w:val="16"/>
              </w:rPr>
              <w:t>The treatment must be after failure of other therapy including dopamine agonists; OR</w:t>
            </w:r>
          </w:p>
          <w:p w:rsidR="00F05C1E" w:rsidRPr="00E106BD" w:rsidRDefault="00F05C1E" w:rsidP="00881477">
            <w:pPr>
              <w:pStyle w:val="mps3-data"/>
              <w:spacing w:before="0" w:after="0"/>
              <w:rPr>
                <w:szCs w:val="16"/>
              </w:rPr>
            </w:pPr>
            <w:r w:rsidRPr="00E106BD">
              <w:rPr>
                <w:szCs w:val="16"/>
              </w:rPr>
              <w:t>The treatment must be as interim treatment while awaiting the effects of radiotherapy and where treatment with dopamine agonists has failed; OR</w:t>
            </w:r>
          </w:p>
          <w:p w:rsidR="00F05C1E" w:rsidRPr="00E106BD" w:rsidRDefault="00F05C1E" w:rsidP="00881477">
            <w:pPr>
              <w:pStyle w:val="mps3-data"/>
              <w:spacing w:before="0" w:after="0"/>
              <w:rPr>
                <w:szCs w:val="16"/>
              </w:rPr>
            </w:pPr>
            <w:r w:rsidRPr="00E106BD">
              <w:rPr>
                <w:szCs w:val="16"/>
              </w:rPr>
              <w:t>The treatment must be in a patient who is unfit for or unwilling to undergo surgery and where radiotherapy is contraindicated; AND</w:t>
            </w:r>
          </w:p>
          <w:p w:rsidR="00F05C1E" w:rsidRPr="00E106BD" w:rsidRDefault="00F05C1E" w:rsidP="00881477">
            <w:pPr>
              <w:pStyle w:val="mps3-data"/>
              <w:spacing w:before="0" w:after="0"/>
              <w:rPr>
                <w:szCs w:val="16"/>
              </w:rPr>
            </w:pPr>
            <w:r w:rsidRPr="00E106BD">
              <w:rPr>
                <w:szCs w:val="16"/>
              </w:rPr>
              <w:t>The treatment must cease in a patient treated with radiotherapy if there is biochemical evidence of remission (normal IGF1) after lanreotide has been withdrawn for at least 4 weeks (8 weeks after the last dose); AND</w:t>
            </w:r>
          </w:p>
          <w:p w:rsidR="00F05C1E" w:rsidRPr="00E106BD" w:rsidRDefault="00F05C1E" w:rsidP="00881477">
            <w:pPr>
              <w:pStyle w:val="mps3-data"/>
              <w:spacing w:before="0" w:after="0"/>
              <w:rPr>
                <w:szCs w:val="16"/>
              </w:rPr>
            </w:pPr>
            <w:r w:rsidRPr="00E106BD">
              <w:rPr>
                <w:szCs w:val="16"/>
              </w:rPr>
              <w:t>The treatment must cease if IGF1 is not lower after 3 months of treatment; AND</w:t>
            </w:r>
          </w:p>
          <w:p w:rsidR="00F05C1E" w:rsidRPr="00E106BD" w:rsidRDefault="00F05C1E" w:rsidP="00881477">
            <w:pPr>
              <w:pStyle w:val="mps3-data"/>
              <w:spacing w:before="0" w:after="0"/>
              <w:rPr>
                <w:szCs w:val="16"/>
              </w:rPr>
            </w:pPr>
            <w:r w:rsidRPr="00E106BD">
              <w:rPr>
                <w:szCs w:val="16"/>
              </w:rPr>
              <w:t>The treatment must not be given concomitantly with PBS</w:t>
            </w:r>
            <w:r>
              <w:rPr>
                <w:szCs w:val="16"/>
              </w:rPr>
              <w:noBreakHyphen/>
            </w:r>
            <w:r w:rsidRPr="00E106BD">
              <w:rPr>
                <w:szCs w:val="16"/>
              </w:rPr>
              <w:t>subsidised pegvisomant.</w:t>
            </w:r>
          </w:p>
          <w:p w:rsidR="00F05C1E" w:rsidRPr="00E106BD" w:rsidRDefault="00F05C1E" w:rsidP="00881477">
            <w:pPr>
              <w:pStyle w:val="mps3-data"/>
              <w:spacing w:before="0" w:after="0"/>
              <w:rPr>
                <w:szCs w:val="16"/>
              </w:rPr>
            </w:pPr>
            <w:r w:rsidRPr="00E106BD">
              <w:rPr>
                <w:szCs w:val="16"/>
              </w:rPr>
              <w:t>In a patient treated with radiotherapy, lanreotide should be withdrawn every 2 years in the 10 years after radiotherapy for assessment of remission.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7532</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C9225</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rFonts w:eastAsia="SimSun"/>
                <w:szCs w:val="16"/>
              </w:rPr>
            </w:pPr>
            <w:r w:rsidRPr="00E106BD">
              <w:rPr>
                <w:szCs w:val="16"/>
              </w:rPr>
              <w:t>Acromegaly</w:t>
            </w:r>
            <w:r w:rsidRPr="00E106BD">
              <w:rPr>
                <w:szCs w:val="16"/>
              </w:rPr>
              <w:br/>
              <w:t>The condition must be active; AND</w:t>
            </w:r>
            <w:r w:rsidRPr="00E106BD">
              <w:rPr>
                <w:szCs w:val="16"/>
              </w:rPr>
              <w:br/>
              <w:t>Patient must have persistent elevation of mean growth hormone levels of greater than 2.5 micrograms per litre; AND</w:t>
            </w:r>
            <w:r w:rsidRPr="00E106BD">
              <w:rPr>
                <w:szCs w:val="16"/>
              </w:rPr>
              <w:br/>
              <w:t>The treatment must be after failure of other therapy including dopamine agonists; OR</w:t>
            </w:r>
            <w:r w:rsidRPr="00E106BD">
              <w:rPr>
                <w:szCs w:val="16"/>
              </w:rPr>
              <w:br/>
              <w:t>The treatment must be as interim treatment while awaiting the effects of radiotherapy and where treatment with dopamine agonists has failed; OR</w:t>
            </w:r>
            <w:r w:rsidRPr="00E106BD">
              <w:rPr>
                <w:szCs w:val="16"/>
              </w:rPr>
              <w:br/>
              <w:t>The treatment must be in a patient who is unfit for or unwilling to undergo surgery and where radiotherapy is contraindicated; AND</w:t>
            </w:r>
            <w:r w:rsidRPr="00E106BD">
              <w:rPr>
                <w:szCs w:val="16"/>
              </w:rPr>
              <w:br/>
              <w:t>The treatment must cease in a patient treated with radiotherapy if there is biochemical evidence of remission (normal IGF1) after lanreotide has been withdrawn for at least 4 weeks (6 weeks after the last dose); AND</w:t>
            </w:r>
            <w:r w:rsidRPr="00E106BD">
              <w:rPr>
                <w:szCs w:val="16"/>
              </w:rPr>
              <w:br/>
              <w:t>The treatment must cease if IGF1 is not lower after 3 months of treatment; AND</w:t>
            </w:r>
            <w:r w:rsidRPr="00E106BD">
              <w:rPr>
                <w:szCs w:val="16"/>
              </w:rPr>
              <w:br/>
              <w:t>The treatment must not be given concomitantly with PBS</w:t>
            </w:r>
            <w:r>
              <w:rPr>
                <w:szCs w:val="16"/>
              </w:rPr>
              <w:noBreakHyphen/>
            </w:r>
            <w:r w:rsidRPr="00E106BD">
              <w:rPr>
                <w:szCs w:val="16"/>
              </w:rPr>
              <w:t>subsidised pegvisomant.</w:t>
            </w:r>
            <w:r w:rsidRPr="00E106BD">
              <w:rPr>
                <w:szCs w:val="16"/>
              </w:rPr>
              <w:br/>
              <w:t>In a patient treated with radiotherapy, lanreotide should be withdrawn every 2 years in the 10 years after radiotherapy for assessment of remission.</w:t>
            </w:r>
          </w:p>
        </w:tc>
        <w:tc>
          <w:tcPr>
            <w:tcW w:w="2552" w:type="dxa"/>
            <w:tcMar>
              <w:top w:w="28" w:type="dxa"/>
              <w:left w:w="28" w:type="dxa"/>
              <w:right w:w="57" w:type="dxa"/>
            </w:tcMar>
          </w:tcPr>
          <w:p w:rsidR="00F05C1E" w:rsidRPr="00E106BD" w:rsidRDefault="00F05C1E" w:rsidP="00DC20A5">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9225</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C9260</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rFonts w:eastAsia="SimSun"/>
                <w:szCs w:val="16"/>
              </w:rPr>
            </w:pPr>
            <w:r w:rsidRPr="00E106BD">
              <w:rPr>
                <w:szCs w:val="16"/>
              </w:rPr>
              <w:t>Functional carcinoid tumour</w:t>
            </w:r>
            <w:r w:rsidRPr="00E106BD">
              <w:rPr>
                <w:szCs w:val="16"/>
              </w:rPr>
              <w:br/>
              <w:t>The condition must be causing intractable symptoms; AND</w:t>
            </w:r>
            <w:r w:rsidRPr="00E106BD">
              <w:rPr>
                <w:szCs w:val="16"/>
              </w:rPr>
              <w:br/>
              <w:t>Patient must have experienced on average over 1 week, 3 or more episodes per day of diarrhoea and/or flushing, which persisted despite the use of anti</w:t>
            </w:r>
            <w:r>
              <w:rPr>
                <w:szCs w:val="16"/>
              </w:rPr>
              <w:noBreakHyphen/>
            </w:r>
            <w:r w:rsidRPr="00E106BD">
              <w:rPr>
                <w:szCs w:val="16"/>
              </w:rPr>
              <w:t>histamines, anti</w:t>
            </w:r>
            <w:r>
              <w:rPr>
                <w:szCs w:val="16"/>
              </w:rPr>
              <w:noBreakHyphen/>
            </w:r>
            <w:r w:rsidRPr="00E106BD">
              <w:rPr>
                <w:szCs w:val="16"/>
              </w:rPr>
              <w:t>serotonin agents and anti</w:t>
            </w:r>
            <w:r>
              <w:rPr>
                <w:szCs w:val="16"/>
              </w:rPr>
              <w:noBreakHyphen/>
            </w:r>
            <w:r w:rsidRPr="00E106BD">
              <w:rPr>
                <w:szCs w:val="16"/>
              </w:rPr>
              <w:t>diarrhoea agents; AND</w:t>
            </w:r>
            <w:r w:rsidRPr="00E106BD">
              <w:rPr>
                <w:szCs w:val="16"/>
              </w:rPr>
              <w:br/>
              <w:t>Patient must be one in whom surgery or antineoplastic therapy has failed or is inappropriate; AND</w:t>
            </w:r>
            <w:r w:rsidRPr="00E106BD">
              <w:rPr>
                <w:szCs w:val="16"/>
              </w:rPr>
              <w:br/>
              <w:t>The treatment must cease if there is failure to produce a clinically significant reduction in the frequency and severity of symptoms after 3 months</w:t>
            </w:r>
            <w:r w:rsidR="00A653CA">
              <w:rPr>
                <w:szCs w:val="16"/>
              </w:rPr>
              <w:t>’</w:t>
            </w:r>
            <w:r w:rsidRPr="00E106BD">
              <w:rPr>
                <w:szCs w:val="16"/>
              </w:rPr>
              <w:t xml:space="preserve"> therapy at a dose of 120 mg every 28 days.</w:t>
            </w:r>
            <w:r w:rsidRPr="00E106BD">
              <w:rPr>
                <w:szCs w:val="16"/>
              </w:rPr>
              <w:br/>
              <w:t>Dosage and tolerance to the drug should be assessed regularly and the dosage should be titrated slowly downwards to determine the minimum effective dose.</w:t>
            </w:r>
          </w:p>
        </w:tc>
        <w:tc>
          <w:tcPr>
            <w:tcW w:w="2552" w:type="dxa"/>
            <w:tcMar>
              <w:top w:w="28" w:type="dxa"/>
              <w:left w:w="28" w:type="dxa"/>
              <w:right w:w="57" w:type="dxa"/>
            </w:tcMar>
          </w:tcPr>
          <w:p w:rsidR="00F05C1E" w:rsidRPr="00E106BD" w:rsidRDefault="00F05C1E" w:rsidP="00DC20A5">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9260</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C9261</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rFonts w:eastAsia="SimSun"/>
                <w:szCs w:val="16"/>
              </w:rPr>
            </w:pPr>
            <w:r w:rsidRPr="00E106BD">
              <w:rPr>
                <w:szCs w:val="16"/>
              </w:rPr>
              <w:t>Acromegaly</w:t>
            </w:r>
            <w:r w:rsidRPr="00E106BD">
              <w:rPr>
                <w:szCs w:val="16"/>
              </w:rPr>
              <w:br/>
              <w:t>The condition must be active; AND</w:t>
            </w:r>
            <w:r w:rsidRPr="00E106BD">
              <w:rPr>
                <w:szCs w:val="16"/>
              </w:rPr>
              <w:br/>
              <w:t>Patient must have persistent elevation of mean growth hormone levels of greater than 2.5 micrograms per litre; AND</w:t>
            </w:r>
            <w:r w:rsidRPr="00E106BD">
              <w:rPr>
                <w:szCs w:val="16"/>
              </w:rPr>
              <w:br/>
              <w:t>The treatment must be after failure of other therapy including dopamine agonists; OR</w:t>
            </w:r>
            <w:r w:rsidRPr="00E106BD">
              <w:rPr>
                <w:szCs w:val="16"/>
              </w:rPr>
              <w:br/>
              <w:t>The treatment must be as interim treatment while awaiting the effects of radiotherapy and where treatment with dopamine agonists has failed; OR</w:t>
            </w:r>
            <w:r w:rsidRPr="00E106BD">
              <w:rPr>
                <w:szCs w:val="16"/>
              </w:rPr>
              <w:br/>
              <w:t>The treatment must be in a patient who is unfit for or unwilling to undergo surgery and where radiotherapy is contraindicated; AND</w:t>
            </w:r>
            <w:r w:rsidRPr="00E106BD">
              <w:rPr>
                <w:szCs w:val="16"/>
              </w:rPr>
              <w:br/>
              <w:t>The treatment must cease in a patient treated with radiotherapy if there is biochemical evidence of remission (normal IGF1) after lanreotide has been withdrawn for at least 4 weeks (8 weeks after the last dose); AND</w:t>
            </w:r>
            <w:r w:rsidRPr="00E106BD">
              <w:rPr>
                <w:szCs w:val="16"/>
              </w:rPr>
              <w:br/>
              <w:t>The treatment must cease if IGF1 is not lower after 3 months of treatment; AND</w:t>
            </w:r>
            <w:r w:rsidRPr="00E106BD">
              <w:rPr>
                <w:szCs w:val="16"/>
              </w:rPr>
              <w:br/>
              <w:t>The treatment must not be given concomitantly with PBS</w:t>
            </w:r>
            <w:r>
              <w:rPr>
                <w:szCs w:val="16"/>
              </w:rPr>
              <w:noBreakHyphen/>
            </w:r>
            <w:r w:rsidRPr="00E106BD">
              <w:rPr>
                <w:szCs w:val="16"/>
              </w:rPr>
              <w:t>subsidised pegvisomant.</w:t>
            </w:r>
            <w:r w:rsidRPr="00E106BD">
              <w:rPr>
                <w:szCs w:val="16"/>
              </w:rPr>
              <w:br/>
              <w:t>In a patient treated with radiotherapy, lanreotide should be withdrawn every 2 years in the 10 years after radiotherapy for assessment of remission.</w:t>
            </w:r>
          </w:p>
        </w:tc>
        <w:tc>
          <w:tcPr>
            <w:tcW w:w="2552" w:type="dxa"/>
            <w:tcMar>
              <w:top w:w="28" w:type="dxa"/>
              <w:left w:w="28" w:type="dxa"/>
              <w:right w:w="57" w:type="dxa"/>
            </w:tcMar>
          </w:tcPr>
          <w:p w:rsidR="00F05C1E" w:rsidRPr="00E106BD" w:rsidRDefault="00F05C1E" w:rsidP="00DC20A5">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9261</w:t>
            </w:r>
          </w:p>
        </w:tc>
      </w:tr>
      <w:tr w:rsidR="00F05C1E" w:rsidRPr="00E106BD" w:rsidDel="00726ACF" w:rsidTr="008929EB">
        <w:tc>
          <w:tcPr>
            <w:tcW w:w="1729" w:type="dxa"/>
            <w:tcMar>
              <w:top w:w="28" w:type="dxa"/>
              <w:left w:w="28" w:type="dxa"/>
            </w:tcMar>
          </w:tcPr>
          <w:p w:rsidR="00F05C1E" w:rsidRPr="00E106BD" w:rsidDel="00726AC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726ACF" w:rsidRDefault="00F05C1E" w:rsidP="00881477">
            <w:pPr>
              <w:spacing w:line="240" w:lineRule="auto"/>
              <w:rPr>
                <w:rFonts w:ascii="Arial" w:hAnsi="Arial" w:cs="Arial"/>
                <w:sz w:val="16"/>
                <w:szCs w:val="16"/>
              </w:rPr>
            </w:pPr>
            <w:r w:rsidRPr="00E106BD">
              <w:rPr>
                <w:rFonts w:ascii="Arial" w:hAnsi="Arial" w:cs="Arial"/>
                <w:sz w:val="16"/>
                <w:szCs w:val="16"/>
              </w:rPr>
              <w:t>C10061</w:t>
            </w:r>
          </w:p>
        </w:tc>
        <w:tc>
          <w:tcPr>
            <w:tcW w:w="709" w:type="dxa"/>
            <w:tcMar>
              <w:top w:w="28" w:type="dxa"/>
              <w:left w:w="28" w:type="dxa"/>
            </w:tcMar>
          </w:tcPr>
          <w:p w:rsidR="00F05C1E" w:rsidRPr="00E106BD" w:rsidDel="00726AC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726ACF" w:rsidRDefault="00F05C1E" w:rsidP="00881477">
            <w:pPr>
              <w:pStyle w:val="mps3-data"/>
              <w:spacing w:before="0" w:after="0"/>
              <w:rPr>
                <w:szCs w:val="16"/>
              </w:rPr>
            </w:pPr>
            <w:r w:rsidRPr="00E106BD">
              <w:rPr>
                <w:szCs w:val="16"/>
              </w:rPr>
              <w:t>Non</w:t>
            </w:r>
            <w:r>
              <w:rPr>
                <w:szCs w:val="16"/>
              </w:rPr>
              <w:noBreakHyphen/>
            </w:r>
            <w:r w:rsidRPr="00E106BD">
              <w:rPr>
                <w:szCs w:val="16"/>
              </w:rPr>
              <w:t>functional gastroenteropancreatic neuroendocrine tumour (GEP</w:t>
            </w:r>
            <w:r>
              <w:rPr>
                <w:szCs w:val="16"/>
              </w:rPr>
              <w:noBreakHyphen/>
            </w:r>
            <w:r w:rsidRPr="00E106BD">
              <w:rPr>
                <w:szCs w:val="16"/>
              </w:rPr>
              <w:t>NET)</w:t>
            </w:r>
            <w:r w:rsidRPr="00E106BD">
              <w:rPr>
                <w:szCs w:val="16"/>
              </w:rPr>
              <w:br/>
              <w:t>The condition must be unresectable locally advanced disease or metastatic disease; AND</w:t>
            </w:r>
            <w:r w:rsidRPr="00E106BD">
              <w:rPr>
                <w:szCs w:val="16"/>
              </w:rPr>
              <w:br/>
              <w:t>The condition must be World Health Organisation (WHO) grade 1 or 2; AND</w:t>
            </w:r>
            <w:r w:rsidRPr="00E106BD">
              <w:rPr>
                <w:szCs w:val="16"/>
              </w:rPr>
              <w:br/>
              <w:t>The treatment must be the sole PBS</w:t>
            </w:r>
            <w:r>
              <w:rPr>
                <w:szCs w:val="16"/>
              </w:rPr>
              <w:noBreakHyphen/>
            </w:r>
            <w:r w:rsidRPr="00E106BD">
              <w:rPr>
                <w:szCs w:val="16"/>
              </w:rPr>
              <w:t>subsidised therapy for this condition.</w:t>
            </w:r>
            <w:r w:rsidRPr="00E106BD">
              <w:rPr>
                <w:szCs w:val="16"/>
              </w:rPr>
              <w:br/>
              <w:t>Patient must be aged 18 years or older.</w:t>
            </w:r>
            <w:r w:rsidRPr="00E106BD">
              <w:rPr>
                <w:szCs w:val="16"/>
              </w:rPr>
              <w:br/>
              <w:t>WHO grade 1 of GEP</w:t>
            </w:r>
            <w:r>
              <w:rPr>
                <w:szCs w:val="16"/>
              </w:rPr>
              <w:noBreakHyphen/>
            </w:r>
            <w:r w:rsidRPr="00E106BD">
              <w:rPr>
                <w:szCs w:val="16"/>
              </w:rPr>
              <w:t>NET is defined as a mitotic count (10HPF) of less than 2 and Ki</w:t>
            </w:r>
            <w:r>
              <w:rPr>
                <w:szCs w:val="16"/>
              </w:rPr>
              <w:noBreakHyphen/>
            </w:r>
            <w:r w:rsidRPr="00E106BD">
              <w:rPr>
                <w:szCs w:val="16"/>
              </w:rPr>
              <w:t>67 index (%) of less than or equal to 2.</w:t>
            </w:r>
            <w:r w:rsidRPr="00E106BD">
              <w:rPr>
                <w:szCs w:val="16"/>
              </w:rPr>
              <w:br/>
              <w:t>WHO grade 2 of GEP</w:t>
            </w:r>
            <w:r>
              <w:rPr>
                <w:szCs w:val="16"/>
              </w:rPr>
              <w:noBreakHyphen/>
            </w:r>
            <w:r w:rsidRPr="00E106BD">
              <w:rPr>
                <w:szCs w:val="16"/>
              </w:rPr>
              <w:t>NET is defined as a mitotic count (10HPF) of 2</w:t>
            </w:r>
            <w:r>
              <w:rPr>
                <w:szCs w:val="16"/>
              </w:rPr>
              <w:noBreakHyphen/>
            </w:r>
            <w:r w:rsidRPr="00E106BD">
              <w:rPr>
                <w:szCs w:val="16"/>
              </w:rPr>
              <w:t>20 and Ki</w:t>
            </w:r>
            <w:r>
              <w:rPr>
                <w:szCs w:val="16"/>
              </w:rPr>
              <w:noBreakHyphen/>
            </w:r>
            <w:r w:rsidRPr="00E106BD">
              <w:rPr>
                <w:szCs w:val="16"/>
              </w:rPr>
              <w:t>67 index (%) of 3</w:t>
            </w:r>
            <w:r>
              <w:rPr>
                <w:szCs w:val="16"/>
              </w:rPr>
              <w:noBreakHyphen/>
            </w:r>
            <w:r w:rsidRPr="00E106BD">
              <w:rPr>
                <w:szCs w:val="16"/>
              </w:rPr>
              <w:t>20.</w:t>
            </w:r>
          </w:p>
        </w:tc>
        <w:tc>
          <w:tcPr>
            <w:tcW w:w="2552" w:type="dxa"/>
            <w:tcMar>
              <w:top w:w="28" w:type="dxa"/>
              <w:left w:w="28" w:type="dxa"/>
              <w:right w:w="57" w:type="dxa"/>
            </w:tcMar>
          </w:tcPr>
          <w:p w:rsidR="00F05C1E" w:rsidRPr="00E106BD" w:rsidDel="00726ACF"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10061</w:t>
            </w:r>
          </w:p>
        </w:tc>
      </w:tr>
      <w:tr w:rsidR="00F05C1E" w:rsidRPr="00E106BD" w:rsidDel="00726ACF" w:rsidTr="008929EB">
        <w:tc>
          <w:tcPr>
            <w:tcW w:w="1729" w:type="dxa"/>
            <w:tcMar>
              <w:top w:w="28" w:type="dxa"/>
              <w:left w:w="28" w:type="dxa"/>
            </w:tcMar>
          </w:tcPr>
          <w:p w:rsidR="00F05C1E" w:rsidRPr="00E106BD" w:rsidDel="00726AC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726ACF" w:rsidRDefault="00F05C1E" w:rsidP="00881477">
            <w:pPr>
              <w:spacing w:line="240" w:lineRule="auto"/>
              <w:rPr>
                <w:rFonts w:ascii="Arial" w:hAnsi="Arial" w:cs="Arial"/>
                <w:sz w:val="16"/>
                <w:szCs w:val="16"/>
              </w:rPr>
            </w:pPr>
            <w:r w:rsidRPr="00E106BD">
              <w:rPr>
                <w:rFonts w:ascii="Arial" w:hAnsi="Arial" w:cs="Arial"/>
                <w:sz w:val="16"/>
                <w:szCs w:val="16"/>
              </w:rPr>
              <w:t>C10075</w:t>
            </w:r>
          </w:p>
        </w:tc>
        <w:tc>
          <w:tcPr>
            <w:tcW w:w="709" w:type="dxa"/>
            <w:tcMar>
              <w:top w:w="28" w:type="dxa"/>
              <w:left w:w="28" w:type="dxa"/>
            </w:tcMar>
          </w:tcPr>
          <w:p w:rsidR="00F05C1E" w:rsidRPr="00E106BD" w:rsidDel="00726AC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726ACF" w:rsidRDefault="00F05C1E" w:rsidP="00881477">
            <w:pPr>
              <w:pStyle w:val="mps3-data"/>
              <w:spacing w:before="0" w:after="0"/>
              <w:rPr>
                <w:szCs w:val="16"/>
              </w:rPr>
            </w:pPr>
            <w:r w:rsidRPr="00E106BD">
              <w:rPr>
                <w:szCs w:val="16"/>
              </w:rPr>
              <w:t>Non</w:t>
            </w:r>
            <w:r>
              <w:rPr>
                <w:szCs w:val="16"/>
              </w:rPr>
              <w:noBreakHyphen/>
            </w:r>
            <w:r w:rsidRPr="00E106BD">
              <w:rPr>
                <w:szCs w:val="16"/>
              </w:rPr>
              <w:t>functional gastroenteropancreatic neuroendocrine tumour (GEP</w:t>
            </w:r>
            <w:r>
              <w:rPr>
                <w:szCs w:val="16"/>
              </w:rPr>
              <w:noBreakHyphen/>
            </w:r>
            <w:r w:rsidRPr="00E106BD">
              <w:rPr>
                <w:szCs w:val="16"/>
              </w:rPr>
              <w:t>NET)</w:t>
            </w:r>
            <w:r w:rsidRPr="00E106BD">
              <w:rPr>
                <w:szCs w:val="16"/>
              </w:rPr>
              <w:br/>
              <w:t>Patient must have previously received PBS</w:t>
            </w:r>
            <w:r>
              <w:rPr>
                <w:szCs w:val="16"/>
              </w:rPr>
              <w:noBreakHyphen/>
            </w:r>
            <w:r w:rsidRPr="00E106BD">
              <w:rPr>
                <w:szCs w:val="16"/>
              </w:rPr>
              <w:t>subsidised treatment with this drug for this condition; AND</w:t>
            </w:r>
            <w:r w:rsidRPr="00E106BD">
              <w:rPr>
                <w:szCs w:val="16"/>
              </w:rPr>
              <w:br/>
              <w:t>The condition must be unresectable locally advanced disease or metastatic disease; AND</w:t>
            </w:r>
            <w:r w:rsidRPr="00E106BD">
              <w:rPr>
                <w:szCs w:val="16"/>
              </w:rPr>
              <w:br/>
              <w:t>The condition must be World Health Organisation (WHO) grade 1 or 2; AND</w:t>
            </w:r>
            <w:r w:rsidRPr="00E106BD">
              <w:rPr>
                <w:szCs w:val="16"/>
              </w:rPr>
              <w:br/>
              <w:t>The treatment must be the sole PBS</w:t>
            </w:r>
            <w:r>
              <w:rPr>
                <w:szCs w:val="16"/>
              </w:rPr>
              <w:noBreakHyphen/>
            </w:r>
            <w:r w:rsidRPr="00E106BD">
              <w:rPr>
                <w:szCs w:val="16"/>
              </w:rPr>
              <w:t>subsidised therapy for this condition.</w:t>
            </w:r>
            <w:r w:rsidRPr="00E106BD">
              <w:rPr>
                <w:szCs w:val="16"/>
              </w:rPr>
              <w:br/>
              <w:t>Patient must be aged 18 years or older.</w:t>
            </w:r>
            <w:r w:rsidRPr="00E106BD">
              <w:rPr>
                <w:szCs w:val="16"/>
              </w:rPr>
              <w:br/>
              <w:t>WHO grade 1 of GEP</w:t>
            </w:r>
            <w:r>
              <w:rPr>
                <w:szCs w:val="16"/>
              </w:rPr>
              <w:noBreakHyphen/>
            </w:r>
            <w:r w:rsidRPr="00E106BD">
              <w:rPr>
                <w:szCs w:val="16"/>
              </w:rPr>
              <w:t>NET is defined as a mitotic count (10HPF) of less than 2 and Ki</w:t>
            </w:r>
            <w:r>
              <w:rPr>
                <w:szCs w:val="16"/>
              </w:rPr>
              <w:noBreakHyphen/>
            </w:r>
            <w:r w:rsidRPr="00E106BD">
              <w:rPr>
                <w:szCs w:val="16"/>
              </w:rPr>
              <w:t>67 index (%) of less than or equal to 2.</w:t>
            </w:r>
            <w:r w:rsidRPr="00E106BD">
              <w:rPr>
                <w:szCs w:val="16"/>
              </w:rPr>
              <w:br/>
              <w:t>WHO grade 2 of GEP</w:t>
            </w:r>
            <w:r>
              <w:rPr>
                <w:szCs w:val="16"/>
              </w:rPr>
              <w:noBreakHyphen/>
            </w:r>
            <w:r w:rsidRPr="00E106BD">
              <w:rPr>
                <w:szCs w:val="16"/>
              </w:rPr>
              <w:t>NET is defined as a mitotic count (10HPF) of 2</w:t>
            </w:r>
            <w:r>
              <w:rPr>
                <w:szCs w:val="16"/>
              </w:rPr>
              <w:noBreakHyphen/>
            </w:r>
            <w:r w:rsidRPr="00E106BD">
              <w:rPr>
                <w:szCs w:val="16"/>
              </w:rPr>
              <w:t>20 and Ki</w:t>
            </w:r>
            <w:r>
              <w:rPr>
                <w:szCs w:val="16"/>
              </w:rPr>
              <w:noBreakHyphen/>
            </w:r>
            <w:r w:rsidRPr="00E106BD">
              <w:rPr>
                <w:szCs w:val="16"/>
              </w:rPr>
              <w:t>67 index (%) of 3</w:t>
            </w:r>
            <w:r>
              <w:rPr>
                <w:szCs w:val="16"/>
              </w:rPr>
              <w:noBreakHyphen/>
            </w:r>
            <w:r w:rsidRPr="00E106BD">
              <w:rPr>
                <w:szCs w:val="16"/>
              </w:rPr>
              <w:t>20.</w:t>
            </w:r>
          </w:p>
        </w:tc>
        <w:tc>
          <w:tcPr>
            <w:tcW w:w="2552" w:type="dxa"/>
            <w:tcMar>
              <w:top w:w="28" w:type="dxa"/>
              <w:left w:w="28" w:type="dxa"/>
              <w:right w:w="57" w:type="dxa"/>
            </w:tcMar>
          </w:tcPr>
          <w:p w:rsidR="00F05C1E" w:rsidRPr="00E106BD" w:rsidDel="00726ACF"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10075</w:t>
            </w:r>
          </w:p>
        </w:tc>
      </w:tr>
      <w:tr w:rsidR="00F05C1E" w:rsidRPr="00E106BD" w:rsidDel="00726ACF" w:rsidTr="008929EB">
        <w:tc>
          <w:tcPr>
            <w:tcW w:w="1729" w:type="dxa"/>
            <w:tcMar>
              <w:top w:w="28" w:type="dxa"/>
              <w:left w:w="28" w:type="dxa"/>
            </w:tcMar>
          </w:tcPr>
          <w:p w:rsidR="00F05C1E" w:rsidRPr="00E106BD" w:rsidDel="00726AC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726ACF" w:rsidRDefault="00F05C1E" w:rsidP="00881477">
            <w:pPr>
              <w:spacing w:line="240" w:lineRule="auto"/>
              <w:rPr>
                <w:rFonts w:ascii="Arial" w:hAnsi="Arial" w:cs="Arial"/>
                <w:sz w:val="16"/>
                <w:szCs w:val="16"/>
              </w:rPr>
            </w:pPr>
            <w:r w:rsidRPr="00E106BD">
              <w:rPr>
                <w:rFonts w:ascii="Arial" w:hAnsi="Arial" w:cs="Arial"/>
                <w:sz w:val="16"/>
                <w:szCs w:val="16"/>
              </w:rPr>
              <w:t>C10077</w:t>
            </w:r>
          </w:p>
        </w:tc>
        <w:tc>
          <w:tcPr>
            <w:tcW w:w="709" w:type="dxa"/>
            <w:tcMar>
              <w:top w:w="28" w:type="dxa"/>
              <w:left w:w="28" w:type="dxa"/>
            </w:tcMar>
          </w:tcPr>
          <w:p w:rsidR="00F05C1E" w:rsidRPr="00E106BD" w:rsidDel="00726AC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726ACF" w:rsidRDefault="00F05C1E" w:rsidP="00881477">
            <w:pPr>
              <w:pStyle w:val="mps3-data"/>
              <w:spacing w:before="0" w:after="0"/>
              <w:rPr>
                <w:szCs w:val="16"/>
              </w:rPr>
            </w:pPr>
            <w:r w:rsidRPr="00E106BD">
              <w:rPr>
                <w:szCs w:val="16"/>
              </w:rPr>
              <w:t>Non</w:t>
            </w:r>
            <w:r>
              <w:rPr>
                <w:szCs w:val="16"/>
              </w:rPr>
              <w:noBreakHyphen/>
            </w:r>
            <w:r w:rsidRPr="00E106BD">
              <w:rPr>
                <w:szCs w:val="16"/>
              </w:rPr>
              <w:t>functional gastroenteropancreatic neuroendocrine tumour (GEP</w:t>
            </w:r>
            <w:r>
              <w:rPr>
                <w:szCs w:val="16"/>
              </w:rPr>
              <w:noBreakHyphen/>
            </w:r>
            <w:r w:rsidRPr="00E106BD">
              <w:rPr>
                <w:szCs w:val="16"/>
              </w:rPr>
              <w:t>NET)</w:t>
            </w:r>
            <w:r w:rsidRPr="00E106BD">
              <w:rPr>
                <w:szCs w:val="16"/>
              </w:rPr>
              <w:br/>
              <w:t>The condition must be unresectable locally advanced disease or metastatic disease; AND</w:t>
            </w:r>
            <w:r w:rsidRPr="00E106BD">
              <w:rPr>
                <w:szCs w:val="16"/>
              </w:rPr>
              <w:br/>
              <w:t>The condition must be World Health Organisation (WHO) grade 1 or 2; AND</w:t>
            </w:r>
            <w:r w:rsidRPr="00E106BD">
              <w:rPr>
                <w:szCs w:val="16"/>
              </w:rPr>
              <w:br/>
              <w:t>The treatment must be the sole PBS</w:t>
            </w:r>
            <w:r>
              <w:rPr>
                <w:szCs w:val="16"/>
              </w:rPr>
              <w:noBreakHyphen/>
            </w:r>
            <w:r w:rsidRPr="00E106BD">
              <w:rPr>
                <w:szCs w:val="16"/>
              </w:rPr>
              <w:t>subsidised therapy for this condition.</w:t>
            </w:r>
            <w:r w:rsidRPr="00E106BD">
              <w:rPr>
                <w:szCs w:val="16"/>
              </w:rPr>
              <w:br/>
              <w:t>Patient must be aged 18 years or older.</w:t>
            </w:r>
            <w:r w:rsidRPr="00E106BD">
              <w:rPr>
                <w:szCs w:val="16"/>
              </w:rPr>
              <w:br/>
              <w:t>WHO grade 1 of GEP</w:t>
            </w:r>
            <w:r>
              <w:rPr>
                <w:szCs w:val="16"/>
              </w:rPr>
              <w:noBreakHyphen/>
            </w:r>
            <w:r w:rsidRPr="00E106BD">
              <w:rPr>
                <w:szCs w:val="16"/>
              </w:rPr>
              <w:t>NET is defined as a mitotic count (10HPF) of less than 2 and Ki</w:t>
            </w:r>
            <w:r>
              <w:rPr>
                <w:szCs w:val="16"/>
              </w:rPr>
              <w:noBreakHyphen/>
            </w:r>
            <w:r w:rsidRPr="00E106BD">
              <w:rPr>
                <w:szCs w:val="16"/>
              </w:rPr>
              <w:t>67 index (%) of less than or equal to 2.</w:t>
            </w:r>
            <w:r w:rsidRPr="00E106BD">
              <w:rPr>
                <w:szCs w:val="16"/>
              </w:rPr>
              <w:br/>
              <w:t>WHO grade 2 of GEP</w:t>
            </w:r>
            <w:r>
              <w:rPr>
                <w:szCs w:val="16"/>
              </w:rPr>
              <w:noBreakHyphen/>
            </w:r>
            <w:r w:rsidRPr="00E106BD">
              <w:rPr>
                <w:szCs w:val="16"/>
              </w:rPr>
              <w:t>NET is defined as a mitotic count (10HPF) of 2</w:t>
            </w:r>
            <w:r>
              <w:rPr>
                <w:szCs w:val="16"/>
              </w:rPr>
              <w:noBreakHyphen/>
            </w:r>
            <w:r w:rsidRPr="00E106BD">
              <w:rPr>
                <w:szCs w:val="16"/>
              </w:rPr>
              <w:t>20 and Ki</w:t>
            </w:r>
            <w:r>
              <w:rPr>
                <w:szCs w:val="16"/>
              </w:rPr>
              <w:noBreakHyphen/>
            </w:r>
            <w:r w:rsidRPr="00E106BD">
              <w:rPr>
                <w:szCs w:val="16"/>
              </w:rPr>
              <w:t>67 index (%) of 3</w:t>
            </w:r>
            <w:r>
              <w:rPr>
                <w:szCs w:val="16"/>
              </w:rPr>
              <w:noBreakHyphen/>
            </w:r>
            <w:r w:rsidRPr="00E106BD">
              <w:rPr>
                <w:szCs w:val="16"/>
              </w:rPr>
              <w:t>20.</w:t>
            </w:r>
          </w:p>
        </w:tc>
        <w:tc>
          <w:tcPr>
            <w:tcW w:w="2552" w:type="dxa"/>
            <w:tcMar>
              <w:top w:w="28" w:type="dxa"/>
              <w:left w:w="28" w:type="dxa"/>
              <w:right w:w="57" w:type="dxa"/>
            </w:tcMar>
          </w:tcPr>
          <w:p w:rsidR="00F05C1E" w:rsidRPr="00E106BD" w:rsidDel="00726ACF"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10077</w:t>
            </w:r>
          </w:p>
        </w:tc>
      </w:tr>
      <w:tr w:rsidR="00592D6B" w:rsidRPr="00E106BD"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Lanthanum</w:t>
            </w:r>
          </w:p>
        </w:tc>
        <w:tc>
          <w:tcPr>
            <w:tcW w:w="709" w:type="dxa"/>
            <w:tcMar>
              <w:top w:w="28" w:type="dxa"/>
              <w:left w:w="28" w:type="dxa"/>
            </w:tcMar>
          </w:tcPr>
          <w:p w:rsidR="00592D6B" w:rsidRPr="00592D6B" w:rsidRDefault="00592D6B" w:rsidP="00881477">
            <w:pPr>
              <w:spacing w:line="240" w:lineRule="auto"/>
              <w:rPr>
                <w:rFonts w:ascii="Arial" w:eastAsia="SimSun" w:hAnsi="Arial" w:cs="Arial"/>
                <w:sz w:val="16"/>
                <w:szCs w:val="16"/>
                <w:lang w:eastAsia="zh-CN"/>
              </w:rPr>
            </w:pPr>
            <w:r w:rsidRPr="00592D6B">
              <w:rPr>
                <w:rFonts w:ascii="Arial" w:hAnsi="Arial" w:cs="Arial"/>
                <w:sz w:val="16"/>
                <w:szCs w:val="16"/>
              </w:rPr>
              <w:t>C5530</w:t>
            </w:r>
          </w:p>
        </w:tc>
        <w:tc>
          <w:tcPr>
            <w:tcW w:w="709" w:type="dxa"/>
            <w:tcMar>
              <w:top w:w="28" w:type="dxa"/>
              <w:left w:w="28" w:type="dxa"/>
            </w:tcMar>
          </w:tcPr>
          <w:p w:rsidR="00592D6B" w:rsidRPr="00592D6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592D6B" w:rsidRDefault="00592D6B" w:rsidP="00881477">
            <w:pPr>
              <w:spacing w:line="240" w:lineRule="auto"/>
              <w:rPr>
                <w:rFonts w:ascii="Arial" w:eastAsia="SimSun" w:hAnsi="Arial" w:cs="Arial"/>
                <w:sz w:val="16"/>
                <w:szCs w:val="16"/>
                <w:lang w:eastAsia="zh-CN"/>
              </w:rPr>
            </w:pPr>
            <w:r w:rsidRPr="00592D6B">
              <w:rPr>
                <w:rFonts w:ascii="Arial" w:hAnsi="Arial" w:cs="Arial"/>
                <w:sz w:val="16"/>
                <w:szCs w:val="16"/>
              </w:rPr>
              <w:t>Hyperphosphataemia</w:t>
            </w:r>
            <w:r w:rsidRPr="00592D6B">
              <w:rPr>
                <w:rFonts w:ascii="Arial" w:hAnsi="Arial" w:cs="Arial"/>
                <w:sz w:val="16"/>
                <w:szCs w:val="16"/>
              </w:rPr>
              <w:br/>
              <w:t>Initiation and stabilisation</w:t>
            </w:r>
            <w:r w:rsidRPr="00592D6B">
              <w:rPr>
                <w:rFonts w:ascii="Arial" w:hAnsi="Arial" w:cs="Arial"/>
                <w:sz w:val="16"/>
                <w:szCs w:val="16"/>
              </w:rPr>
              <w:br/>
              <w:t>The condition must not be adequately controlled by calcium; AND</w:t>
            </w:r>
            <w:r w:rsidRPr="00592D6B">
              <w:rPr>
                <w:rFonts w:ascii="Arial" w:hAnsi="Arial" w:cs="Arial"/>
                <w:sz w:val="16"/>
                <w:szCs w:val="16"/>
              </w:rPr>
              <w:br/>
              <w:t>Patient must have a serum phosphate of greater than 1.6 mmol per L at the commencement of therapy; OR</w:t>
            </w:r>
            <w:r w:rsidRPr="00592D6B">
              <w:rPr>
                <w:rFonts w:ascii="Arial" w:hAnsi="Arial" w:cs="Arial"/>
                <w:sz w:val="16"/>
                <w:szCs w:val="16"/>
              </w:rPr>
              <w:br/>
              <w:t>The condition must be where a serum calcium times phosphate product is greater than 4 at the commencement of therapy; AND</w:t>
            </w:r>
            <w:r w:rsidRPr="00592D6B">
              <w:rPr>
                <w:rFonts w:ascii="Arial" w:hAnsi="Arial" w:cs="Arial"/>
                <w:sz w:val="16"/>
                <w:szCs w:val="16"/>
              </w:rPr>
              <w:br/>
              <w:t>The treatment must not be used in combination with any other non-calcium phosphate binding agents.</w:t>
            </w:r>
            <w:r w:rsidRPr="00592D6B">
              <w:rPr>
                <w:rFonts w:ascii="Arial" w:hAnsi="Arial" w:cs="Arial"/>
                <w:sz w:val="16"/>
                <w:szCs w:val="16"/>
              </w:rPr>
              <w:br/>
              <w:t>Patient must be undergoing dialysis for chronic kidney disease.</w:t>
            </w:r>
          </w:p>
        </w:tc>
        <w:tc>
          <w:tcPr>
            <w:tcW w:w="2552" w:type="dxa"/>
            <w:tcMar>
              <w:top w:w="28" w:type="dxa"/>
              <w:left w:w="28" w:type="dxa"/>
              <w:right w:w="57" w:type="dxa"/>
            </w:tcMar>
          </w:tcPr>
          <w:p w:rsidR="00592D6B" w:rsidRPr="00592D6B" w:rsidRDefault="00592D6B" w:rsidP="00150E01">
            <w:pPr>
              <w:spacing w:line="240" w:lineRule="auto"/>
              <w:rPr>
                <w:rFonts w:ascii="Arial" w:eastAsia="SimSun" w:hAnsi="Arial" w:cs="Arial"/>
                <w:sz w:val="16"/>
                <w:szCs w:val="16"/>
                <w:lang w:eastAsia="zh-CN"/>
              </w:rPr>
            </w:pPr>
            <w:r w:rsidRPr="00592D6B">
              <w:rPr>
                <w:rFonts w:ascii="Arial" w:hAnsi="Arial" w:cs="Arial"/>
                <w:sz w:val="16"/>
                <w:szCs w:val="16"/>
              </w:rPr>
              <w:t>Compliance with Authority Required procedures - Streamlined Authority Code 5530</w:t>
            </w:r>
          </w:p>
        </w:tc>
      </w:tr>
      <w:tr w:rsidR="00592D6B" w:rsidRPr="00E106BD"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C9762</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Hyperphosphataemia</w:t>
            </w:r>
            <w:r w:rsidRPr="00E106BD">
              <w:rPr>
                <w:rFonts w:ascii="Arial" w:eastAsia="SimSun" w:hAnsi="Arial" w:cs="Arial"/>
                <w:sz w:val="16"/>
                <w:szCs w:val="16"/>
                <w:lang w:eastAsia="zh-CN"/>
              </w:rPr>
              <w:br/>
              <w:t>Initiation and stabilisation</w:t>
            </w:r>
            <w:r w:rsidRPr="00E106BD">
              <w:rPr>
                <w:rFonts w:ascii="Arial" w:eastAsia="SimSun" w:hAnsi="Arial" w:cs="Arial"/>
                <w:sz w:val="16"/>
                <w:szCs w:val="16"/>
                <w:lang w:eastAsia="zh-CN"/>
              </w:rPr>
              <w:br/>
              <w:t>The condition must not be adequately controlled by calcium; AND</w:t>
            </w:r>
            <w:r w:rsidRPr="00E106BD">
              <w:rPr>
                <w:rFonts w:ascii="Arial" w:eastAsia="SimSun" w:hAnsi="Arial" w:cs="Arial"/>
                <w:sz w:val="16"/>
                <w:szCs w:val="16"/>
                <w:lang w:eastAsia="zh-CN"/>
              </w:rPr>
              <w:br/>
              <w:t>Patient must have a serum phosphate of greater than 1.6 mmol per L at the commencement of therapy; OR</w:t>
            </w:r>
            <w:r w:rsidRPr="00E106BD">
              <w:rPr>
                <w:rFonts w:ascii="Arial" w:eastAsia="SimSun" w:hAnsi="Arial" w:cs="Arial"/>
                <w:sz w:val="16"/>
                <w:szCs w:val="16"/>
                <w:lang w:eastAsia="zh-CN"/>
              </w:rPr>
              <w:br/>
              <w:t>The condition must be where a serum calcium times phosphate product is greater than 4 at the commencement of therapy; AND</w:t>
            </w:r>
            <w:r w:rsidRPr="00E106BD">
              <w:rPr>
                <w:rFonts w:ascii="Arial" w:eastAsia="SimSun" w:hAnsi="Arial" w:cs="Arial"/>
                <w:sz w:val="16"/>
                <w:szCs w:val="16"/>
                <w:lang w:eastAsia="zh-CN"/>
              </w:rPr>
              <w:br/>
              <w:t>The treatment must not be used in combination with any other non</w:t>
            </w:r>
            <w:r>
              <w:rPr>
                <w:rFonts w:ascii="Arial" w:eastAsia="SimSun" w:hAnsi="Arial" w:cs="Arial"/>
                <w:sz w:val="16"/>
                <w:szCs w:val="16"/>
                <w:lang w:eastAsia="zh-CN"/>
              </w:rPr>
              <w:noBreakHyphen/>
            </w:r>
            <w:r w:rsidRPr="00E106BD">
              <w:rPr>
                <w:rFonts w:ascii="Arial" w:eastAsia="SimSun" w:hAnsi="Arial" w:cs="Arial"/>
                <w:sz w:val="16"/>
                <w:szCs w:val="16"/>
                <w:lang w:eastAsia="zh-CN"/>
              </w:rPr>
              <w:t>calcium phosphate binding agents.</w:t>
            </w:r>
            <w:r w:rsidRPr="00E106BD">
              <w:rPr>
                <w:rFonts w:ascii="Arial" w:eastAsia="SimSun" w:hAnsi="Arial" w:cs="Arial"/>
                <w:sz w:val="16"/>
                <w:szCs w:val="16"/>
                <w:lang w:eastAsia="zh-CN"/>
              </w:rPr>
              <w:br/>
              <w:t>Patient must be undergoing dialysis for chronic kidney disease.</w:t>
            </w:r>
          </w:p>
        </w:tc>
        <w:tc>
          <w:tcPr>
            <w:tcW w:w="2552" w:type="dxa"/>
            <w:tcMar>
              <w:top w:w="28" w:type="dxa"/>
              <w:left w:w="28" w:type="dxa"/>
              <w:right w:w="57" w:type="dxa"/>
            </w:tcMar>
          </w:tcPr>
          <w:p w:rsidR="00592D6B" w:rsidRPr="00E106BD" w:rsidRDefault="00592D6B" w:rsidP="00150E01">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9762</w:t>
            </w:r>
          </w:p>
        </w:tc>
      </w:tr>
      <w:tr w:rsidR="00592D6B" w:rsidRPr="00E106BD" w:rsidTr="008929EB">
        <w:trPr>
          <w:cantSplit/>
        </w:trPr>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Ledipasvir with sofosbuvir</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C5944</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P5944</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8 weeks.</w:t>
            </w:r>
          </w:p>
        </w:tc>
        <w:tc>
          <w:tcPr>
            <w:tcW w:w="2552" w:type="dxa"/>
            <w:tcMar>
              <w:top w:w="28" w:type="dxa"/>
              <w:left w:w="28" w:type="dxa"/>
              <w:right w:w="57" w:type="dxa"/>
            </w:tcMar>
          </w:tcPr>
          <w:p w:rsidR="00592D6B" w:rsidRPr="00E106BD" w:rsidRDefault="00592D6B" w:rsidP="00AE5681">
            <w:pPr>
              <w:keepNext/>
              <w:keepLines/>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592D6B" w:rsidRPr="00E106BD"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C5969</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P5969</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12 weeks.</w:t>
            </w:r>
          </w:p>
        </w:tc>
        <w:tc>
          <w:tcPr>
            <w:tcW w:w="2552" w:type="dxa"/>
            <w:tcMar>
              <w:top w:w="28" w:type="dxa"/>
              <w:left w:w="28" w:type="dxa"/>
              <w:right w:w="57" w:type="dxa"/>
            </w:tcMar>
          </w:tcPr>
          <w:p w:rsidR="00592D6B" w:rsidRPr="00E106BD" w:rsidRDefault="00592D6B"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592D6B" w:rsidRPr="00E106BD" w:rsidTr="008929EB">
        <w:trPr>
          <w:cantSplit/>
        </w:trPr>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C5972</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P5972</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24 weeks.</w:t>
            </w:r>
          </w:p>
        </w:tc>
        <w:tc>
          <w:tcPr>
            <w:tcW w:w="2552" w:type="dxa"/>
            <w:tcMar>
              <w:top w:w="28" w:type="dxa"/>
              <w:left w:w="28" w:type="dxa"/>
              <w:right w:w="57" w:type="dxa"/>
            </w:tcMar>
          </w:tcPr>
          <w:p w:rsidR="00592D6B" w:rsidRPr="00E106BD" w:rsidRDefault="00592D6B"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6110AD" w:rsidRPr="00E106BD" w:rsidTr="008929EB">
        <w:tc>
          <w:tcPr>
            <w:tcW w:w="17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6110AD" w:rsidRPr="00E106BD" w:rsidRDefault="006110AD" w:rsidP="00881477">
            <w:pPr>
              <w:spacing w:line="240" w:lineRule="auto"/>
              <w:rPr>
                <w:rFonts w:ascii="Arial" w:eastAsia="SimSun" w:hAnsi="Arial" w:cs="Arial"/>
                <w:sz w:val="16"/>
                <w:szCs w:val="16"/>
                <w:lang w:eastAsia="zh-CN"/>
              </w:rPr>
            </w:pPr>
            <w:bookmarkStart w:id="185" w:name="CU_328596083"/>
            <w:bookmarkStart w:id="186" w:name="CU_329596577"/>
            <w:bookmarkStart w:id="187" w:name="CU_330601936"/>
            <w:bookmarkStart w:id="188" w:name="CU_331603508"/>
            <w:bookmarkEnd w:id="185"/>
            <w:bookmarkEnd w:id="186"/>
            <w:bookmarkEnd w:id="187"/>
            <w:bookmarkEnd w:id="188"/>
            <w:r w:rsidRPr="00E106BD">
              <w:rPr>
                <w:rFonts w:ascii="Arial" w:eastAsia="SimSun" w:hAnsi="Arial" w:cs="Arial"/>
                <w:sz w:val="16"/>
                <w:szCs w:val="16"/>
                <w:lang w:eastAsia="zh-CN"/>
              </w:rPr>
              <w:t>Lenalidomide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6110AD" w:rsidRPr="006110AD" w:rsidRDefault="006110AD" w:rsidP="00881477">
            <w:pPr>
              <w:spacing w:line="240" w:lineRule="auto"/>
              <w:rPr>
                <w:rFonts w:ascii="Arial" w:eastAsia="SimSun" w:hAnsi="Arial" w:cs="Arial"/>
                <w:sz w:val="16"/>
                <w:szCs w:val="16"/>
                <w:lang w:eastAsia="zh-CN"/>
              </w:rPr>
            </w:pPr>
            <w:r w:rsidRPr="006110AD">
              <w:rPr>
                <w:rFonts w:ascii="Arial" w:hAnsi="Arial" w:cs="Arial"/>
                <w:sz w:val="16"/>
                <w:szCs w:val="16"/>
              </w:rPr>
              <w:t>C4282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6110AD" w:rsidRPr="006110AD" w:rsidRDefault="006110AD" w:rsidP="00881477">
            <w:pPr>
              <w:spacing w:line="240" w:lineRule="auto"/>
              <w:rPr>
                <w:rFonts w:ascii="Arial" w:eastAsia="SimSun" w:hAnsi="Arial" w:cs="Arial"/>
                <w:sz w:val="16"/>
                <w:szCs w:val="16"/>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6110AD" w:rsidRPr="006110AD" w:rsidRDefault="006110AD" w:rsidP="00881477">
            <w:pPr>
              <w:spacing w:line="240" w:lineRule="auto"/>
              <w:rPr>
                <w:rFonts w:ascii="Arial" w:eastAsia="SimSun" w:hAnsi="Arial" w:cs="Arial"/>
                <w:sz w:val="16"/>
                <w:szCs w:val="16"/>
                <w:lang w:eastAsia="zh-CN"/>
              </w:rPr>
            </w:pPr>
            <w:r w:rsidRPr="006110AD">
              <w:rPr>
                <w:rFonts w:ascii="Arial" w:hAnsi="Arial" w:cs="Arial"/>
                <w:sz w:val="16"/>
                <w:szCs w:val="16"/>
              </w:rPr>
              <w:t>Myelodysplastic syndrome</w:t>
            </w:r>
            <w:r w:rsidRPr="006110AD">
              <w:rPr>
                <w:rFonts w:ascii="Arial" w:hAnsi="Arial" w:cs="Arial"/>
                <w:sz w:val="16"/>
                <w:szCs w:val="16"/>
              </w:rPr>
              <w:br/>
              <w:t>Continuing treatment</w:t>
            </w:r>
            <w:r w:rsidRPr="006110AD">
              <w:rPr>
                <w:rFonts w:ascii="Arial" w:hAnsi="Arial" w:cs="Arial"/>
                <w:sz w:val="16"/>
                <w:szCs w:val="16"/>
              </w:rPr>
              <w:br/>
              <w:t>Patient must be classified as Low risk or Intermediate-1 according to the International Prognostic Scoring System (IPSS); AND</w:t>
            </w:r>
            <w:r w:rsidRPr="006110AD">
              <w:rPr>
                <w:rFonts w:ascii="Arial" w:hAnsi="Arial" w:cs="Arial"/>
                <w:sz w:val="16"/>
                <w:szCs w:val="16"/>
              </w:rPr>
              <w:br/>
              <w:t>Patient must have a deletion 5q cytogenetic abnormality with or without additional cytogenetic abnormalities; AND</w:t>
            </w:r>
            <w:r w:rsidRPr="006110AD">
              <w:rPr>
                <w:rFonts w:ascii="Arial" w:hAnsi="Arial" w:cs="Arial"/>
                <w:sz w:val="16"/>
                <w:szCs w:val="16"/>
              </w:rPr>
              <w:br/>
              <w:t>Patient must have received PBS-subsidised initial therapy with lenalidomide for myelodysplastic syndrome; AND</w:t>
            </w:r>
            <w:r w:rsidRPr="006110AD">
              <w:rPr>
                <w:rFonts w:ascii="Arial" w:hAnsi="Arial" w:cs="Arial"/>
                <w:sz w:val="16"/>
                <w:szCs w:val="16"/>
              </w:rPr>
              <w:br/>
              <w:t>Patient must have achieved and maintained transfusion independence; or least a 50% reduction in red blood cell unit transfusion requirements compared with the four month period prior to commencing initial PBS-subsidised therapy with lenalidomide; AND</w:t>
            </w:r>
            <w:r w:rsidRPr="006110AD">
              <w:rPr>
                <w:rFonts w:ascii="Arial" w:hAnsi="Arial" w:cs="Arial"/>
                <w:sz w:val="16"/>
                <w:szCs w:val="16"/>
              </w:rPr>
              <w:br/>
              <w:t>Patient must not have progressive disease.</w:t>
            </w:r>
            <w:r w:rsidRPr="006110AD">
              <w:rPr>
                <w:rFonts w:ascii="Arial" w:hAnsi="Arial" w:cs="Arial"/>
                <w:sz w:val="16"/>
                <w:szCs w:val="16"/>
              </w:rPr>
              <w:br/>
              <w:t>Patients receiving lenalidomide under the PBS listing must be registered in the i-access risk management program.</w:t>
            </w:r>
            <w:r w:rsidRPr="006110AD">
              <w:rPr>
                <w:rFonts w:ascii="Arial" w:hAnsi="Arial" w:cs="Arial"/>
                <w:sz w:val="16"/>
                <w:szCs w:val="16"/>
              </w:rPr>
              <w:br/>
              <w:t>The first authority application for continuing supply must be made in writing. Subsequent authority applications for continuing supply may be made by telephone.</w:t>
            </w:r>
            <w:r w:rsidRPr="006110AD">
              <w:rPr>
                <w:rFonts w:ascii="Arial" w:hAnsi="Arial" w:cs="Arial"/>
                <w:sz w:val="16"/>
                <w:szCs w:val="16"/>
              </w:rPr>
              <w:br/>
              <w:t>The following evidence of response must be provided at each application:</w:t>
            </w:r>
            <w:r w:rsidRPr="006110AD">
              <w:rPr>
                <w:rFonts w:ascii="Arial" w:hAnsi="Arial" w:cs="Arial"/>
                <w:sz w:val="16"/>
                <w:szCs w:val="16"/>
              </w:rPr>
              <w:br/>
              <w:t>(i) a haemoglobin level taken within the last 4 weeks; and</w:t>
            </w:r>
            <w:r w:rsidRPr="006110AD">
              <w:rPr>
                <w:rFonts w:ascii="Arial" w:hAnsi="Arial" w:cs="Arial"/>
                <w:sz w:val="16"/>
                <w:szCs w:val="16"/>
              </w:rPr>
              <w:br/>
              <w:t>(ii) the date of the last transfusion; and</w:t>
            </w:r>
            <w:r w:rsidRPr="006110AD">
              <w:rPr>
                <w:rFonts w:ascii="Arial" w:hAnsi="Arial" w:cs="Arial"/>
                <w:sz w:val="16"/>
                <w:szCs w:val="16"/>
              </w:rPr>
              <w:br/>
              <w:t>(iii) a statement of the number of units of red cells transfused in the 4 months immediately preceding this application; and</w:t>
            </w:r>
            <w:r w:rsidRPr="006110AD">
              <w:rPr>
                <w:rFonts w:ascii="Arial" w:hAnsi="Arial" w:cs="Arial"/>
                <w:sz w:val="16"/>
                <w:szCs w:val="16"/>
              </w:rPr>
              <w:br/>
              <w:t>(iv) a statement confirming that the patient has not progressed to acute myeloid leukaemia.</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57" w:type="dxa"/>
            </w:tcMar>
          </w:tcPr>
          <w:p w:rsidR="006110AD" w:rsidRPr="006110AD" w:rsidRDefault="006110AD" w:rsidP="00AE5681">
            <w:pPr>
              <w:keepNext/>
              <w:spacing w:line="240" w:lineRule="auto"/>
              <w:rPr>
                <w:rFonts w:ascii="Arial" w:eastAsia="SimSun" w:hAnsi="Arial" w:cs="Arial"/>
                <w:sz w:val="16"/>
                <w:szCs w:val="16"/>
                <w:lang w:eastAsia="zh-CN"/>
              </w:rPr>
            </w:pPr>
            <w:r w:rsidRPr="006110AD">
              <w:rPr>
                <w:rFonts w:ascii="Arial" w:hAnsi="Arial" w:cs="Arial"/>
                <w:sz w:val="16"/>
                <w:szCs w:val="16"/>
              </w:rPr>
              <w:t>Compliance with Written Authority Required procedures</w:t>
            </w:r>
          </w:p>
        </w:tc>
      </w:tr>
      <w:tr w:rsidR="006110AD" w:rsidRPr="006110AD" w:rsidTr="008929EB">
        <w:tc>
          <w:tcPr>
            <w:tcW w:w="17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6110AD" w:rsidRPr="006110AD" w:rsidRDefault="006110AD" w:rsidP="00881477">
            <w:pPr>
              <w:spacing w:line="240" w:lineRule="auto"/>
              <w:rPr>
                <w:rFonts w:ascii="Arial" w:eastAsia="SimSun" w:hAnsi="Arial" w:cs="Arial"/>
                <w:sz w:val="16"/>
                <w:szCs w:val="16"/>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6110AD" w:rsidRPr="006110AD" w:rsidRDefault="006110AD" w:rsidP="00881477">
            <w:pPr>
              <w:spacing w:line="240" w:lineRule="auto"/>
              <w:rPr>
                <w:rFonts w:ascii="Arial" w:hAnsi="Arial" w:cs="Arial"/>
                <w:sz w:val="16"/>
                <w:szCs w:val="16"/>
              </w:rPr>
            </w:pPr>
            <w:r w:rsidRPr="006110AD">
              <w:rPr>
                <w:rFonts w:ascii="Arial" w:hAnsi="Arial" w:cs="Arial"/>
                <w:sz w:val="16"/>
                <w:szCs w:val="16"/>
              </w:rPr>
              <w:t>C4287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6110AD" w:rsidRPr="006110AD" w:rsidRDefault="006110AD" w:rsidP="00881477">
            <w:pPr>
              <w:spacing w:line="240" w:lineRule="auto"/>
              <w:rPr>
                <w:rFonts w:ascii="Arial" w:eastAsia="SimSun" w:hAnsi="Arial" w:cs="Arial"/>
                <w:sz w:val="16"/>
                <w:szCs w:val="16"/>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6110AD" w:rsidRPr="006110AD" w:rsidRDefault="006110AD" w:rsidP="00881477">
            <w:pPr>
              <w:spacing w:line="240" w:lineRule="auto"/>
              <w:rPr>
                <w:rFonts w:ascii="Arial" w:hAnsi="Arial" w:cs="Arial"/>
                <w:sz w:val="16"/>
                <w:szCs w:val="16"/>
              </w:rPr>
            </w:pPr>
            <w:r w:rsidRPr="006110AD">
              <w:rPr>
                <w:rFonts w:ascii="Arial" w:hAnsi="Arial" w:cs="Arial"/>
                <w:sz w:val="16"/>
                <w:szCs w:val="16"/>
              </w:rPr>
              <w:t>Myelodysplastic syndrome</w:t>
            </w:r>
            <w:r w:rsidRPr="006110AD">
              <w:rPr>
                <w:rFonts w:ascii="Arial" w:hAnsi="Arial" w:cs="Arial"/>
                <w:sz w:val="16"/>
                <w:szCs w:val="16"/>
              </w:rPr>
              <w:br/>
              <w:t>Initial treatment</w:t>
            </w:r>
            <w:r w:rsidRPr="006110AD">
              <w:rPr>
                <w:rFonts w:ascii="Arial" w:hAnsi="Arial" w:cs="Arial"/>
                <w:sz w:val="16"/>
                <w:szCs w:val="16"/>
              </w:rPr>
              <w:br/>
              <w:t>The treatment must be limited to a maximum duration of 16 weeks; AND</w:t>
            </w:r>
            <w:r w:rsidRPr="006110AD">
              <w:rPr>
                <w:rFonts w:ascii="Arial" w:hAnsi="Arial" w:cs="Arial"/>
                <w:sz w:val="16"/>
                <w:szCs w:val="16"/>
              </w:rPr>
              <w:br/>
              <w:t>Patient must be classified as Low risk or Intermediate-1 according to the International Prognostic Scoring System (IPSS); AND</w:t>
            </w:r>
            <w:r w:rsidRPr="006110AD">
              <w:rPr>
                <w:rFonts w:ascii="Arial" w:hAnsi="Arial" w:cs="Arial"/>
                <w:sz w:val="16"/>
                <w:szCs w:val="16"/>
              </w:rPr>
              <w:br/>
              <w:t>Patient must have a deletion 5q cytogenetic abnormality with or without additional cytogenetic abnormalities; AND</w:t>
            </w:r>
            <w:r w:rsidRPr="006110AD">
              <w:rPr>
                <w:rFonts w:ascii="Arial" w:hAnsi="Arial" w:cs="Arial"/>
                <w:sz w:val="16"/>
                <w:szCs w:val="16"/>
              </w:rPr>
              <w:br/>
              <w:t>Patient must be red blood cell transfusion dependent.</w:t>
            </w:r>
            <w:r w:rsidRPr="006110AD">
              <w:rPr>
                <w:rFonts w:ascii="Arial" w:hAnsi="Arial" w:cs="Arial"/>
                <w:sz w:val="16"/>
                <w:szCs w:val="16"/>
              </w:rPr>
              <w:br/>
              <w:t>Classification of a patient as Low risk requires a score of 0 on the IPSS, achieved with the following combination: less than 5% marrow blasts with good karyotypic status (normal, -Y alone, -5q alone, -20q alone), and 0/1 cytopenias.</w:t>
            </w:r>
            <w:r w:rsidRPr="006110AD">
              <w:rPr>
                <w:rFonts w:ascii="Arial" w:hAnsi="Arial" w:cs="Arial"/>
                <w:sz w:val="16"/>
                <w:szCs w:val="16"/>
              </w:rPr>
              <w:br/>
              <w:t>Classification of a patient as Intermediate-1 requires a score of 0.5 to 1 on the IPSS, achieved with the following possible combinations:</w:t>
            </w:r>
            <w:r w:rsidRPr="006110AD">
              <w:rPr>
                <w:rFonts w:ascii="Arial" w:hAnsi="Arial" w:cs="Arial"/>
                <w:sz w:val="16"/>
                <w:szCs w:val="16"/>
              </w:rPr>
              <w:br/>
              <w:t>1. 5%-10% marrow blasts with good karyotypic status (normal, -Y alone, -5q alone, -20q alone), and 0/1 cytopenias; OR</w:t>
            </w:r>
            <w:r w:rsidRPr="006110AD">
              <w:rPr>
                <w:rFonts w:ascii="Arial" w:hAnsi="Arial" w:cs="Arial"/>
                <w:sz w:val="16"/>
                <w:szCs w:val="16"/>
              </w:rPr>
              <w:br/>
              <w:t>2. less than 5% marrow blasts with intermediate karyotypic status (other abnormalities), and 0/1 cytopenias; OR</w:t>
            </w:r>
            <w:r w:rsidRPr="006110AD">
              <w:rPr>
                <w:rFonts w:ascii="Arial" w:hAnsi="Arial" w:cs="Arial"/>
                <w:sz w:val="16"/>
                <w:szCs w:val="16"/>
              </w:rPr>
              <w:br/>
              <w:t>3. less than 5% marrow blasts with good karyotypic status (normal, -Y alone, -5q alone, -20q alone), and 2/3 cytopenias; OR</w:t>
            </w:r>
            <w:r w:rsidRPr="006110AD">
              <w:rPr>
                <w:rFonts w:ascii="Arial" w:hAnsi="Arial" w:cs="Arial"/>
                <w:sz w:val="16"/>
                <w:szCs w:val="16"/>
              </w:rPr>
              <w:br/>
              <w:t>4. less than 5% marrow blasts with intermediate karyotypic status (other abnormalities), and 2/3 cytopenias; OR</w:t>
            </w:r>
            <w:r w:rsidRPr="006110AD">
              <w:rPr>
                <w:rFonts w:ascii="Arial" w:hAnsi="Arial" w:cs="Arial"/>
                <w:sz w:val="16"/>
                <w:szCs w:val="16"/>
              </w:rPr>
              <w:br/>
              <w:t>5. 5%-10% marrow blasts with intermediate karyotypic status (other abnormalities), and 0/1 cytopenias; OR</w:t>
            </w:r>
            <w:r w:rsidRPr="006110AD">
              <w:rPr>
                <w:rFonts w:ascii="Arial" w:hAnsi="Arial" w:cs="Arial"/>
                <w:sz w:val="16"/>
                <w:szCs w:val="16"/>
              </w:rPr>
              <w:br/>
              <w:t>6. 5%-10% marrow blasts with good karyotypic status (normal, -Y alone, -5q alone, -20q alone), and 2/3 cytopenias; OR</w:t>
            </w:r>
            <w:r w:rsidRPr="006110AD">
              <w:rPr>
                <w:rFonts w:ascii="Arial" w:hAnsi="Arial" w:cs="Arial"/>
                <w:sz w:val="16"/>
                <w:szCs w:val="16"/>
              </w:rPr>
              <w:br/>
              <w:t>7. less than 5% marrow blasts with poor karyotypic status (complex, greater than 3 abnormalities), and 0/1 cytopenias.</w:t>
            </w:r>
            <w:r w:rsidRPr="006110AD">
              <w:rPr>
                <w:rFonts w:ascii="Arial" w:hAnsi="Arial" w:cs="Arial"/>
                <w:sz w:val="16"/>
                <w:szCs w:val="16"/>
              </w:rPr>
              <w:br/>
              <w:t>Classification of a patient as red blood cell transfusion dependent requires that:</w:t>
            </w:r>
            <w:r w:rsidRPr="006110AD">
              <w:rPr>
                <w:rFonts w:ascii="Arial" w:hAnsi="Arial" w:cs="Arial"/>
                <w:sz w:val="16"/>
                <w:szCs w:val="16"/>
              </w:rPr>
              <w:br/>
              <w:t>(i) the patient has been transfused within the last 8 weeks; and</w:t>
            </w:r>
            <w:r w:rsidRPr="006110AD">
              <w:rPr>
                <w:rFonts w:ascii="Arial" w:hAnsi="Arial" w:cs="Arial"/>
                <w:sz w:val="16"/>
                <w:szCs w:val="16"/>
              </w:rPr>
              <w:br/>
              <w:t>(ii) the patient has received at least 8 units of red blood cell in the last 6 months prior to commencing PBS-subsidised therapy with lenalidomide; and would be expected to continue this requirement without lenalidomide treatment.</w:t>
            </w:r>
            <w:r w:rsidRPr="006110AD">
              <w:rPr>
                <w:rFonts w:ascii="Arial" w:hAnsi="Arial" w:cs="Arial"/>
                <w:sz w:val="16"/>
                <w:szCs w:val="16"/>
              </w:rPr>
              <w:br/>
              <w:t>Patients receiving lenalidomide under the PBS listing must be registered in the i-access risk management program.</w:t>
            </w:r>
            <w:r w:rsidRPr="006110AD">
              <w:rPr>
                <w:rFonts w:ascii="Arial" w:hAnsi="Arial" w:cs="Arial"/>
                <w:sz w:val="16"/>
                <w:szCs w:val="16"/>
              </w:rPr>
              <w:br/>
              <w:t>The authority application must be made in writing and must include:</w:t>
            </w:r>
            <w:r w:rsidRPr="006110AD">
              <w:rPr>
                <w:rFonts w:ascii="Arial" w:hAnsi="Arial" w:cs="Arial"/>
                <w:sz w:val="16"/>
                <w:szCs w:val="16"/>
              </w:rPr>
              <w:br/>
              <w:t>(a) a completed authority prescription form; and</w:t>
            </w:r>
            <w:r w:rsidRPr="006110AD">
              <w:rPr>
                <w:rFonts w:ascii="Arial" w:hAnsi="Arial" w:cs="Arial"/>
                <w:sz w:val="16"/>
                <w:szCs w:val="16"/>
              </w:rPr>
              <w:br/>
              <w:t>(b) a completed Myelodysplastic Syndrome Lenalidomide Authority Application - Supporting Information Form; and</w:t>
            </w:r>
            <w:r w:rsidRPr="006110AD">
              <w:rPr>
                <w:rFonts w:ascii="Arial" w:hAnsi="Arial" w:cs="Arial"/>
                <w:sz w:val="16"/>
                <w:szCs w:val="16"/>
              </w:rPr>
              <w:br/>
              <w:t>(c) a copy of the bone marrow biopsy report demonstrating that the patient has myelodysplastic syndrome; and</w:t>
            </w:r>
            <w:r w:rsidRPr="006110AD">
              <w:rPr>
                <w:rFonts w:ascii="Arial" w:hAnsi="Arial" w:cs="Arial"/>
                <w:sz w:val="16"/>
                <w:szCs w:val="16"/>
              </w:rPr>
              <w:br/>
              <w:t>(d) a copy of the full blood examination report; and</w:t>
            </w:r>
            <w:r w:rsidRPr="006110AD">
              <w:rPr>
                <w:rFonts w:ascii="Arial" w:hAnsi="Arial" w:cs="Arial"/>
                <w:sz w:val="16"/>
                <w:szCs w:val="16"/>
              </w:rPr>
              <w:br/>
              <w:t>(e) a copy of the pathology report detailing the cytogenetics demonstrating Low risk or Intermediate-1 disease according to the IPSS (note: using Fluorescence in Situ Hybridization (FISH) to demonstrate MDS -5q is acceptable); and</w:t>
            </w:r>
            <w:r w:rsidRPr="006110AD">
              <w:rPr>
                <w:rFonts w:ascii="Arial" w:hAnsi="Arial" w:cs="Arial"/>
                <w:sz w:val="16"/>
                <w:szCs w:val="16"/>
              </w:rPr>
              <w:br/>
              <w:t>(f) details of transfusion requirements including: (i) the date of most recent transfusion and the number of red blood cell units transfused; and (ii) the total number of red cell units transfused in the 4 and 6 months preceding the date of this application; and</w:t>
            </w:r>
            <w:r w:rsidRPr="006110AD">
              <w:rPr>
                <w:rFonts w:ascii="Arial" w:hAnsi="Arial" w:cs="Arial"/>
                <w:sz w:val="16"/>
                <w:szCs w:val="16"/>
              </w:rPr>
              <w:br/>
              <w:t>(g) a signed patient acknowledgement form.</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57" w:type="dxa"/>
            </w:tcMar>
          </w:tcPr>
          <w:p w:rsidR="006110AD" w:rsidRPr="006110AD" w:rsidRDefault="006110AD" w:rsidP="00AE5681">
            <w:pPr>
              <w:keepNext/>
              <w:spacing w:line="240" w:lineRule="auto"/>
              <w:rPr>
                <w:rFonts w:ascii="Arial" w:hAnsi="Arial" w:cs="Arial"/>
                <w:sz w:val="16"/>
                <w:szCs w:val="16"/>
              </w:rPr>
            </w:pPr>
            <w:r w:rsidRPr="006110AD">
              <w:rPr>
                <w:rFonts w:ascii="Arial" w:hAnsi="Arial" w:cs="Arial"/>
                <w:sz w:val="16"/>
                <w:szCs w:val="16"/>
              </w:rPr>
              <w:t>Compliance with Written Authority Required procedures</w:t>
            </w:r>
          </w:p>
        </w:tc>
      </w:tr>
      <w:tr w:rsidR="00592D6B" w:rsidRPr="00E106BD" w:rsidDel="00BF560C" w:rsidTr="008929EB">
        <w:tc>
          <w:tcPr>
            <w:tcW w:w="1729" w:type="dxa"/>
            <w:tcMar>
              <w:top w:w="28" w:type="dxa"/>
              <w:left w:w="28" w:type="dxa"/>
            </w:tcMar>
          </w:tcPr>
          <w:p w:rsidR="00592D6B" w:rsidRPr="00E106BD" w:rsidDel="00BF560C" w:rsidRDefault="00592D6B" w:rsidP="00881477">
            <w:pPr>
              <w:spacing w:line="240" w:lineRule="auto"/>
              <w:rPr>
                <w:rFonts w:ascii="Arial" w:hAnsi="Arial" w:cs="Arial"/>
                <w:sz w:val="16"/>
                <w:szCs w:val="16"/>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C10334</w:t>
            </w:r>
          </w:p>
        </w:tc>
        <w:tc>
          <w:tcPr>
            <w:tcW w:w="709" w:type="dxa"/>
            <w:tcMar>
              <w:top w:w="28" w:type="dxa"/>
              <w:left w:w="28" w:type="dxa"/>
            </w:tcMar>
          </w:tcPr>
          <w:p w:rsidR="00592D6B" w:rsidRPr="00E106BD" w:rsidDel="00BF560C"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after="60" w:line="240" w:lineRule="auto"/>
              <w:rPr>
                <w:rFonts w:ascii="Arial" w:hAnsi="Arial" w:cs="Arial"/>
                <w:sz w:val="16"/>
                <w:szCs w:val="16"/>
              </w:rPr>
            </w:pPr>
            <w:r w:rsidRPr="00E106BD">
              <w:rPr>
                <w:rFonts w:ascii="Arial" w:hAnsi="Arial" w:cs="Arial"/>
                <w:sz w:val="16"/>
                <w:szCs w:val="16"/>
              </w:rPr>
              <w:t>Multiple myeloma</w:t>
            </w:r>
            <w:r w:rsidRPr="00E106BD">
              <w:rPr>
                <w:szCs w:val="16"/>
              </w:rPr>
              <w:br/>
            </w:r>
            <w:r w:rsidRPr="00E106BD">
              <w:rPr>
                <w:rFonts w:ascii="Arial" w:hAnsi="Arial" w:cs="Arial"/>
                <w:sz w:val="16"/>
                <w:szCs w:val="16"/>
              </w:rPr>
              <w:t>Initial treatment with lenalidomide monotherapy in newly diagnosed disease</w:t>
            </w:r>
            <w:r w:rsidRPr="00E106BD">
              <w:rPr>
                <w:szCs w:val="16"/>
              </w:rPr>
              <w:br/>
            </w:r>
            <w:r w:rsidRPr="00E106BD">
              <w:rPr>
                <w:rFonts w:ascii="Arial" w:hAnsi="Arial" w:cs="Arial"/>
                <w:sz w:val="16"/>
                <w:szCs w:val="16"/>
              </w:rPr>
              <w:t>The treatment must be as monotherapy; AND</w:t>
            </w:r>
            <w:r w:rsidRPr="00E106BD">
              <w:rPr>
                <w:szCs w:val="16"/>
              </w:rPr>
              <w:br/>
            </w:r>
            <w:r w:rsidRPr="00E106BD">
              <w:rPr>
                <w:rFonts w:ascii="Arial" w:hAnsi="Arial" w:cs="Arial"/>
                <w:sz w:val="16"/>
                <w:szCs w:val="16"/>
              </w:rPr>
              <w:t>The condition must be confirmed by a histological diagnosis; AND</w:t>
            </w:r>
            <w:r w:rsidRPr="00E106BD">
              <w:rPr>
                <w:szCs w:val="16"/>
              </w:rPr>
              <w:br/>
            </w:r>
            <w:r w:rsidRPr="00E106BD">
              <w:rPr>
                <w:rFonts w:ascii="Arial" w:hAnsi="Arial" w:cs="Arial"/>
                <w:sz w:val="16"/>
                <w:szCs w:val="16"/>
              </w:rPr>
              <w:t>Patient must have undergone an autologous stem cell transplant (ASCT) as part of frontline therapy for newly diagnosed multiple myeloma; AND</w:t>
            </w:r>
            <w:r w:rsidRPr="00E106BD">
              <w:rPr>
                <w:szCs w:val="16"/>
              </w:rPr>
              <w:br/>
            </w:r>
            <w:r w:rsidRPr="00E106BD">
              <w:rPr>
                <w:rFonts w:ascii="Arial" w:hAnsi="Arial" w:cs="Arial"/>
                <w:sz w:val="16"/>
                <w:szCs w:val="16"/>
              </w:rPr>
              <w:t>Patient must not have progressive disease following autologous stem cell transplant (ASCT).</w:t>
            </w:r>
            <w:r w:rsidRPr="00E106BD">
              <w:rPr>
                <w:szCs w:val="16"/>
              </w:rPr>
              <w:br/>
            </w:r>
            <w:r w:rsidRPr="00E106BD">
              <w:rPr>
                <w:rFonts w:ascii="Arial" w:hAnsi="Arial" w:cs="Arial"/>
                <w:sz w:val="16"/>
                <w:szCs w:val="16"/>
              </w:rPr>
              <w:t>The authority application must be made in writing and must include:</w:t>
            </w:r>
            <w:r w:rsidRPr="00E106BD">
              <w:rPr>
                <w:szCs w:val="16"/>
              </w:rPr>
              <w:br/>
            </w:r>
            <w:r w:rsidRPr="00E106BD">
              <w:rPr>
                <w:rFonts w:ascii="Arial" w:hAnsi="Arial" w:cs="Arial"/>
                <w:sz w:val="16"/>
                <w:szCs w:val="16"/>
              </w:rPr>
              <w:t>(1) a completed authority prescription form; and</w:t>
            </w:r>
            <w:r w:rsidRPr="00E106BD">
              <w:rPr>
                <w:szCs w:val="16"/>
              </w:rPr>
              <w:br/>
            </w:r>
            <w:r w:rsidRPr="00E106BD">
              <w:rPr>
                <w:rFonts w:ascii="Arial" w:hAnsi="Arial" w:cs="Arial"/>
                <w:sz w:val="16"/>
                <w:szCs w:val="16"/>
              </w:rPr>
              <w:t xml:space="preserve">(2) a completed Multiple Myeloma lenalidomide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details of the histological diagnosis of multiple myeloma, the date the autologous stem cell transplant was performed, and nomination of which disease activity parameters will be used to assess progression.</w:t>
            </w:r>
            <w:r w:rsidRPr="00E106BD">
              <w:rPr>
                <w:szCs w:val="16"/>
              </w:rPr>
              <w:br/>
            </w:r>
            <w:r w:rsidRPr="00E106BD">
              <w:rPr>
                <w:rFonts w:ascii="Arial" w:hAnsi="Arial" w:cs="Arial"/>
                <w:sz w:val="16"/>
                <w:szCs w:val="16"/>
              </w:rPr>
              <w:t>To enable confirmation of eligibility for treatment, the results of current diagnostic reports of at least one of the following must be provided:</w:t>
            </w:r>
            <w:r w:rsidRPr="00E106BD">
              <w:rPr>
                <w:szCs w:val="16"/>
              </w:rPr>
              <w:br/>
            </w:r>
            <w:r w:rsidRPr="00E106BD">
              <w:rPr>
                <w:rFonts w:ascii="Arial" w:hAnsi="Arial" w:cs="Arial"/>
                <w:sz w:val="16"/>
                <w:szCs w:val="16"/>
              </w:rPr>
              <w:t>(a) the level of serum monoclonal protein; or</w:t>
            </w:r>
            <w:r w:rsidRPr="00E106BD">
              <w:rPr>
                <w:szCs w:val="16"/>
              </w:rPr>
              <w:br/>
            </w:r>
            <w:r w:rsidRPr="00E106BD">
              <w:rPr>
                <w:rFonts w:ascii="Arial" w:hAnsi="Arial" w:cs="Arial"/>
                <w:sz w:val="16"/>
                <w:szCs w:val="16"/>
              </w:rPr>
              <w:t>(b) Bence</w:t>
            </w:r>
            <w:r>
              <w:rPr>
                <w:rFonts w:ascii="Arial" w:hAnsi="Arial" w:cs="Arial"/>
                <w:sz w:val="16"/>
                <w:szCs w:val="16"/>
              </w:rPr>
              <w:noBreakHyphen/>
            </w:r>
            <w:r w:rsidRPr="00E106BD">
              <w:rPr>
                <w:rFonts w:ascii="Arial" w:hAnsi="Arial" w:cs="Arial"/>
                <w:sz w:val="16"/>
                <w:szCs w:val="16"/>
              </w:rPr>
              <w:t xml:space="preserve">Jones proteinuria </w:t>
            </w:r>
            <w:r>
              <w:rPr>
                <w:rFonts w:ascii="Arial" w:hAnsi="Arial" w:cs="Arial"/>
                <w:sz w:val="16"/>
                <w:szCs w:val="16"/>
              </w:rPr>
              <w:noBreakHyphen/>
            </w:r>
            <w:r w:rsidRPr="00E106BD">
              <w:rPr>
                <w:rFonts w:ascii="Arial" w:hAnsi="Arial" w:cs="Arial"/>
                <w:sz w:val="16"/>
                <w:szCs w:val="16"/>
              </w:rPr>
              <w:t xml:space="preserve"> the results of 24</w:t>
            </w:r>
            <w:r>
              <w:rPr>
                <w:rFonts w:ascii="Arial" w:hAnsi="Arial" w:cs="Arial"/>
                <w:sz w:val="16"/>
                <w:szCs w:val="16"/>
              </w:rPr>
              <w:noBreakHyphen/>
            </w:r>
            <w:r w:rsidRPr="00E106BD">
              <w:rPr>
                <w:rFonts w:ascii="Arial" w:hAnsi="Arial" w:cs="Arial"/>
                <w:sz w:val="16"/>
                <w:szCs w:val="16"/>
              </w:rPr>
              <w:t>hour urinary light chain M protein excretion; or</w:t>
            </w:r>
            <w:r w:rsidRPr="00E106BD">
              <w:rPr>
                <w:szCs w:val="16"/>
              </w:rPr>
              <w:br/>
            </w:r>
            <w:r w:rsidRPr="00E106BD">
              <w:rPr>
                <w:rFonts w:ascii="Arial" w:hAnsi="Arial" w:cs="Arial"/>
                <w:sz w:val="16"/>
                <w:szCs w:val="16"/>
              </w:rPr>
              <w:t>(c) the serum level of free kappa and lambda light chains; or</w:t>
            </w:r>
            <w:r w:rsidRPr="00E106BD">
              <w:rPr>
                <w:szCs w:val="16"/>
              </w:rPr>
              <w:br/>
            </w:r>
            <w:r w:rsidRPr="00E106BD">
              <w:rPr>
                <w:rFonts w:ascii="Arial" w:hAnsi="Arial" w:cs="Arial"/>
                <w:sz w:val="16"/>
                <w:szCs w:val="16"/>
              </w:rPr>
              <w:t>(d) bone marrow aspirate or trephine; or</w:t>
            </w:r>
            <w:r w:rsidRPr="00E106BD">
              <w:rPr>
                <w:szCs w:val="16"/>
              </w:rPr>
              <w:br/>
            </w:r>
            <w:r w:rsidRPr="00E106BD">
              <w:rPr>
                <w:rFonts w:ascii="Arial" w:hAnsi="Arial" w:cs="Arial"/>
                <w:sz w:val="16"/>
                <w:szCs w:val="16"/>
              </w:rPr>
              <w:t>(e) if present, the size and location of lytic bone lesions (not including compression fractures); or</w:t>
            </w:r>
            <w:r w:rsidRPr="00E106BD">
              <w:rPr>
                <w:szCs w:val="16"/>
              </w:rPr>
              <w:br/>
            </w:r>
            <w:r w:rsidRPr="00E106BD">
              <w:rPr>
                <w:rFonts w:ascii="Arial" w:hAnsi="Arial" w:cs="Arial"/>
                <w:sz w:val="16"/>
                <w:szCs w:val="16"/>
              </w:rPr>
              <w:t>(f) if present, the size and location of all soft tissue plasmacytomas by clinical or radiographic examination i.e. MRI or CT</w:t>
            </w:r>
            <w:r>
              <w:rPr>
                <w:rFonts w:ascii="Arial" w:hAnsi="Arial" w:cs="Arial"/>
                <w:sz w:val="16"/>
                <w:szCs w:val="16"/>
              </w:rPr>
              <w:noBreakHyphen/>
            </w:r>
            <w:r w:rsidRPr="00E106BD">
              <w:rPr>
                <w:rFonts w:ascii="Arial" w:hAnsi="Arial" w:cs="Arial"/>
                <w:sz w:val="16"/>
                <w:szCs w:val="16"/>
              </w:rPr>
              <w:t>scan; or</w:t>
            </w:r>
            <w:r w:rsidRPr="00E106BD">
              <w:rPr>
                <w:szCs w:val="16"/>
              </w:rPr>
              <w:br/>
            </w:r>
            <w:r w:rsidRPr="00E106BD">
              <w:rPr>
                <w:rFonts w:ascii="Arial" w:hAnsi="Arial" w:cs="Arial"/>
                <w:sz w:val="16"/>
                <w:szCs w:val="16"/>
              </w:rPr>
              <w:t>(g) if present, the level of hypercalcaemia, corrected for albumin concentration.</w:t>
            </w:r>
            <w:r w:rsidRPr="00E106BD">
              <w:rPr>
                <w:szCs w:val="16"/>
              </w:rPr>
              <w:br/>
            </w:r>
            <w:r w:rsidRPr="00E106BD">
              <w:rPr>
                <w:rFonts w:ascii="Arial" w:hAnsi="Arial" w:cs="Arial"/>
                <w:sz w:val="16"/>
                <w:szCs w:val="16"/>
              </w:rPr>
              <w:t>As these parameters will be used to determine progression, results for either (a) or (b) or (c) should be provided for all patients. Where the patient has oligo</w:t>
            </w:r>
            <w:r>
              <w:rPr>
                <w:rFonts w:ascii="Arial" w:hAnsi="Arial" w:cs="Arial"/>
                <w:sz w:val="16"/>
                <w:szCs w:val="16"/>
              </w:rPr>
              <w:noBreakHyphen/>
            </w:r>
            <w:r w:rsidRPr="00E106BD">
              <w:rPr>
                <w:rFonts w:ascii="Arial" w:hAnsi="Arial" w:cs="Arial"/>
                <w:sz w:val="16"/>
                <w:szCs w:val="16"/>
              </w:rPr>
              <w:t>secretory or non</w:t>
            </w:r>
            <w:r>
              <w:rPr>
                <w:rFonts w:ascii="Arial" w:hAnsi="Arial" w:cs="Arial"/>
                <w:sz w:val="16"/>
                <w:szCs w:val="16"/>
              </w:rPr>
              <w:noBreakHyphen/>
            </w:r>
            <w:r w:rsidRPr="00E106BD">
              <w:rPr>
                <w:rFonts w:ascii="Arial" w:hAnsi="Arial" w:cs="Arial"/>
                <w:sz w:val="16"/>
                <w:szCs w:val="16"/>
              </w:rPr>
              <w:t>secretory multiple myeloma, either (c) or (d) or if relevant (e), (f) or (g) should be provided. Where the prescriber plans to assess response in patients with oligo</w:t>
            </w:r>
            <w:r>
              <w:rPr>
                <w:rFonts w:ascii="Arial" w:hAnsi="Arial" w:cs="Arial"/>
                <w:sz w:val="16"/>
                <w:szCs w:val="16"/>
              </w:rPr>
              <w:noBreakHyphen/>
            </w:r>
            <w:r w:rsidRPr="00E106BD">
              <w:rPr>
                <w:rFonts w:ascii="Arial" w:hAnsi="Arial" w:cs="Arial"/>
                <w:sz w:val="16"/>
                <w:szCs w:val="16"/>
              </w:rPr>
              <w:t>secretory or non</w:t>
            </w:r>
            <w:r>
              <w:rPr>
                <w:rFonts w:ascii="Arial" w:hAnsi="Arial" w:cs="Arial"/>
                <w:sz w:val="16"/>
                <w:szCs w:val="16"/>
              </w:rPr>
              <w:noBreakHyphen/>
            </w:r>
            <w:r w:rsidRPr="00E106BD">
              <w:rPr>
                <w:rFonts w:ascii="Arial" w:hAnsi="Arial" w:cs="Arial"/>
                <w:sz w:val="16"/>
                <w:szCs w:val="16"/>
              </w:rPr>
              <w:t>secretory multiple myeloma with free light chain assays, evidence of the oligo</w:t>
            </w:r>
            <w:r>
              <w:rPr>
                <w:rFonts w:ascii="Arial" w:hAnsi="Arial" w:cs="Arial"/>
                <w:sz w:val="16"/>
                <w:szCs w:val="16"/>
              </w:rPr>
              <w:noBreakHyphen/>
            </w:r>
            <w:r w:rsidRPr="00E106BD">
              <w:rPr>
                <w:rFonts w:ascii="Arial" w:hAnsi="Arial" w:cs="Arial"/>
                <w:sz w:val="16"/>
                <w:szCs w:val="16"/>
              </w:rPr>
              <w:t>secretory or non</w:t>
            </w:r>
            <w:r>
              <w:rPr>
                <w:rFonts w:ascii="Arial" w:hAnsi="Arial" w:cs="Arial"/>
                <w:sz w:val="16"/>
                <w:szCs w:val="16"/>
              </w:rPr>
              <w:noBreakHyphen/>
            </w:r>
            <w:r w:rsidRPr="00E106BD">
              <w:rPr>
                <w:rFonts w:ascii="Arial" w:hAnsi="Arial" w:cs="Arial"/>
                <w:sz w:val="16"/>
                <w:szCs w:val="16"/>
              </w:rPr>
              <w:t>secretory nature of the multiple myeloma (current serum M protein less than 10 g per L) must be provided.</w:t>
            </w:r>
            <w:r w:rsidRPr="00E106BD">
              <w:rPr>
                <w:szCs w:val="16"/>
              </w:rPr>
              <w:br/>
            </w:r>
            <w:r w:rsidRPr="00E106BD">
              <w:rPr>
                <w:rFonts w:ascii="Arial" w:hAnsi="Arial" w:cs="Arial"/>
                <w:sz w:val="16"/>
                <w:szCs w:val="16"/>
              </w:rPr>
              <w:t>Patients receiving this drug under the PBS listing must be registered in the i</w:t>
            </w:r>
            <w:r>
              <w:rPr>
                <w:rFonts w:ascii="Arial" w:hAnsi="Arial" w:cs="Arial"/>
                <w:sz w:val="16"/>
                <w:szCs w:val="16"/>
              </w:rPr>
              <w:noBreakHyphen/>
            </w:r>
            <w:r w:rsidRPr="00E106BD">
              <w:rPr>
                <w:rFonts w:ascii="Arial" w:hAnsi="Arial" w:cs="Arial"/>
                <w:sz w:val="16"/>
                <w:szCs w:val="16"/>
              </w:rPr>
              <w:t>access risk management program.</w:t>
            </w:r>
          </w:p>
        </w:tc>
        <w:tc>
          <w:tcPr>
            <w:tcW w:w="2552" w:type="dxa"/>
            <w:tcMar>
              <w:top w:w="28" w:type="dxa"/>
              <w:left w:w="28" w:type="dxa"/>
              <w:right w:w="57" w:type="dxa"/>
            </w:tcMar>
          </w:tcPr>
          <w:p w:rsidR="00592D6B" w:rsidRPr="00E106BD" w:rsidRDefault="00592D6B" w:rsidP="00FD2A3C">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6110AD" w:rsidRPr="00E106BD" w:rsidDel="00BF560C" w:rsidTr="008929EB">
        <w:tc>
          <w:tcPr>
            <w:tcW w:w="1729" w:type="dxa"/>
            <w:tcMar>
              <w:top w:w="28" w:type="dxa"/>
              <w:left w:w="28" w:type="dxa"/>
            </w:tcMar>
          </w:tcPr>
          <w:p w:rsidR="006110AD" w:rsidRPr="006110AD" w:rsidDel="00BF560C" w:rsidRDefault="006110AD" w:rsidP="00881477">
            <w:pPr>
              <w:spacing w:line="240" w:lineRule="auto"/>
              <w:rPr>
                <w:rFonts w:ascii="Arial" w:hAnsi="Arial" w:cs="Arial"/>
                <w:sz w:val="16"/>
                <w:szCs w:val="16"/>
              </w:rPr>
            </w:pPr>
          </w:p>
        </w:tc>
        <w:tc>
          <w:tcPr>
            <w:tcW w:w="709" w:type="dxa"/>
            <w:tcMar>
              <w:top w:w="28" w:type="dxa"/>
              <w:left w:w="28" w:type="dxa"/>
            </w:tcMar>
          </w:tcPr>
          <w:p w:rsidR="006110AD" w:rsidRPr="006110AD" w:rsidRDefault="006110AD" w:rsidP="00881477">
            <w:pPr>
              <w:spacing w:line="240" w:lineRule="auto"/>
              <w:rPr>
                <w:rFonts w:ascii="Arial" w:eastAsia="Arial" w:hAnsi="Arial" w:cs="Arial"/>
                <w:sz w:val="16"/>
                <w:szCs w:val="16"/>
                <w:lang w:eastAsia="zh-CN"/>
              </w:rPr>
            </w:pPr>
            <w:r w:rsidRPr="006110AD">
              <w:rPr>
                <w:rFonts w:ascii="Arial" w:hAnsi="Arial" w:cs="Arial"/>
                <w:sz w:val="16"/>
                <w:szCs w:val="16"/>
              </w:rPr>
              <w:t>C10335</w:t>
            </w:r>
          </w:p>
        </w:tc>
        <w:tc>
          <w:tcPr>
            <w:tcW w:w="709" w:type="dxa"/>
            <w:tcMar>
              <w:top w:w="28" w:type="dxa"/>
              <w:left w:w="28" w:type="dxa"/>
            </w:tcMar>
          </w:tcPr>
          <w:p w:rsidR="006110AD" w:rsidRPr="006110AD" w:rsidDel="00BF560C" w:rsidRDefault="006110AD" w:rsidP="00881477">
            <w:pPr>
              <w:spacing w:line="240" w:lineRule="auto"/>
              <w:rPr>
                <w:rFonts w:ascii="Arial" w:eastAsia="SimSun" w:hAnsi="Arial" w:cs="Arial"/>
                <w:sz w:val="16"/>
                <w:szCs w:val="16"/>
                <w:lang w:eastAsia="zh-CN"/>
              </w:rPr>
            </w:pPr>
          </w:p>
        </w:tc>
        <w:tc>
          <w:tcPr>
            <w:tcW w:w="7654" w:type="dxa"/>
            <w:tcMar>
              <w:top w:w="28" w:type="dxa"/>
              <w:left w:w="28" w:type="dxa"/>
            </w:tcMar>
          </w:tcPr>
          <w:p w:rsidR="006110AD" w:rsidRPr="006110AD" w:rsidRDefault="006110AD" w:rsidP="00881477">
            <w:pPr>
              <w:spacing w:after="60" w:line="240" w:lineRule="auto"/>
              <w:rPr>
                <w:rFonts w:ascii="Arial" w:eastAsia="Arial" w:hAnsi="Arial" w:cs="Arial"/>
                <w:sz w:val="16"/>
                <w:szCs w:val="16"/>
                <w:lang w:eastAsia="zh-CN"/>
              </w:rPr>
            </w:pPr>
            <w:r w:rsidRPr="006110AD">
              <w:rPr>
                <w:rFonts w:ascii="Arial" w:hAnsi="Arial" w:cs="Arial"/>
                <w:sz w:val="16"/>
                <w:szCs w:val="16"/>
              </w:rPr>
              <w:t>Multiple myeloma</w:t>
            </w:r>
            <w:r w:rsidRPr="006110AD">
              <w:rPr>
                <w:rFonts w:ascii="Arial" w:hAnsi="Arial" w:cs="Arial"/>
                <w:sz w:val="16"/>
                <w:szCs w:val="16"/>
              </w:rPr>
              <w:br/>
              <w:t>Continuing treatment with lenalidomide monotherapy following initial treatment with lenalidomide therapy in newly diagnosed disease</w:t>
            </w:r>
            <w:r w:rsidRPr="006110AD">
              <w:rPr>
                <w:rFonts w:ascii="Arial" w:hAnsi="Arial" w:cs="Arial"/>
                <w:sz w:val="16"/>
                <w:szCs w:val="16"/>
              </w:rPr>
              <w:br/>
              <w:t>Patient must have previously received PBS-subsidised treatment with this drug for this condition; AND</w:t>
            </w:r>
            <w:r w:rsidRPr="006110AD">
              <w:rPr>
                <w:rFonts w:ascii="Arial" w:hAnsi="Arial" w:cs="Arial"/>
                <w:sz w:val="16"/>
                <w:szCs w:val="16"/>
              </w:rPr>
              <w:br/>
              <w:t>Patient must not have demonstrated progressive disease; AND</w:t>
            </w:r>
            <w:r w:rsidRPr="006110AD">
              <w:rPr>
                <w:rFonts w:ascii="Arial" w:hAnsi="Arial" w:cs="Arial"/>
                <w:sz w:val="16"/>
                <w:szCs w:val="16"/>
              </w:rPr>
              <w:br/>
              <w:t>The treatment must be as monotherapy.</w:t>
            </w:r>
            <w:r w:rsidRPr="006110AD">
              <w:rPr>
                <w:rFonts w:ascii="Arial" w:hAnsi="Arial" w:cs="Arial"/>
                <w:sz w:val="16"/>
                <w:szCs w:val="16"/>
              </w:rPr>
              <w:br/>
              <w:t>Progressive disease is defined as at least 1 of the following:</w:t>
            </w:r>
            <w:r w:rsidRPr="006110AD">
              <w:rPr>
                <w:rFonts w:ascii="Arial" w:hAnsi="Arial" w:cs="Arial"/>
                <w:sz w:val="16"/>
                <w:szCs w:val="16"/>
              </w:rPr>
              <w:br/>
              <w:t>(a) at least a 25% increase and an absolute increase of at least 5 g per L in serum M protein (monoclonal protein); or</w:t>
            </w:r>
            <w:r w:rsidRPr="006110AD">
              <w:rPr>
                <w:rFonts w:ascii="Arial" w:hAnsi="Arial" w:cs="Arial"/>
                <w:sz w:val="16"/>
                <w:szCs w:val="16"/>
              </w:rPr>
              <w:br/>
              <w:t>(b) at least a 25% increase in 24-hour urinary light chain M protein excretion, and an absolute increase of at least 200 mg per 24 hours; or</w:t>
            </w:r>
            <w:r w:rsidRPr="006110AD">
              <w:rPr>
                <w:rFonts w:ascii="Arial" w:hAnsi="Arial" w:cs="Arial"/>
                <w:sz w:val="16"/>
                <w:szCs w:val="16"/>
              </w:rPr>
              <w:br/>
              <w:t>(c) in oligo-secretory and non-secretory myeloma patients only, at least a 50% increase in the difference between involved free light chain and uninvolved free light chain; or</w:t>
            </w:r>
            <w:r w:rsidRPr="006110AD">
              <w:rPr>
                <w:rFonts w:ascii="Arial" w:hAnsi="Arial" w:cs="Arial"/>
                <w:sz w:val="16"/>
                <w:szCs w:val="16"/>
              </w:rPr>
              <w:br/>
              <w:t>(d) at least a 25% relative increase and at least a 10% absolute increase in plasma cells in a bone marrow aspirate or on biopsy; or</w:t>
            </w:r>
            <w:r w:rsidRPr="006110AD">
              <w:rPr>
                <w:rFonts w:ascii="Arial" w:hAnsi="Arial" w:cs="Arial"/>
                <w:sz w:val="16"/>
                <w:szCs w:val="16"/>
              </w:rPr>
              <w:br/>
              <w:t>(e) an increase in the size or number of lytic bone lesions (not including compression fractures); or</w:t>
            </w:r>
            <w:r w:rsidRPr="006110AD">
              <w:rPr>
                <w:rFonts w:ascii="Arial" w:hAnsi="Arial" w:cs="Arial"/>
                <w:sz w:val="16"/>
                <w:szCs w:val="16"/>
              </w:rPr>
              <w:br/>
              <w:t>(f) at least a 25% increase in the size of an existing or the development of a new soft tissue plasmacytoma (determined by clinical examination or diagnostic imaging); or</w:t>
            </w:r>
            <w:r w:rsidRPr="006110AD">
              <w:rPr>
                <w:rFonts w:ascii="Arial" w:hAnsi="Arial" w:cs="Arial"/>
                <w:sz w:val="16"/>
                <w:szCs w:val="16"/>
              </w:rPr>
              <w:br/>
              <w:t>(g) development of hypercalcaemia (corrected serum calcium greater than 2.65 mmol per L not attributable to any other cause).</w:t>
            </w:r>
            <w:r w:rsidRPr="006110AD">
              <w:rPr>
                <w:rFonts w:ascii="Arial" w:hAnsi="Arial" w:cs="Arial"/>
                <w:sz w:val="16"/>
                <w:szCs w:val="16"/>
              </w:rPr>
              <w:br/>
              <w:t>Oligo-secretory and non-secretory patients are defined as having active disease with less than 10 g per L serum M protein.</w:t>
            </w:r>
            <w:r w:rsidRPr="006110AD">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6110AD" w:rsidRPr="006110AD" w:rsidRDefault="006110AD" w:rsidP="00FD2A3C">
            <w:pPr>
              <w:keepNext/>
              <w:spacing w:line="240" w:lineRule="auto"/>
              <w:rPr>
                <w:rFonts w:ascii="Arial" w:eastAsia="Arial" w:hAnsi="Arial" w:cs="Arial"/>
                <w:sz w:val="16"/>
                <w:szCs w:val="16"/>
                <w:lang w:eastAsia="zh-CN"/>
              </w:rPr>
            </w:pPr>
            <w:r w:rsidRPr="006110AD">
              <w:rPr>
                <w:rFonts w:ascii="Arial" w:hAnsi="Arial" w:cs="Arial"/>
                <w:sz w:val="16"/>
                <w:szCs w:val="16"/>
              </w:rPr>
              <w:t>Compliance with Authority Required procedures</w:t>
            </w:r>
          </w:p>
        </w:tc>
      </w:tr>
      <w:tr w:rsidR="00592D6B" w:rsidRPr="00E106BD" w:rsidDel="00BF560C" w:rsidTr="008929EB">
        <w:tc>
          <w:tcPr>
            <w:tcW w:w="1729" w:type="dxa"/>
            <w:tcMar>
              <w:top w:w="28" w:type="dxa"/>
              <w:left w:w="28" w:type="dxa"/>
            </w:tcMar>
          </w:tcPr>
          <w:p w:rsidR="00592D6B" w:rsidRPr="00E106BD" w:rsidDel="00BF560C" w:rsidRDefault="00592D6B" w:rsidP="00881477">
            <w:pPr>
              <w:spacing w:line="240" w:lineRule="auto"/>
              <w:rPr>
                <w:rFonts w:ascii="Arial" w:hAnsi="Arial" w:cs="Arial"/>
                <w:sz w:val="16"/>
                <w:szCs w:val="16"/>
              </w:rPr>
            </w:pPr>
          </w:p>
        </w:tc>
        <w:tc>
          <w:tcPr>
            <w:tcW w:w="709" w:type="dxa"/>
            <w:tcMar>
              <w:top w:w="28" w:type="dxa"/>
              <w:left w:w="28" w:type="dxa"/>
            </w:tcMar>
          </w:tcPr>
          <w:p w:rsidR="00592D6B" w:rsidRPr="00E106BD" w:rsidRDefault="00592D6B" w:rsidP="00881477">
            <w:pPr>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C10349</w:t>
            </w:r>
          </w:p>
        </w:tc>
        <w:tc>
          <w:tcPr>
            <w:tcW w:w="709" w:type="dxa"/>
            <w:tcMar>
              <w:top w:w="28" w:type="dxa"/>
              <w:left w:w="28" w:type="dxa"/>
            </w:tcMar>
          </w:tcPr>
          <w:p w:rsidR="00592D6B" w:rsidRPr="00E106BD" w:rsidDel="00BF560C"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after="60" w:line="240" w:lineRule="auto"/>
              <w:rPr>
                <w:rFonts w:ascii="Arial" w:eastAsia="Arial" w:hAnsi="Arial" w:cs="Arial"/>
                <w:sz w:val="16"/>
                <w:szCs w:val="16"/>
                <w:lang w:eastAsia="zh-CN"/>
              </w:rPr>
            </w:pPr>
            <w:r w:rsidRPr="003A13C5">
              <w:rPr>
                <w:rFonts w:ascii="Arial" w:hAnsi="Arial" w:cs="Arial"/>
                <w:sz w:val="16"/>
                <w:szCs w:val="16"/>
              </w:rPr>
              <w:t>Multiple myeloma</w:t>
            </w:r>
            <w:r w:rsidRPr="003A13C5">
              <w:rPr>
                <w:rFonts w:ascii="Arial" w:hAnsi="Arial" w:cs="Arial"/>
                <w:sz w:val="16"/>
                <w:szCs w:val="16"/>
              </w:rPr>
              <w:br/>
              <w:t>Continuing treatment as monotherapy or dual combination therapy with dexamethasone following initial treatment for progressive disease</w:t>
            </w:r>
            <w:r w:rsidRPr="003A13C5">
              <w:rPr>
                <w:rFonts w:ascii="Arial" w:hAnsi="Arial" w:cs="Arial"/>
                <w:sz w:val="16"/>
                <w:szCs w:val="16"/>
              </w:rPr>
              <w:br/>
              <w:t>Patient must have previously received PBS-subsidised treatment with this drug for relapsed or refractory multiple myeloma; AND</w:t>
            </w:r>
            <w:r w:rsidRPr="003A13C5">
              <w:rPr>
                <w:rFonts w:ascii="Arial" w:hAnsi="Arial" w:cs="Arial"/>
                <w:sz w:val="16"/>
                <w:szCs w:val="16"/>
              </w:rPr>
              <w:br/>
              <w:t>The treatment must be as monotherapy; OR</w:t>
            </w:r>
            <w:r w:rsidRPr="003A13C5">
              <w:rPr>
                <w:rFonts w:ascii="Arial" w:hAnsi="Arial" w:cs="Arial"/>
                <w:sz w:val="16"/>
                <w:szCs w:val="16"/>
              </w:rPr>
              <w:br/>
              <w:t>The treatment must be in combination with dexamethasone; AND</w:t>
            </w:r>
            <w:r w:rsidRPr="003A13C5">
              <w:rPr>
                <w:rFonts w:ascii="Arial" w:hAnsi="Arial" w:cs="Arial"/>
                <w:sz w:val="16"/>
                <w:szCs w:val="16"/>
              </w:rPr>
              <w:br/>
              <w:t>Patient must not be receiving concomitant PBS-subsidised bortezomib, carfilzomib or thalidomide or its analogues.</w:t>
            </w:r>
            <w:r w:rsidRPr="003A13C5">
              <w:rPr>
                <w:rFonts w:ascii="Arial" w:hAnsi="Arial" w:cs="Arial"/>
                <w:sz w:val="16"/>
                <w:szCs w:val="16"/>
              </w:rPr>
              <w:br/>
              <w:t>Patients receiving lenalidomide under the PBS listing must be registered in the i-access risk management program.</w:t>
            </w:r>
          </w:p>
        </w:tc>
        <w:tc>
          <w:tcPr>
            <w:tcW w:w="2552" w:type="dxa"/>
            <w:tcMar>
              <w:top w:w="28" w:type="dxa"/>
              <w:left w:w="28" w:type="dxa"/>
              <w:right w:w="57" w:type="dxa"/>
            </w:tcMar>
          </w:tcPr>
          <w:p w:rsidR="00592D6B" w:rsidRPr="00E106BD" w:rsidRDefault="00592D6B" w:rsidP="00FD2A3C">
            <w:pPr>
              <w:keepNext/>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Compliance with Authority Required procedures</w:t>
            </w:r>
          </w:p>
        </w:tc>
      </w:tr>
      <w:tr w:rsidR="00592D6B" w:rsidRPr="00E106BD" w:rsidDel="00BF560C" w:rsidTr="008929EB">
        <w:tc>
          <w:tcPr>
            <w:tcW w:w="1729" w:type="dxa"/>
            <w:tcMar>
              <w:top w:w="28" w:type="dxa"/>
              <w:left w:w="28" w:type="dxa"/>
            </w:tcMar>
          </w:tcPr>
          <w:p w:rsidR="00592D6B" w:rsidRPr="00E106BD" w:rsidDel="00BF560C" w:rsidRDefault="00592D6B" w:rsidP="00881477">
            <w:pPr>
              <w:spacing w:line="240" w:lineRule="auto"/>
              <w:rPr>
                <w:rFonts w:ascii="Arial" w:hAnsi="Arial" w:cs="Arial"/>
                <w:sz w:val="16"/>
                <w:szCs w:val="16"/>
              </w:rPr>
            </w:pPr>
          </w:p>
        </w:tc>
        <w:tc>
          <w:tcPr>
            <w:tcW w:w="709" w:type="dxa"/>
            <w:tcMar>
              <w:top w:w="28" w:type="dxa"/>
              <w:left w:w="28" w:type="dxa"/>
            </w:tcMar>
          </w:tcPr>
          <w:p w:rsidR="00592D6B" w:rsidRPr="00E106BD" w:rsidRDefault="00592D6B" w:rsidP="00881477">
            <w:pPr>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C10350</w:t>
            </w:r>
          </w:p>
        </w:tc>
        <w:tc>
          <w:tcPr>
            <w:tcW w:w="709" w:type="dxa"/>
            <w:tcMar>
              <w:top w:w="28" w:type="dxa"/>
              <w:left w:w="28" w:type="dxa"/>
            </w:tcMar>
          </w:tcPr>
          <w:p w:rsidR="00592D6B" w:rsidRPr="00E106BD" w:rsidDel="00BF560C"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after="60" w:line="240" w:lineRule="auto"/>
              <w:rPr>
                <w:rFonts w:ascii="Arial" w:eastAsia="Arial" w:hAnsi="Arial" w:cs="Arial"/>
                <w:sz w:val="16"/>
                <w:szCs w:val="16"/>
                <w:lang w:eastAsia="zh-CN"/>
              </w:rPr>
            </w:pPr>
            <w:r w:rsidRPr="003A13C5">
              <w:rPr>
                <w:rFonts w:ascii="Arial" w:hAnsi="Arial" w:cs="Arial"/>
                <w:sz w:val="16"/>
                <w:szCs w:val="16"/>
              </w:rPr>
              <w:t>Multiple myeloma</w:t>
            </w:r>
            <w:r w:rsidRPr="003A13C5">
              <w:rPr>
                <w:rFonts w:ascii="Arial" w:hAnsi="Arial" w:cs="Arial"/>
                <w:sz w:val="16"/>
                <w:szCs w:val="16"/>
              </w:rPr>
              <w:br/>
              <w:t>Initial treatment as monotherapy or dual combination therapy with dexamethasone for progressive disease</w:t>
            </w:r>
            <w:r w:rsidRPr="003A13C5">
              <w:rPr>
                <w:rFonts w:ascii="Arial" w:hAnsi="Arial" w:cs="Arial"/>
                <w:sz w:val="16"/>
                <w:szCs w:val="16"/>
              </w:rPr>
              <w:br/>
              <w:t>The condition must be confirmed by a histological diagnosis; AND</w:t>
            </w:r>
            <w:r w:rsidRPr="003A13C5">
              <w:rPr>
                <w:rFonts w:ascii="Arial" w:hAnsi="Arial" w:cs="Arial"/>
                <w:sz w:val="16"/>
                <w:szCs w:val="16"/>
              </w:rPr>
              <w:br/>
              <w:t>The treatment must be as monotherapy; OR</w:t>
            </w:r>
            <w:r w:rsidRPr="003A13C5">
              <w:rPr>
                <w:rFonts w:ascii="Arial" w:hAnsi="Arial" w:cs="Arial"/>
                <w:sz w:val="16"/>
                <w:szCs w:val="16"/>
              </w:rPr>
              <w:br/>
              <w:t>The treatment must be in combination with dexamethasone; AND</w:t>
            </w:r>
            <w:r w:rsidRPr="003A13C5">
              <w:rPr>
                <w:rFonts w:ascii="Arial" w:hAnsi="Arial" w:cs="Arial"/>
                <w:sz w:val="16"/>
                <w:szCs w:val="16"/>
              </w:rPr>
              <w:br/>
              <w:t>Patient must have progressive disease after at least one prior therapy; AND</w:t>
            </w:r>
            <w:r w:rsidRPr="003A13C5">
              <w:rPr>
                <w:rFonts w:ascii="Arial" w:hAnsi="Arial" w:cs="Arial"/>
                <w:sz w:val="16"/>
                <w:szCs w:val="16"/>
              </w:rPr>
              <w:br/>
              <w:t>Patient must have undergone or be ineligible for a primary stem cell transplant; AND</w:t>
            </w:r>
            <w:r w:rsidRPr="003A13C5">
              <w:rPr>
                <w:rFonts w:ascii="Arial" w:hAnsi="Arial" w:cs="Arial"/>
                <w:sz w:val="16"/>
                <w:szCs w:val="16"/>
              </w:rPr>
              <w:br/>
              <w:t>Patient must not be receiving concomitant PBS-subsidised bortezomib, carfilzomib or thalidomide or its analogues.</w:t>
            </w:r>
            <w:r w:rsidRPr="003A13C5">
              <w:rPr>
                <w:rFonts w:ascii="Arial" w:hAnsi="Arial" w:cs="Arial"/>
                <w:sz w:val="16"/>
                <w:szCs w:val="16"/>
              </w:rPr>
              <w:br/>
              <w:t>Progressive disease is defined as at least 1 of the following:</w:t>
            </w:r>
            <w:r w:rsidRPr="003A13C5">
              <w:rPr>
                <w:rFonts w:ascii="Arial" w:hAnsi="Arial" w:cs="Arial"/>
                <w:sz w:val="16"/>
                <w:szCs w:val="16"/>
              </w:rPr>
              <w:br/>
              <w:t>(a) at least a 25% increase and an absolute increase of at least 5 g per L in serum M protein (monoclonal protein); or</w:t>
            </w:r>
            <w:r w:rsidRPr="003A13C5">
              <w:rPr>
                <w:rFonts w:ascii="Arial" w:hAnsi="Arial" w:cs="Arial"/>
                <w:sz w:val="16"/>
                <w:szCs w:val="16"/>
              </w:rPr>
              <w:br/>
              <w:t>(b) at least a 25% increase in 24-hour urinary light chain M protein excretion, and an absolute increase of at least 200 mg per 24 hours; or</w:t>
            </w:r>
            <w:r w:rsidRPr="003A13C5">
              <w:rPr>
                <w:rFonts w:ascii="Arial" w:hAnsi="Arial" w:cs="Arial"/>
                <w:sz w:val="16"/>
                <w:szCs w:val="16"/>
              </w:rPr>
              <w:br/>
              <w:t>(c) in oligo-secretory and non-secretory myeloma patients only, at least a 50% increase in the difference between involved free light chain and uninvolved free light chain; or</w:t>
            </w:r>
            <w:r w:rsidRPr="003A13C5">
              <w:rPr>
                <w:rFonts w:ascii="Arial" w:hAnsi="Arial" w:cs="Arial"/>
                <w:sz w:val="16"/>
                <w:szCs w:val="16"/>
              </w:rPr>
              <w:br/>
              <w:t>(d) at least a 25% relative increase and at least a 10% absolute increase in plasma cells in a bone marrow aspirate or on biopsy; or</w:t>
            </w:r>
            <w:r w:rsidRPr="003A13C5">
              <w:rPr>
                <w:rFonts w:ascii="Arial" w:hAnsi="Arial" w:cs="Arial"/>
                <w:sz w:val="16"/>
                <w:szCs w:val="16"/>
              </w:rPr>
              <w:br/>
              <w:t>(e) an increase in the size or number of lytic bone lesions (not including compression fractures); or</w:t>
            </w:r>
            <w:r w:rsidRPr="003A13C5">
              <w:rPr>
                <w:rFonts w:ascii="Arial" w:hAnsi="Arial" w:cs="Arial"/>
                <w:sz w:val="16"/>
                <w:szCs w:val="16"/>
              </w:rPr>
              <w:br/>
              <w:t>(f) at least a 25% increase in the size of an existing or the development of a new soft tissue plasmacytoma (determined by clinical examination or diagnostic imaging); or</w:t>
            </w:r>
            <w:r w:rsidRPr="003A13C5">
              <w:rPr>
                <w:rFonts w:ascii="Arial" w:hAnsi="Arial" w:cs="Arial"/>
                <w:sz w:val="16"/>
                <w:szCs w:val="16"/>
              </w:rPr>
              <w:br/>
              <w:t>(g) development of hypercalcaemia (corrected serum calcium greater than 2.65 mmol per L not attributable to any other cause).</w:t>
            </w:r>
            <w:r w:rsidRPr="003A13C5">
              <w:rPr>
                <w:rFonts w:ascii="Arial" w:hAnsi="Arial" w:cs="Arial"/>
                <w:sz w:val="16"/>
                <w:szCs w:val="16"/>
              </w:rPr>
              <w:br/>
              <w:t>Oligo-secretory and non-secretory patients are defined as having active disease with less than 10 g per L serum M protein.</w:t>
            </w:r>
            <w:r w:rsidRPr="003A13C5">
              <w:rPr>
                <w:rFonts w:ascii="Arial" w:hAnsi="Arial" w:cs="Arial"/>
                <w:sz w:val="16"/>
                <w:szCs w:val="16"/>
              </w:rPr>
              <w:br/>
              <w:t>The authority application must be made in writing and must include:</w:t>
            </w:r>
            <w:r w:rsidRPr="003A13C5">
              <w:rPr>
                <w:rFonts w:ascii="Arial" w:hAnsi="Arial" w:cs="Arial"/>
                <w:sz w:val="16"/>
                <w:szCs w:val="16"/>
              </w:rPr>
              <w:br/>
              <w:t>(1) a completed authority prescription form; and</w:t>
            </w:r>
            <w:r w:rsidRPr="003A13C5">
              <w:rPr>
                <w:rFonts w:ascii="Arial" w:hAnsi="Arial" w:cs="Arial"/>
                <w:sz w:val="16"/>
                <w:szCs w:val="16"/>
              </w:rPr>
              <w:br/>
              <w:t>(2) a completed Multiple Myeloma lenalidomide Authority Application - Supporting Information Form, which includes details of the histological diagnosis of multiple myeloma, prior treatments including name(s) of drug(s) and date of most recent treatment cycle and record of prior stem cell transplant or ineligibility for prior stem cell transplant; details of the basis of the diagnosis of progressive disease or failure to respond; and nomination of which disease activity parameters will be used to assess response; and</w:t>
            </w:r>
            <w:r w:rsidRPr="003A13C5">
              <w:rPr>
                <w:rFonts w:ascii="Arial" w:hAnsi="Arial" w:cs="Arial"/>
                <w:sz w:val="16"/>
                <w:szCs w:val="16"/>
              </w:rPr>
              <w:br/>
              <w:t>(3) a signed patient acknowledgment.</w:t>
            </w:r>
            <w:r w:rsidRPr="003A13C5">
              <w:rPr>
                <w:rFonts w:ascii="Arial" w:hAnsi="Arial" w:cs="Arial"/>
                <w:sz w:val="16"/>
                <w:szCs w:val="16"/>
              </w:rPr>
              <w:br/>
              <w:t>To enable confirmation of eligibility for treatment, current diagnostic reports of at least one of the following must be provided:</w:t>
            </w:r>
            <w:r w:rsidRPr="003A13C5">
              <w:rPr>
                <w:rFonts w:ascii="Arial" w:hAnsi="Arial" w:cs="Arial"/>
                <w:sz w:val="16"/>
                <w:szCs w:val="16"/>
              </w:rPr>
              <w:br/>
              <w:t>(a) the level of serum monoclonal protein; or</w:t>
            </w:r>
            <w:r w:rsidRPr="003A13C5">
              <w:rPr>
                <w:rFonts w:ascii="Arial" w:hAnsi="Arial" w:cs="Arial"/>
                <w:sz w:val="16"/>
                <w:szCs w:val="16"/>
              </w:rPr>
              <w:br/>
              <w:t>(b) Bence-Jones proteinuria - the results of 24-hour urinary light chain M protein excretion; or</w:t>
            </w:r>
            <w:r w:rsidRPr="003A13C5">
              <w:rPr>
                <w:rFonts w:ascii="Arial" w:hAnsi="Arial" w:cs="Arial"/>
                <w:sz w:val="16"/>
                <w:szCs w:val="16"/>
              </w:rPr>
              <w:br/>
              <w:t>(c) the serum level of free kappa and lambda light chains; or</w:t>
            </w:r>
            <w:r w:rsidRPr="003A13C5">
              <w:rPr>
                <w:rFonts w:ascii="Arial" w:hAnsi="Arial" w:cs="Arial"/>
                <w:sz w:val="16"/>
                <w:szCs w:val="16"/>
              </w:rPr>
              <w:br/>
              <w:t>(d) bone marrow aspirate or trephine; or</w:t>
            </w:r>
            <w:r w:rsidRPr="003A13C5">
              <w:rPr>
                <w:rFonts w:ascii="Arial" w:hAnsi="Arial" w:cs="Arial"/>
                <w:sz w:val="16"/>
                <w:szCs w:val="16"/>
              </w:rPr>
              <w:br/>
              <w:t>(e) if present, the size and location of lytic bone lesions (not including compression fractures); or</w:t>
            </w:r>
            <w:r w:rsidRPr="003A13C5">
              <w:rPr>
                <w:rFonts w:ascii="Arial" w:hAnsi="Arial" w:cs="Arial"/>
                <w:sz w:val="16"/>
                <w:szCs w:val="16"/>
              </w:rPr>
              <w:br/>
              <w:t>(f) if present, the size and location of all soft tissue plasmacytomas by clinical or radiographic examination i.e. MRI or CT-scan; or</w:t>
            </w:r>
            <w:r w:rsidRPr="003A13C5">
              <w:rPr>
                <w:rFonts w:ascii="Arial" w:hAnsi="Arial" w:cs="Arial"/>
                <w:sz w:val="16"/>
                <w:szCs w:val="16"/>
              </w:rPr>
              <w:br/>
              <w:t>(g) if present, the level of hypercalcaemia, corrected for albumin concentration.</w:t>
            </w:r>
            <w:r w:rsidRPr="003A13C5">
              <w:rPr>
                <w:rFonts w:ascii="Arial" w:hAnsi="Arial" w:cs="Arial"/>
                <w:sz w:val="16"/>
                <w:szCs w:val="16"/>
              </w:rPr>
              <w:br/>
              <w:t>As these parameters will be used to determine response, results for either (a) or (b) or (c) should be provided for all patients. Where the patient has oligo-secretory or non-secretory multiple myeloma, either (c) or (d) or if relevant (e), (f) or (g) should be provided. Where the prescriber plans to assess response in patients with oligo-secretory or non-secretory multiple myeloma with free light chain assays, evidence of the oligo-secretory or non-secretory nature of the multiple myeloma (current serum M protein less than 10 g per L) must be provided.</w:t>
            </w:r>
            <w:r w:rsidRPr="003A13C5">
              <w:rPr>
                <w:rFonts w:ascii="Arial" w:hAnsi="Arial" w:cs="Arial"/>
                <w:sz w:val="16"/>
                <w:szCs w:val="16"/>
              </w:rPr>
              <w:br/>
              <w:t>Patients receiving lenalidomide under the PBS listing must be registered in the i-access risk management program.</w:t>
            </w:r>
          </w:p>
        </w:tc>
        <w:tc>
          <w:tcPr>
            <w:tcW w:w="2552" w:type="dxa"/>
            <w:tcMar>
              <w:top w:w="28" w:type="dxa"/>
              <w:left w:w="28" w:type="dxa"/>
              <w:right w:w="57" w:type="dxa"/>
            </w:tcMar>
          </w:tcPr>
          <w:p w:rsidR="00592D6B" w:rsidRPr="00E106BD" w:rsidRDefault="00592D6B" w:rsidP="00FD2A3C">
            <w:pPr>
              <w:keepNext/>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Compliance with Written Authority Required procedures</w:t>
            </w:r>
          </w:p>
        </w:tc>
      </w:tr>
      <w:tr w:rsidR="00592D6B" w:rsidRPr="00E106BD" w:rsidDel="00BF560C" w:rsidTr="008929EB">
        <w:tc>
          <w:tcPr>
            <w:tcW w:w="1729" w:type="dxa"/>
            <w:tcMar>
              <w:top w:w="28" w:type="dxa"/>
              <w:left w:w="28" w:type="dxa"/>
            </w:tcMar>
          </w:tcPr>
          <w:p w:rsidR="00592D6B" w:rsidRPr="00E106BD" w:rsidDel="00BF560C" w:rsidRDefault="00592D6B" w:rsidP="00881477">
            <w:pPr>
              <w:spacing w:line="240" w:lineRule="auto"/>
              <w:rPr>
                <w:rFonts w:ascii="Arial" w:hAnsi="Arial" w:cs="Arial"/>
                <w:sz w:val="16"/>
                <w:szCs w:val="16"/>
              </w:rPr>
            </w:pPr>
          </w:p>
        </w:tc>
        <w:tc>
          <w:tcPr>
            <w:tcW w:w="709" w:type="dxa"/>
            <w:tcMar>
              <w:top w:w="28" w:type="dxa"/>
              <w:left w:w="28" w:type="dxa"/>
            </w:tcMar>
          </w:tcPr>
          <w:p w:rsidR="00592D6B" w:rsidRPr="00E106BD" w:rsidRDefault="00592D6B" w:rsidP="00881477">
            <w:pPr>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C10373</w:t>
            </w:r>
          </w:p>
        </w:tc>
        <w:tc>
          <w:tcPr>
            <w:tcW w:w="709" w:type="dxa"/>
            <w:tcMar>
              <w:top w:w="28" w:type="dxa"/>
              <w:left w:w="28" w:type="dxa"/>
            </w:tcMar>
          </w:tcPr>
          <w:p w:rsidR="00592D6B" w:rsidRPr="00E106BD" w:rsidDel="00BF560C"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after="60" w:line="240" w:lineRule="auto"/>
              <w:rPr>
                <w:rFonts w:ascii="Arial" w:eastAsia="Arial" w:hAnsi="Arial" w:cs="Arial"/>
                <w:sz w:val="16"/>
                <w:szCs w:val="16"/>
                <w:lang w:eastAsia="zh-CN"/>
              </w:rPr>
            </w:pPr>
            <w:r w:rsidRPr="003A13C5">
              <w:rPr>
                <w:rFonts w:ascii="Arial" w:hAnsi="Arial" w:cs="Arial"/>
                <w:sz w:val="16"/>
                <w:szCs w:val="16"/>
              </w:rPr>
              <w:t>Multiple myeloma</w:t>
            </w:r>
            <w:r w:rsidRPr="003A13C5">
              <w:rPr>
                <w:rFonts w:ascii="Arial" w:hAnsi="Arial" w:cs="Arial"/>
                <w:sz w:val="16"/>
                <w:szCs w:val="16"/>
              </w:rPr>
              <w:br/>
              <w:t>Initial treatment in combination with dexamethasone, of newly diagnosed disease in a patient ineligible for stem cell transplantation</w:t>
            </w:r>
            <w:r w:rsidRPr="003A13C5">
              <w:rPr>
                <w:rFonts w:ascii="Arial" w:hAnsi="Arial" w:cs="Arial"/>
                <w:sz w:val="16"/>
                <w:szCs w:val="16"/>
              </w:rPr>
              <w:br/>
              <w:t>The condition must be newly diagnosed; AND</w:t>
            </w:r>
            <w:r w:rsidRPr="003A13C5">
              <w:rPr>
                <w:rFonts w:ascii="Arial" w:hAnsi="Arial" w:cs="Arial"/>
                <w:sz w:val="16"/>
                <w:szCs w:val="16"/>
              </w:rPr>
              <w:br/>
              <w:t>The condition must be confirmed by a histological diagnosis; AND</w:t>
            </w:r>
            <w:r w:rsidRPr="003A13C5">
              <w:rPr>
                <w:rFonts w:ascii="Arial" w:hAnsi="Arial" w:cs="Arial"/>
                <w:sz w:val="16"/>
                <w:szCs w:val="16"/>
              </w:rPr>
              <w:br/>
              <w:t>Patient must be ineligible for a primary stem cell transplantation; AND</w:t>
            </w:r>
            <w:r w:rsidRPr="003A13C5">
              <w:rPr>
                <w:rFonts w:ascii="Arial" w:hAnsi="Arial" w:cs="Arial"/>
                <w:sz w:val="16"/>
                <w:szCs w:val="16"/>
              </w:rPr>
              <w:br/>
              <w:t>Patient must not be receiving concomitant PBS-subsidised bortezomib, thalidomide or its analogues; AND</w:t>
            </w:r>
            <w:r w:rsidRPr="003A13C5">
              <w:rPr>
                <w:rFonts w:ascii="Arial" w:hAnsi="Arial" w:cs="Arial"/>
                <w:sz w:val="16"/>
                <w:szCs w:val="16"/>
              </w:rPr>
              <w:br/>
              <w:t>The treatment must be in combination with dexamethasone.</w:t>
            </w:r>
            <w:r w:rsidRPr="003A13C5">
              <w:rPr>
                <w:rFonts w:ascii="Arial" w:hAnsi="Arial" w:cs="Arial"/>
                <w:sz w:val="16"/>
                <w:szCs w:val="16"/>
              </w:rPr>
              <w:br/>
              <w:t>The authority application must be made in writing and must include:</w:t>
            </w:r>
            <w:r w:rsidRPr="003A13C5">
              <w:rPr>
                <w:rFonts w:ascii="Arial" w:hAnsi="Arial" w:cs="Arial"/>
                <w:sz w:val="16"/>
                <w:szCs w:val="16"/>
              </w:rPr>
              <w:br/>
              <w:t>(1) a completed authority prescription form; and</w:t>
            </w:r>
            <w:r w:rsidRPr="003A13C5">
              <w:rPr>
                <w:rFonts w:ascii="Arial" w:hAnsi="Arial" w:cs="Arial"/>
                <w:sz w:val="16"/>
                <w:szCs w:val="16"/>
              </w:rPr>
              <w:br/>
              <w:t>(2) a completed Multiple Myeloma lenalidomide Authority Application - Supporting Information Form, which includes details of the histological diagnosis of multiple myeloma, and ineligibility for prior stem cell transplant; and nomination of which disease activity parameters will be used to assess response; and</w:t>
            </w:r>
            <w:r w:rsidRPr="003A13C5">
              <w:rPr>
                <w:rFonts w:ascii="Arial" w:hAnsi="Arial" w:cs="Arial"/>
                <w:sz w:val="16"/>
                <w:szCs w:val="16"/>
              </w:rPr>
              <w:br/>
              <w:t>(3) a signed patient acknowledgement.</w:t>
            </w:r>
            <w:r w:rsidRPr="003A13C5">
              <w:rPr>
                <w:rFonts w:ascii="Arial" w:hAnsi="Arial" w:cs="Arial"/>
                <w:sz w:val="16"/>
                <w:szCs w:val="16"/>
              </w:rPr>
              <w:br/>
              <w:t>To enable confirmation of eligibility for treatment, current diagnostic reports of at least one of the following must be provided:</w:t>
            </w:r>
            <w:r w:rsidRPr="003A13C5">
              <w:rPr>
                <w:rFonts w:ascii="Arial" w:hAnsi="Arial" w:cs="Arial"/>
                <w:sz w:val="16"/>
                <w:szCs w:val="16"/>
              </w:rPr>
              <w:br/>
              <w:t>(a) the level of serum monoclonal protein; or</w:t>
            </w:r>
            <w:r w:rsidRPr="003A13C5">
              <w:rPr>
                <w:rFonts w:ascii="Arial" w:hAnsi="Arial" w:cs="Arial"/>
                <w:sz w:val="16"/>
                <w:szCs w:val="16"/>
              </w:rPr>
              <w:br/>
              <w:t>(b) Bence-Jones proteinuria - the results of 24-hour urinary light chain M protein excretion; or</w:t>
            </w:r>
            <w:r w:rsidRPr="003A13C5">
              <w:rPr>
                <w:rFonts w:ascii="Arial" w:hAnsi="Arial" w:cs="Arial"/>
                <w:sz w:val="16"/>
                <w:szCs w:val="16"/>
              </w:rPr>
              <w:br/>
              <w:t>(c) the serum level of free kappa and lambda light chains; or</w:t>
            </w:r>
            <w:r w:rsidRPr="003A13C5">
              <w:rPr>
                <w:rFonts w:ascii="Arial" w:hAnsi="Arial" w:cs="Arial"/>
                <w:sz w:val="16"/>
                <w:szCs w:val="16"/>
              </w:rPr>
              <w:br/>
              <w:t>(d) bone marrow aspirate or trephine; or</w:t>
            </w:r>
            <w:r w:rsidRPr="003A13C5">
              <w:rPr>
                <w:rFonts w:ascii="Arial" w:hAnsi="Arial" w:cs="Arial"/>
                <w:sz w:val="16"/>
                <w:szCs w:val="16"/>
              </w:rPr>
              <w:br/>
              <w:t>(e) if present, the size and location of lytic bone lesions (not including compression fractures); or</w:t>
            </w:r>
            <w:r w:rsidRPr="003A13C5">
              <w:rPr>
                <w:rFonts w:ascii="Arial" w:hAnsi="Arial" w:cs="Arial"/>
                <w:sz w:val="16"/>
                <w:szCs w:val="16"/>
              </w:rPr>
              <w:br/>
              <w:t>(f) if present, the size and location of all soft tissue plasmacytomas by clinical or radiographic examination i.e. MRI or CT-scan; or</w:t>
            </w:r>
            <w:r w:rsidRPr="003A13C5">
              <w:rPr>
                <w:rFonts w:ascii="Arial" w:hAnsi="Arial" w:cs="Arial"/>
                <w:sz w:val="16"/>
                <w:szCs w:val="16"/>
              </w:rPr>
              <w:br/>
              <w:t>(g) if present, the level of hypercalcaemia, corrected for albumin concentration.</w:t>
            </w:r>
            <w:r w:rsidRPr="003A13C5">
              <w:rPr>
                <w:rFonts w:ascii="Arial" w:hAnsi="Arial" w:cs="Arial"/>
                <w:sz w:val="16"/>
                <w:szCs w:val="16"/>
              </w:rPr>
              <w:br/>
              <w:t>As these parameters will be used to determine response, results for either (a) or (b) or (c) should be provided for all patients. Where the patient has oligo-secretory or non-secretory multiple myeloma, either (c) or (d) or if relevant (e), (f) or (g) should be provided. Where the prescriber plans to assess response in patients with oligo-secretory or non-secretory multiple myeloma with free light chain assays, evidence of the oligo-secretory or non-secretory nature of the multiple myeloma (current serum M protein less than 10 g per L) must be provided.</w:t>
            </w:r>
            <w:r w:rsidRPr="003A13C5">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592D6B" w:rsidRPr="00E106BD" w:rsidRDefault="00592D6B" w:rsidP="00FD2A3C">
            <w:pPr>
              <w:keepNext/>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Compliance with Written Authority Required procedures</w:t>
            </w:r>
          </w:p>
        </w:tc>
      </w:tr>
      <w:tr w:rsidR="00592D6B" w:rsidRPr="00E106BD" w:rsidDel="00BF560C" w:rsidTr="008929EB">
        <w:tc>
          <w:tcPr>
            <w:tcW w:w="1729" w:type="dxa"/>
            <w:tcMar>
              <w:top w:w="28" w:type="dxa"/>
              <w:left w:w="28" w:type="dxa"/>
            </w:tcMar>
          </w:tcPr>
          <w:p w:rsidR="00592D6B" w:rsidRPr="00A42AFE" w:rsidDel="00BF560C" w:rsidRDefault="00592D6B" w:rsidP="00881477">
            <w:pPr>
              <w:spacing w:line="240" w:lineRule="auto"/>
              <w:rPr>
                <w:rFonts w:ascii="Arial" w:hAnsi="Arial" w:cs="Arial"/>
                <w:sz w:val="16"/>
                <w:szCs w:val="16"/>
              </w:rPr>
            </w:pPr>
          </w:p>
        </w:tc>
        <w:tc>
          <w:tcPr>
            <w:tcW w:w="709" w:type="dxa"/>
            <w:tcMar>
              <w:top w:w="28" w:type="dxa"/>
              <w:left w:w="28" w:type="dxa"/>
            </w:tcMar>
          </w:tcPr>
          <w:p w:rsidR="00592D6B" w:rsidRPr="00A42AFE" w:rsidRDefault="00592D6B" w:rsidP="00881477">
            <w:pPr>
              <w:spacing w:line="240" w:lineRule="auto"/>
              <w:rPr>
                <w:rFonts w:ascii="Arial" w:eastAsia="Arial" w:hAnsi="Arial" w:cs="Arial"/>
                <w:sz w:val="16"/>
                <w:szCs w:val="16"/>
                <w:lang w:eastAsia="zh-CN"/>
              </w:rPr>
            </w:pPr>
            <w:r w:rsidRPr="00FA5A82">
              <w:rPr>
                <w:rFonts w:ascii="Arial" w:hAnsi="Arial" w:cs="Arial"/>
                <w:sz w:val="16"/>
                <w:szCs w:val="16"/>
              </w:rPr>
              <w:t>C10427</w:t>
            </w:r>
          </w:p>
        </w:tc>
        <w:tc>
          <w:tcPr>
            <w:tcW w:w="709" w:type="dxa"/>
            <w:tcMar>
              <w:top w:w="28" w:type="dxa"/>
              <w:left w:w="28" w:type="dxa"/>
            </w:tcMar>
          </w:tcPr>
          <w:p w:rsidR="00592D6B" w:rsidRPr="00A42AFE" w:rsidDel="00BF560C"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A42AFE" w:rsidRDefault="00592D6B"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Continuing treatment until progression in patients initiated on dual combination therapy (lenalidomide and dexamethasone), or, in patients initiated on triple therapy (lenalidomide, bortezomib and dexamethasone during treatment cycles 1 up to 8) and are now being treated with treatment cycle 9 or beyond</w:t>
            </w:r>
            <w:r w:rsidRPr="00FA5A82">
              <w:rPr>
                <w:rFonts w:ascii="Arial" w:hAnsi="Arial" w:cs="Arial"/>
                <w:sz w:val="16"/>
                <w:szCs w:val="16"/>
              </w:rPr>
              <w:br/>
              <w:t>Patient must have previously been authorised with a PBS prescription with this drug for the condition; AND</w:t>
            </w:r>
            <w:r w:rsidRPr="00FA5A82">
              <w:rPr>
                <w:rFonts w:ascii="Arial" w:hAnsi="Arial" w:cs="Arial"/>
                <w:sz w:val="16"/>
                <w:szCs w:val="16"/>
              </w:rPr>
              <w:br/>
              <w:t>Patient must not have demonstrated progressive disease; AND</w:t>
            </w:r>
            <w:r w:rsidRPr="00FA5A82">
              <w:rPr>
                <w:rFonts w:ascii="Arial" w:hAnsi="Arial" w:cs="Arial"/>
                <w:sz w:val="16"/>
                <w:szCs w:val="16"/>
              </w:rPr>
              <w:br/>
              <w:t>Patient must not be receiving concomitant PBS-subsidised bortezomib, thalidomide or its analogues; AND</w:t>
            </w:r>
            <w:r w:rsidRPr="00FA5A82">
              <w:rPr>
                <w:rFonts w:ascii="Arial" w:hAnsi="Arial" w:cs="Arial"/>
                <w:sz w:val="16"/>
                <w:szCs w:val="16"/>
              </w:rPr>
              <w:br/>
              <w:t>The treatment must be in combination with dexamethasone.</w:t>
            </w:r>
            <w:r w:rsidRPr="00FA5A82">
              <w:rPr>
                <w:rFonts w:ascii="Arial" w:hAnsi="Arial" w:cs="Arial"/>
                <w:sz w:val="16"/>
                <w:szCs w:val="16"/>
              </w:rPr>
              <w:br/>
              <w:t>Progressive disease is defined as at least 1 of the following:</w:t>
            </w:r>
            <w:r w:rsidRPr="00FA5A82">
              <w:rPr>
                <w:rFonts w:ascii="Arial" w:hAnsi="Arial" w:cs="Arial"/>
                <w:sz w:val="16"/>
                <w:szCs w:val="16"/>
              </w:rPr>
              <w:br/>
              <w:t>(a) at least a 25% increase and an absolute increase of at least 5 g per L in serum M protein (monoclonal protein); or</w:t>
            </w:r>
            <w:r w:rsidRPr="00FA5A82">
              <w:rPr>
                <w:rFonts w:ascii="Arial" w:hAnsi="Arial" w:cs="Arial"/>
                <w:sz w:val="16"/>
                <w:szCs w:val="16"/>
              </w:rPr>
              <w:br/>
              <w:t>(b) at least a 25% increase in 24-hour urinary light chain M protein excretion, and an absolute increase of at least 200 mg per 24 hours; or</w:t>
            </w:r>
            <w:r w:rsidRPr="00FA5A82">
              <w:rPr>
                <w:rFonts w:ascii="Arial" w:hAnsi="Arial" w:cs="Arial"/>
                <w:sz w:val="16"/>
                <w:szCs w:val="16"/>
              </w:rPr>
              <w:br/>
              <w:t>(c) in oligo-secretory and non-secretory myeloma patients only, at least a 50% increase in the difference between involved free light chain and uninvolved free light chain; or</w:t>
            </w:r>
            <w:r w:rsidRPr="00FA5A82">
              <w:rPr>
                <w:rFonts w:ascii="Arial" w:hAnsi="Arial" w:cs="Arial"/>
                <w:sz w:val="16"/>
                <w:szCs w:val="16"/>
              </w:rPr>
              <w:br/>
              <w:t>(d) at least a 25% relative increase and at least a 10% absolute increase in plasma cells in a bone marrow aspirate or on biopsy; or</w:t>
            </w:r>
            <w:r w:rsidRPr="00FA5A82">
              <w:rPr>
                <w:rFonts w:ascii="Arial" w:hAnsi="Arial" w:cs="Arial"/>
                <w:sz w:val="16"/>
                <w:szCs w:val="16"/>
              </w:rPr>
              <w:br/>
              <w:t>(e) an increase in the size or number of lytic bone lesions (not including compression fractures); or</w:t>
            </w:r>
            <w:r w:rsidRPr="00FA5A82">
              <w:rPr>
                <w:rFonts w:ascii="Arial" w:hAnsi="Arial" w:cs="Arial"/>
                <w:sz w:val="16"/>
                <w:szCs w:val="16"/>
              </w:rPr>
              <w:br/>
              <w:t>(f) at least a 25% increase in the size of an existing or the development of a new soft tissue plasmacytoma (determined by clinical examination or diagnostic imaging); or</w:t>
            </w:r>
            <w:r w:rsidRPr="00FA5A82">
              <w:rPr>
                <w:rFonts w:ascii="Arial" w:hAnsi="Arial" w:cs="Arial"/>
                <w:sz w:val="16"/>
                <w:szCs w:val="16"/>
              </w:rPr>
              <w:br/>
              <w:t>(g) development of hypercalcaemia (corrected serum calcium greater than 2.65 mmol per L not attributable to any other cause).</w:t>
            </w:r>
            <w:r w:rsidRPr="00FA5A82">
              <w:rPr>
                <w:rFonts w:ascii="Arial" w:hAnsi="Arial" w:cs="Arial"/>
                <w:sz w:val="16"/>
                <w:szCs w:val="16"/>
              </w:rPr>
              <w:br/>
              <w:t>Oligo-secretory and non-secretory patients are defined as having active disease with less than 10 g per L serum M protein.</w:t>
            </w:r>
            <w:r w:rsidRPr="00FA5A82">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592D6B" w:rsidRPr="00A42AFE" w:rsidRDefault="00592D6B" w:rsidP="00FD2A3C">
            <w:pPr>
              <w:keepNext/>
              <w:spacing w:line="240" w:lineRule="auto"/>
              <w:rPr>
                <w:rFonts w:ascii="Arial" w:eastAsia="Arial" w:hAnsi="Arial" w:cs="Arial"/>
                <w:sz w:val="16"/>
                <w:szCs w:val="16"/>
                <w:lang w:eastAsia="zh-CN"/>
              </w:rPr>
            </w:pPr>
            <w:r w:rsidRPr="00FA5A82">
              <w:rPr>
                <w:rFonts w:ascii="Arial" w:hAnsi="Arial" w:cs="Arial"/>
                <w:sz w:val="16"/>
                <w:szCs w:val="16"/>
              </w:rPr>
              <w:t>Compliance with Authority Required procedures</w:t>
            </w:r>
          </w:p>
        </w:tc>
      </w:tr>
      <w:tr w:rsidR="00592D6B" w:rsidRPr="00E106BD" w:rsidDel="00BF560C" w:rsidTr="008929EB">
        <w:tc>
          <w:tcPr>
            <w:tcW w:w="1729" w:type="dxa"/>
            <w:tcMar>
              <w:top w:w="28" w:type="dxa"/>
              <w:left w:w="28" w:type="dxa"/>
            </w:tcMar>
          </w:tcPr>
          <w:p w:rsidR="00592D6B" w:rsidRPr="00A42AFE" w:rsidDel="00BF560C" w:rsidRDefault="00592D6B" w:rsidP="00881477">
            <w:pPr>
              <w:spacing w:line="240" w:lineRule="auto"/>
              <w:rPr>
                <w:rFonts w:ascii="Arial" w:hAnsi="Arial" w:cs="Arial"/>
                <w:sz w:val="16"/>
                <w:szCs w:val="16"/>
              </w:rPr>
            </w:pPr>
          </w:p>
        </w:tc>
        <w:tc>
          <w:tcPr>
            <w:tcW w:w="709" w:type="dxa"/>
            <w:tcMar>
              <w:top w:w="28" w:type="dxa"/>
              <w:left w:w="28" w:type="dxa"/>
            </w:tcMar>
          </w:tcPr>
          <w:p w:rsidR="00592D6B" w:rsidRPr="00A42AFE" w:rsidRDefault="00592D6B" w:rsidP="00881477">
            <w:pPr>
              <w:spacing w:line="240" w:lineRule="auto"/>
              <w:rPr>
                <w:rFonts w:ascii="Arial" w:eastAsia="Arial" w:hAnsi="Arial" w:cs="Arial"/>
                <w:sz w:val="16"/>
                <w:szCs w:val="16"/>
                <w:lang w:eastAsia="zh-CN"/>
              </w:rPr>
            </w:pPr>
            <w:r w:rsidRPr="00FA5A82">
              <w:rPr>
                <w:rFonts w:ascii="Arial" w:hAnsi="Arial" w:cs="Arial"/>
                <w:sz w:val="16"/>
                <w:szCs w:val="16"/>
              </w:rPr>
              <w:t>C10428</w:t>
            </w:r>
          </w:p>
        </w:tc>
        <w:tc>
          <w:tcPr>
            <w:tcW w:w="709" w:type="dxa"/>
            <w:tcMar>
              <w:top w:w="28" w:type="dxa"/>
              <w:left w:w="28" w:type="dxa"/>
            </w:tcMar>
          </w:tcPr>
          <w:p w:rsidR="00592D6B" w:rsidRPr="00A42AFE" w:rsidDel="00BF560C"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A42AFE" w:rsidRDefault="00592D6B"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Initial treatment with triple therapy (lenalidomide, bortezomib and dexamethasone) for the first 4 treatment cycles (cycles 1 to 4) administered in a 28-day treatment cycle</w:t>
            </w:r>
            <w:r w:rsidRPr="00FA5A82">
              <w:rPr>
                <w:rFonts w:ascii="Arial" w:hAnsi="Arial" w:cs="Arial"/>
                <w:sz w:val="16"/>
                <w:szCs w:val="16"/>
              </w:rPr>
              <w:br/>
              <w:t>The condition must be newly diagnosed; AND</w:t>
            </w:r>
            <w:r w:rsidRPr="00FA5A82">
              <w:rPr>
                <w:rFonts w:ascii="Arial" w:hAnsi="Arial" w:cs="Arial"/>
                <w:sz w:val="16"/>
                <w:szCs w:val="16"/>
              </w:rPr>
              <w:br/>
              <w:t>The condition must be confirmed by a histological diagnosis; AND</w:t>
            </w:r>
            <w:r w:rsidRPr="00FA5A82">
              <w:rPr>
                <w:rFonts w:ascii="Arial" w:hAnsi="Arial" w:cs="Arial"/>
                <w:sz w:val="16"/>
                <w:szCs w:val="16"/>
              </w:rPr>
              <w:br/>
              <w:t>Patient must not be receiving concomitant PBS-subsidised carfilzomib, thalidomide or its analogues; AND</w:t>
            </w:r>
            <w:r w:rsidRPr="00FA5A82">
              <w:rPr>
                <w:rFonts w:ascii="Arial" w:hAnsi="Arial" w:cs="Arial"/>
                <w:sz w:val="16"/>
                <w:szCs w:val="16"/>
              </w:rPr>
              <w:br/>
              <w:t>The treatment must be in combination with bortezomib and dexamethasone; AND</w:t>
            </w:r>
            <w:r w:rsidRPr="00FA5A82">
              <w:rPr>
                <w:rFonts w:ascii="Arial" w:hAnsi="Arial" w:cs="Arial"/>
                <w:sz w:val="16"/>
                <w:szCs w:val="16"/>
              </w:rPr>
              <w:br/>
              <w:t>Patient must not have been treated with lenalidomide or bortezomib for this condition; AND</w:t>
            </w:r>
            <w:r w:rsidRPr="00FA5A82">
              <w:rPr>
                <w:rFonts w:ascii="Arial" w:hAnsi="Arial" w:cs="Arial"/>
                <w:sz w:val="16"/>
                <w:szCs w:val="16"/>
              </w:rPr>
              <w:br/>
              <w:t>The treatment must not exceed a total of 4 cycles under this restriction.</w:t>
            </w:r>
            <w:r w:rsidRPr="00FA5A82">
              <w:rPr>
                <w:rFonts w:ascii="Arial" w:hAnsi="Arial" w:cs="Arial"/>
                <w:sz w:val="16"/>
                <w:szCs w:val="16"/>
              </w:rPr>
              <w:br/>
              <w:t>The authority application must be made in writing and must include:</w:t>
            </w:r>
            <w:r w:rsidRPr="00FA5A82">
              <w:rPr>
                <w:rFonts w:ascii="Arial" w:hAnsi="Arial" w:cs="Arial"/>
                <w:sz w:val="16"/>
                <w:szCs w:val="16"/>
              </w:rPr>
              <w:br/>
              <w:t>(1) a completed authority prescription form; and</w:t>
            </w:r>
            <w:r w:rsidRPr="00FA5A82">
              <w:rPr>
                <w:rFonts w:ascii="Arial" w:hAnsi="Arial" w:cs="Arial"/>
                <w:sz w:val="16"/>
                <w:szCs w:val="16"/>
              </w:rPr>
              <w:br/>
              <w:t>(2) a completed Multiple Myeloma lenalidomide Authority Application - Supporting Information Form, which includes details of the histological diagnosis of multiple myeloma, and nomination of which disease activity parameters will be used to assess response.</w:t>
            </w:r>
            <w:r w:rsidRPr="00FA5A82">
              <w:rPr>
                <w:rFonts w:ascii="Arial" w:hAnsi="Arial" w:cs="Arial"/>
                <w:sz w:val="16"/>
                <w:szCs w:val="16"/>
              </w:rPr>
              <w:br/>
              <w:t>To enable confirmation of eligibility for treatment, current pathology results of (for items a, b, c, g), or, a statement that diagnosis was based on (for items d, e, f) at least one of the following must be provided:</w:t>
            </w:r>
            <w:r w:rsidRPr="00FA5A82">
              <w:rPr>
                <w:rFonts w:ascii="Arial" w:hAnsi="Arial" w:cs="Arial"/>
                <w:sz w:val="16"/>
                <w:szCs w:val="16"/>
              </w:rPr>
              <w:br/>
              <w:t>(a) the level of serum monoclonal protein; or</w:t>
            </w:r>
            <w:r w:rsidRPr="00FA5A82">
              <w:rPr>
                <w:rFonts w:ascii="Arial" w:hAnsi="Arial" w:cs="Arial"/>
                <w:sz w:val="16"/>
                <w:szCs w:val="16"/>
              </w:rPr>
              <w:br/>
              <w:t>(b) Bence-Jones proteinuria - the results of 24-hour urinary light chain M protein excretion; or</w:t>
            </w:r>
            <w:r w:rsidRPr="00FA5A82">
              <w:rPr>
                <w:rFonts w:ascii="Arial" w:hAnsi="Arial" w:cs="Arial"/>
                <w:sz w:val="16"/>
                <w:szCs w:val="16"/>
              </w:rPr>
              <w:br/>
              <w:t>(c) the serum level of free kappa and lambda light chains; or</w:t>
            </w:r>
            <w:r w:rsidRPr="00FA5A82">
              <w:rPr>
                <w:rFonts w:ascii="Arial" w:hAnsi="Arial" w:cs="Arial"/>
                <w:sz w:val="16"/>
                <w:szCs w:val="16"/>
              </w:rPr>
              <w:br/>
              <w:t>(d) bone marrow aspirate or trephine; or</w:t>
            </w:r>
            <w:r w:rsidRPr="00FA5A82">
              <w:rPr>
                <w:rFonts w:ascii="Arial" w:hAnsi="Arial" w:cs="Arial"/>
                <w:sz w:val="16"/>
                <w:szCs w:val="16"/>
              </w:rPr>
              <w:br/>
              <w:t>(e) if present, the size and location of lytic bone lesions (not including compression fractures); or</w:t>
            </w:r>
            <w:r w:rsidRPr="00FA5A82">
              <w:rPr>
                <w:rFonts w:ascii="Arial" w:hAnsi="Arial" w:cs="Arial"/>
                <w:sz w:val="16"/>
                <w:szCs w:val="16"/>
              </w:rPr>
              <w:br/>
              <w:t>(f) if present, the size and location of all soft tissue plasmacytomas by clinical or radiographic examination i.e. MRI or CT-scan; or</w:t>
            </w:r>
            <w:r w:rsidRPr="00FA5A82">
              <w:rPr>
                <w:rFonts w:ascii="Arial" w:hAnsi="Arial" w:cs="Arial"/>
                <w:sz w:val="16"/>
                <w:szCs w:val="16"/>
              </w:rPr>
              <w:br/>
              <w:t>(g) if present, the level of hypercalcaemia, corrected for albumin concentration.</w:t>
            </w:r>
            <w:r w:rsidRPr="00FA5A82">
              <w:rPr>
                <w:rFonts w:ascii="Arial" w:hAnsi="Arial" w:cs="Arial"/>
                <w:sz w:val="16"/>
                <w:szCs w:val="16"/>
              </w:rPr>
              <w:br/>
              <w:t>As these parameters will be used to determine response, results for either (a) or (b) or (c) should be provided for all patients and kept on the patient</w:t>
            </w:r>
            <w:r w:rsidR="00A653CA">
              <w:rPr>
                <w:rFonts w:ascii="Arial" w:hAnsi="Arial" w:cs="Arial"/>
                <w:sz w:val="16"/>
                <w:szCs w:val="16"/>
              </w:rPr>
              <w:t>’</w:t>
            </w:r>
            <w:r w:rsidRPr="00FA5A82">
              <w:rPr>
                <w:rFonts w:ascii="Arial" w:hAnsi="Arial" w:cs="Arial"/>
                <w:sz w:val="16"/>
                <w:szCs w:val="16"/>
              </w:rPr>
              <w:t>s records. Where the patient has oligo-secretory or non-secretory multiple myeloma, either (c) or (d) or if relevant (e), (f) or (g) should be stated/declared. Where the prescriber plans to assess response in patients with oligo-secretory or non-secretory multiple myeloma with free light chain assays, evidence of the oligo-secretory or non-secretory nature of the multiple myeloma (current serum M protein less than 10 g per L) must be declared to be held on the patient</w:t>
            </w:r>
            <w:r w:rsidR="00A653CA">
              <w:rPr>
                <w:rFonts w:ascii="Arial" w:hAnsi="Arial" w:cs="Arial"/>
                <w:sz w:val="16"/>
                <w:szCs w:val="16"/>
              </w:rPr>
              <w:t>’</w:t>
            </w:r>
            <w:r w:rsidRPr="00FA5A82">
              <w:rPr>
                <w:rFonts w:ascii="Arial" w:hAnsi="Arial" w:cs="Arial"/>
                <w:sz w:val="16"/>
                <w:szCs w:val="16"/>
              </w:rPr>
              <w:t>s medical records.</w:t>
            </w:r>
            <w:r w:rsidRPr="00FA5A82">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592D6B" w:rsidRPr="00A42AFE" w:rsidRDefault="00592D6B" w:rsidP="00FD2A3C">
            <w:pPr>
              <w:keepNext/>
              <w:spacing w:line="240" w:lineRule="auto"/>
              <w:rPr>
                <w:rFonts w:ascii="Arial" w:eastAsia="Arial" w:hAnsi="Arial" w:cs="Arial"/>
                <w:sz w:val="16"/>
                <w:szCs w:val="16"/>
                <w:lang w:eastAsia="zh-CN"/>
              </w:rPr>
            </w:pPr>
            <w:r w:rsidRPr="00FA5A82">
              <w:rPr>
                <w:rFonts w:ascii="Arial" w:hAnsi="Arial" w:cs="Arial"/>
                <w:sz w:val="16"/>
                <w:szCs w:val="16"/>
              </w:rPr>
              <w:t>Compliance with Written Authority Required procedures</w:t>
            </w:r>
          </w:p>
        </w:tc>
      </w:tr>
      <w:tr w:rsidR="00592D6B" w:rsidRPr="00E106BD" w:rsidDel="00BF560C" w:rsidTr="008929EB">
        <w:tc>
          <w:tcPr>
            <w:tcW w:w="1729" w:type="dxa"/>
            <w:tcMar>
              <w:top w:w="28" w:type="dxa"/>
              <w:left w:w="28" w:type="dxa"/>
            </w:tcMar>
          </w:tcPr>
          <w:p w:rsidR="00592D6B" w:rsidRPr="00A42AFE" w:rsidDel="00BF560C" w:rsidRDefault="00592D6B" w:rsidP="00881477">
            <w:pPr>
              <w:spacing w:line="240" w:lineRule="auto"/>
              <w:rPr>
                <w:rFonts w:ascii="Arial" w:hAnsi="Arial" w:cs="Arial"/>
                <w:sz w:val="16"/>
                <w:szCs w:val="16"/>
              </w:rPr>
            </w:pPr>
          </w:p>
        </w:tc>
        <w:tc>
          <w:tcPr>
            <w:tcW w:w="709" w:type="dxa"/>
            <w:tcMar>
              <w:top w:w="28" w:type="dxa"/>
              <w:left w:w="28" w:type="dxa"/>
            </w:tcMar>
          </w:tcPr>
          <w:p w:rsidR="00592D6B" w:rsidRPr="00A42AFE" w:rsidRDefault="00592D6B" w:rsidP="00881477">
            <w:pPr>
              <w:spacing w:line="240" w:lineRule="auto"/>
              <w:rPr>
                <w:rFonts w:ascii="Arial" w:eastAsia="Arial" w:hAnsi="Arial" w:cs="Arial"/>
                <w:sz w:val="16"/>
                <w:szCs w:val="16"/>
                <w:lang w:eastAsia="zh-CN"/>
              </w:rPr>
            </w:pPr>
            <w:r w:rsidRPr="00FA5A82">
              <w:rPr>
                <w:rFonts w:ascii="Arial" w:hAnsi="Arial" w:cs="Arial"/>
                <w:sz w:val="16"/>
                <w:szCs w:val="16"/>
              </w:rPr>
              <w:t>C10429</w:t>
            </w:r>
          </w:p>
        </w:tc>
        <w:tc>
          <w:tcPr>
            <w:tcW w:w="709" w:type="dxa"/>
            <w:tcMar>
              <w:top w:w="28" w:type="dxa"/>
              <w:left w:w="28" w:type="dxa"/>
            </w:tcMar>
          </w:tcPr>
          <w:p w:rsidR="00592D6B" w:rsidRPr="00A42AFE" w:rsidDel="00BF560C"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A42AFE" w:rsidRDefault="00592D6B"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Continuing treatment of triple therapy (lenalidomide, bortezomib and dexamethasone) for treatment cycles 5 and 6 (administered using 28-day treatment cycles)</w:t>
            </w:r>
            <w:r w:rsidRPr="00FA5A82">
              <w:rPr>
                <w:rFonts w:ascii="Arial" w:hAnsi="Arial" w:cs="Arial"/>
                <w:sz w:val="16"/>
                <w:szCs w:val="16"/>
              </w:rPr>
              <w:br/>
              <w:t>Patient must have received PBS-subsidised treatment with this drug under the treatment phase covering cycles 1 to 4; AND</w:t>
            </w:r>
            <w:r w:rsidRPr="00FA5A82">
              <w:rPr>
                <w:rFonts w:ascii="Arial" w:hAnsi="Arial" w:cs="Arial"/>
                <w:sz w:val="16"/>
                <w:szCs w:val="16"/>
              </w:rPr>
              <w:br/>
              <w:t>Patient must not be receiving concomitant PBS-subsidised carfilzomib, thalidomide or its analogues; AND</w:t>
            </w:r>
            <w:r w:rsidRPr="00FA5A82">
              <w:rPr>
                <w:rFonts w:ascii="Arial" w:hAnsi="Arial" w:cs="Arial"/>
                <w:sz w:val="16"/>
                <w:szCs w:val="16"/>
              </w:rPr>
              <w:br/>
              <w:t>The treatment must be in combination with bortezomib and dexamethasone; AND</w:t>
            </w:r>
            <w:r w:rsidRPr="00FA5A82">
              <w:rPr>
                <w:rFonts w:ascii="Arial" w:hAnsi="Arial" w:cs="Arial"/>
                <w:sz w:val="16"/>
                <w:szCs w:val="16"/>
              </w:rPr>
              <w:br/>
              <w:t>The treatment must not exceed a total of 2 cycles under this restriction.</w:t>
            </w:r>
            <w:r w:rsidRPr="00FA5A82">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592D6B" w:rsidRPr="00A42AFE" w:rsidRDefault="00592D6B" w:rsidP="00FD2A3C">
            <w:pPr>
              <w:keepNext/>
              <w:spacing w:line="240" w:lineRule="auto"/>
              <w:rPr>
                <w:rFonts w:ascii="Arial" w:eastAsia="Arial" w:hAnsi="Arial" w:cs="Arial"/>
                <w:sz w:val="16"/>
                <w:szCs w:val="16"/>
                <w:lang w:eastAsia="zh-CN"/>
              </w:rPr>
            </w:pPr>
            <w:r w:rsidRPr="00FA5A82">
              <w:rPr>
                <w:rFonts w:ascii="Arial" w:hAnsi="Arial" w:cs="Arial"/>
                <w:sz w:val="16"/>
                <w:szCs w:val="16"/>
              </w:rPr>
              <w:t>Compliance with Authority Required procedures</w:t>
            </w:r>
          </w:p>
        </w:tc>
      </w:tr>
      <w:tr w:rsidR="00592D6B" w:rsidRPr="00E106BD" w:rsidDel="00BF560C" w:rsidTr="008929EB">
        <w:tc>
          <w:tcPr>
            <w:tcW w:w="1729" w:type="dxa"/>
            <w:tcMar>
              <w:top w:w="28" w:type="dxa"/>
              <w:left w:w="28" w:type="dxa"/>
            </w:tcMar>
          </w:tcPr>
          <w:p w:rsidR="00592D6B" w:rsidRPr="00A42AFE" w:rsidDel="00BF560C" w:rsidRDefault="00592D6B" w:rsidP="00881477">
            <w:pPr>
              <w:spacing w:line="240" w:lineRule="auto"/>
              <w:rPr>
                <w:rFonts w:ascii="Arial" w:hAnsi="Arial" w:cs="Arial"/>
                <w:sz w:val="16"/>
                <w:szCs w:val="16"/>
              </w:rPr>
            </w:pPr>
          </w:p>
        </w:tc>
        <w:tc>
          <w:tcPr>
            <w:tcW w:w="709" w:type="dxa"/>
            <w:tcMar>
              <w:top w:w="28" w:type="dxa"/>
              <w:left w:w="28" w:type="dxa"/>
            </w:tcMar>
          </w:tcPr>
          <w:p w:rsidR="00592D6B" w:rsidRPr="00A42AFE" w:rsidRDefault="00592D6B" w:rsidP="00881477">
            <w:pPr>
              <w:spacing w:line="240" w:lineRule="auto"/>
              <w:rPr>
                <w:rFonts w:ascii="Arial" w:eastAsia="Arial" w:hAnsi="Arial" w:cs="Arial"/>
                <w:sz w:val="16"/>
                <w:szCs w:val="16"/>
                <w:lang w:eastAsia="zh-CN"/>
              </w:rPr>
            </w:pPr>
            <w:r w:rsidRPr="00FA5A82">
              <w:rPr>
                <w:rFonts w:ascii="Arial" w:hAnsi="Arial" w:cs="Arial"/>
                <w:sz w:val="16"/>
                <w:szCs w:val="16"/>
              </w:rPr>
              <w:t>C10452</w:t>
            </w:r>
          </w:p>
        </w:tc>
        <w:tc>
          <w:tcPr>
            <w:tcW w:w="709" w:type="dxa"/>
            <w:tcMar>
              <w:top w:w="28" w:type="dxa"/>
              <w:left w:w="28" w:type="dxa"/>
            </w:tcMar>
          </w:tcPr>
          <w:p w:rsidR="00592D6B" w:rsidRPr="00A42AFE" w:rsidDel="00BF560C"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A42AFE" w:rsidRDefault="00592D6B"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Continuing treatment of triple therapy (lenalidomide, bortezomib and dexamethasone) for treatment cycles 5 to 8 inclusive (administered using 21-day treatment cycles)</w:t>
            </w:r>
            <w:r w:rsidRPr="00FA5A82">
              <w:rPr>
                <w:rFonts w:ascii="Arial" w:hAnsi="Arial" w:cs="Arial"/>
                <w:sz w:val="16"/>
                <w:szCs w:val="16"/>
              </w:rPr>
              <w:br/>
              <w:t>Patient must have received PBS-subsidised treatment with this drug under the treatment phase covering cycles 1 to 4; AND</w:t>
            </w:r>
            <w:r w:rsidRPr="00FA5A82">
              <w:rPr>
                <w:rFonts w:ascii="Arial" w:hAnsi="Arial" w:cs="Arial"/>
                <w:sz w:val="16"/>
                <w:szCs w:val="16"/>
              </w:rPr>
              <w:br/>
              <w:t>Patient must not be receiving concomitant PBS-subsidised carfilzomib, thalidomide or its analogues; AND</w:t>
            </w:r>
            <w:r w:rsidRPr="00FA5A82">
              <w:rPr>
                <w:rFonts w:ascii="Arial" w:hAnsi="Arial" w:cs="Arial"/>
                <w:sz w:val="16"/>
                <w:szCs w:val="16"/>
              </w:rPr>
              <w:br/>
              <w:t>The treatment must be in combination with bortezomib and dexamethasone; AND</w:t>
            </w:r>
            <w:r w:rsidRPr="00FA5A82">
              <w:rPr>
                <w:rFonts w:ascii="Arial" w:hAnsi="Arial" w:cs="Arial"/>
                <w:sz w:val="16"/>
                <w:szCs w:val="16"/>
              </w:rPr>
              <w:br/>
              <w:t>The treatment must not exceed a total of 4 cycles under this restriction.</w:t>
            </w:r>
            <w:r w:rsidRPr="00FA5A82">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592D6B" w:rsidRPr="00A42AFE" w:rsidRDefault="00592D6B" w:rsidP="00FD2A3C">
            <w:pPr>
              <w:keepNext/>
              <w:spacing w:line="240" w:lineRule="auto"/>
              <w:rPr>
                <w:rFonts w:ascii="Arial" w:eastAsia="Arial" w:hAnsi="Arial" w:cs="Arial"/>
                <w:sz w:val="16"/>
                <w:szCs w:val="16"/>
                <w:lang w:eastAsia="zh-CN"/>
              </w:rPr>
            </w:pPr>
            <w:r w:rsidRPr="00FA5A82">
              <w:rPr>
                <w:rFonts w:ascii="Arial" w:hAnsi="Arial" w:cs="Arial"/>
                <w:sz w:val="16"/>
                <w:szCs w:val="16"/>
              </w:rPr>
              <w:t>Compliance with Authority Required procedures</w:t>
            </w:r>
          </w:p>
        </w:tc>
      </w:tr>
      <w:tr w:rsidR="00592D6B" w:rsidRPr="00E106BD" w:rsidDel="00BF560C" w:rsidTr="008929EB">
        <w:tc>
          <w:tcPr>
            <w:tcW w:w="1729" w:type="dxa"/>
            <w:tcMar>
              <w:top w:w="28" w:type="dxa"/>
              <w:left w:w="28" w:type="dxa"/>
            </w:tcMar>
          </w:tcPr>
          <w:p w:rsidR="00592D6B" w:rsidRPr="00A42AFE" w:rsidDel="00BF560C" w:rsidRDefault="00592D6B" w:rsidP="00881477">
            <w:pPr>
              <w:spacing w:line="240" w:lineRule="auto"/>
              <w:rPr>
                <w:rFonts w:ascii="Arial" w:hAnsi="Arial" w:cs="Arial"/>
                <w:sz w:val="16"/>
                <w:szCs w:val="16"/>
              </w:rPr>
            </w:pPr>
          </w:p>
        </w:tc>
        <w:tc>
          <w:tcPr>
            <w:tcW w:w="709" w:type="dxa"/>
            <w:tcMar>
              <w:top w:w="28" w:type="dxa"/>
              <w:left w:w="28" w:type="dxa"/>
            </w:tcMar>
          </w:tcPr>
          <w:p w:rsidR="00592D6B" w:rsidRPr="00A42AFE" w:rsidRDefault="00592D6B" w:rsidP="00881477">
            <w:pPr>
              <w:spacing w:line="240" w:lineRule="auto"/>
              <w:rPr>
                <w:rFonts w:ascii="Arial" w:eastAsia="Arial" w:hAnsi="Arial" w:cs="Arial"/>
                <w:sz w:val="16"/>
                <w:szCs w:val="16"/>
                <w:lang w:eastAsia="zh-CN"/>
              </w:rPr>
            </w:pPr>
            <w:r w:rsidRPr="00FA5A82">
              <w:rPr>
                <w:rFonts w:ascii="Arial" w:eastAsia="Arial" w:hAnsi="Arial" w:cs="Arial"/>
                <w:sz w:val="16"/>
                <w:szCs w:val="16"/>
                <w:lang w:eastAsia="zh-CN"/>
              </w:rPr>
              <w:t>C10453</w:t>
            </w:r>
          </w:p>
        </w:tc>
        <w:tc>
          <w:tcPr>
            <w:tcW w:w="709" w:type="dxa"/>
            <w:tcMar>
              <w:top w:w="28" w:type="dxa"/>
              <w:left w:w="28" w:type="dxa"/>
            </w:tcMar>
          </w:tcPr>
          <w:p w:rsidR="00592D6B" w:rsidRPr="00A42AFE" w:rsidDel="00BF560C"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A42AFE" w:rsidRDefault="00592D6B"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Initial treatment with triple therapy (lenalidomide, bortezomib and dexamethasone) for the first 4 treatment cycles (cycles 1 to 4) administered in a 21-day treatment cycle</w:t>
            </w:r>
            <w:r w:rsidRPr="00FA5A82">
              <w:rPr>
                <w:rFonts w:ascii="Arial" w:hAnsi="Arial" w:cs="Arial"/>
                <w:sz w:val="16"/>
                <w:szCs w:val="16"/>
              </w:rPr>
              <w:br/>
              <w:t>The condition must be newly diagnosed; AND</w:t>
            </w:r>
            <w:r w:rsidRPr="00FA5A82">
              <w:rPr>
                <w:rFonts w:ascii="Arial" w:hAnsi="Arial" w:cs="Arial"/>
                <w:sz w:val="16"/>
                <w:szCs w:val="16"/>
              </w:rPr>
              <w:br/>
              <w:t>The condition must be confirmed by a histological diagnosis; AND</w:t>
            </w:r>
            <w:r w:rsidRPr="00FA5A82">
              <w:rPr>
                <w:rFonts w:ascii="Arial" w:hAnsi="Arial" w:cs="Arial"/>
                <w:sz w:val="16"/>
                <w:szCs w:val="16"/>
              </w:rPr>
              <w:br/>
              <w:t>Patient must not be receiving concomitant PBS-subsidised carfilzomib, thalidomide or its analogues; AND</w:t>
            </w:r>
            <w:r w:rsidRPr="00FA5A82">
              <w:rPr>
                <w:rFonts w:ascii="Arial" w:hAnsi="Arial" w:cs="Arial"/>
                <w:sz w:val="16"/>
                <w:szCs w:val="16"/>
              </w:rPr>
              <w:br/>
              <w:t>The treatment must be in combination with bortezomib and dexamethasone; AND</w:t>
            </w:r>
            <w:r w:rsidRPr="00FA5A82">
              <w:rPr>
                <w:rFonts w:ascii="Arial" w:hAnsi="Arial" w:cs="Arial"/>
                <w:sz w:val="16"/>
                <w:szCs w:val="16"/>
              </w:rPr>
              <w:br/>
              <w:t>Patient must not have been treated with lenalidomide or bortezomib for this condition; AND</w:t>
            </w:r>
            <w:r w:rsidRPr="00FA5A82">
              <w:rPr>
                <w:rFonts w:ascii="Arial" w:hAnsi="Arial" w:cs="Arial"/>
                <w:sz w:val="16"/>
                <w:szCs w:val="16"/>
              </w:rPr>
              <w:br/>
              <w:t>The treatment must not exceed a total of 4 cycles under this restriction.</w:t>
            </w:r>
            <w:r w:rsidRPr="00FA5A82">
              <w:rPr>
                <w:rFonts w:ascii="Arial" w:hAnsi="Arial" w:cs="Arial"/>
                <w:sz w:val="16"/>
                <w:szCs w:val="16"/>
              </w:rPr>
              <w:br/>
              <w:t>The authority application must be made in writing and must include:</w:t>
            </w:r>
            <w:r w:rsidRPr="00FA5A82">
              <w:rPr>
                <w:rFonts w:ascii="Arial" w:hAnsi="Arial" w:cs="Arial"/>
                <w:sz w:val="16"/>
                <w:szCs w:val="16"/>
              </w:rPr>
              <w:br/>
              <w:t>(1) a completed authority prescription form; and</w:t>
            </w:r>
            <w:r w:rsidRPr="00FA5A82">
              <w:rPr>
                <w:rFonts w:ascii="Arial" w:hAnsi="Arial" w:cs="Arial"/>
                <w:sz w:val="16"/>
                <w:szCs w:val="16"/>
              </w:rPr>
              <w:br/>
              <w:t>(2) a completed Multiple Myeloma lenalidomide Authority Application - Supporting Information Form, which includes details of the histological diagnosis of multiple myeloma, and nomination of which disease activity parameters will be used to assess response.</w:t>
            </w:r>
            <w:r w:rsidRPr="00FA5A82">
              <w:rPr>
                <w:rFonts w:ascii="Arial" w:hAnsi="Arial" w:cs="Arial"/>
                <w:sz w:val="16"/>
                <w:szCs w:val="16"/>
              </w:rPr>
              <w:br/>
              <w:t>To enable confirmation of eligibility for treatment, current pathology results of (for items a, b, c, g), or, a statement that diagnosis was based on (for items d, e, f) at least one of the following must be provided:</w:t>
            </w:r>
            <w:r w:rsidRPr="00FA5A82">
              <w:rPr>
                <w:rFonts w:ascii="Arial" w:hAnsi="Arial" w:cs="Arial"/>
                <w:sz w:val="16"/>
                <w:szCs w:val="16"/>
              </w:rPr>
              <w:br/>
              <w:t>(a) the level of serum monoclonal protein; or</w:t>
            </w:r>
            <w:r w:rsidRPr="00FA5A82">
              <w:rPr>
                <w:rFonts w:ascii="Arial" w:hAnsi="Arial" w:cs="Arial"/>
                <w:sz w:val="16"/>
                <w:szCs w:val="16"/>
              </w:rPr>
              <w:br/>
              <w:t>(b) Bence-Jones proteinuria - the results of 24-hour urinary light chain M protein excretion; or</w:t>
            </w:r>
            <w:r w:rsidRPr="00FA5A82">
              <w:rPr>
                <w:rFonts w:ascii="Arial" w:hAnsi="Arial" w:cs="Arial"/>
                <w:sz w:val="16"/>
                <w:szCs w:val="16"/>
              </w:rPr>
              <w:br/>
              <w:t>(c) the serum level of free kappa and lambda light chains; or</w:t>
            </w:r>
            <w:r w:rsidRPr="00FA5A82">
              <w:rPr>
                <w:rFonts w:ascii="Arial" w:hAnsi="Arial" w:cs="Arial"/>
                <w:sz w:val="16"/>
                <w:szCs w:val="16"/>
              </w:rPr>
              <w:br/>
              <w:t>(d) bone marrow aspirate or trephine; or</w:t>
            </w:r>
            <w:r w:rsidRPr="00FA5A82">
              <w:rPr>
                <w:rFonts w:ascii="Arial" w:hAnsi="Arial" w:cs="Arial"/>
                <w:sz w:val="16"/>
                <w:szCs w:val="16"/>
              </w:rPr>
              <w:br/>
              <w:t>(e) if present, the size and location of lytic bone lesions (not including compression fractures); or</w:t>
            </w:r>
            <w:r w:rsidRPr="00FA5A82">
              <w:rPr>
                <w:rFonts w:ascii="Arial" w:hAnsi="Arial" w:cs="Arial"/>
                <w:sz w:val="16"/>
                <w:szCs w:val="16"/>
              </w:rPr>
              <w:br/>
              <w:t>(f) if present, the size and location of all soft tissue plasmacytomas by clinical or radiographic examination i.e. MRI or CT-scan; or</w:t>
            </w:r>
            <w:r w:rsidRPr="00FA5A82">
              <w:rPr>
                <w:rFonts w:ascii="Arial" w:hAnsi="Arial" w:cs="Arial"/>
                <w:sz w:val="16"/>
                <w:szCs w:val="16"/>
              </w:rPr>
              <w:br/>
              <w:t>(g) if present, the level of hypercalcaemia, corrected for albumin concentration.</w:t>
            </w:r>
            <w:r w:rsidRPr="00FA5A82">
              <w:rPr>
                <w:rFonts w:ascii="Arial" w:hAnsi="Arial" w:cs="Arial"/>
                <w:sz w:val="16"/>
                <w:szCs w:val="16"/>
              </w:rPr>
              <w:br/>
              <w:t>As these parameters will be used to determine response, results for either (a) or (b) or (c) should be provided for all patients and kept on the patient</w:t>
            </w:r>
            <w:r w:rsidR="00A653CA">
              <w:rPr>
                <w:rFonts w:ascii="Arial" w:hAnsi="Arial" w:cs="Arial"/>
                <w:sz w:val="16"/>
                <w:szCs w:val="16"/>
              </w:rPr>
              <w:t>’</w:t>
            </w:r>
            <w:r w:rsidRPr="00FA5A82">
              <w:rPr>
                <w:rFonts w:ascii="Arial" w:hAnsi="Arial" w:cs="Arial"/>
                <w:sz w:val="16"/>
                <w:szCs w:val="16"/>
              </w:rPr>
              <w:t>s records. Where the patient has oligo-secretory or non-secretory multiple myeloma, either (c) or (d) or if relevant (e), (f) or (g) should be stated/declared. Where the prescriber plans to assess response in patients with oligo-secretory or non-secretory multiple myeloma with free light chain assays, evidence of the oligo-secretory or non-secretory nature of the multiple myeloma (current serum M protein less than 10 g per L) must be declared to be held on the patient</w:t>
            </w:r>
            <w:r w:rsidR="00A653CA">
              <w:rPr>
                <w:rFonts w:ascii="Arial" w:hAnsi="Arial" w:cs="Arial"/>
                <w:sz w:val="16"/>
                <w:szCs w:val="16"/>
              </w:rPr>
              <w:t>’</w:t>
            </w:r>
            <w:r w:rsidRPr="00FA5A82">
              <w:rPr>
                <w:rFonts w:ascii="Arial" w:hAnsi="Arial" w:cs="Arial"/>
                <w:sz w:val="16"/>
                <w:szCs w:val="16"/>
              </w:rPr>
              <w:t>s medical records.</w:t>
            </w:r>
            <w:r w:rsidRPr="00FA5A82">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592D6B" w:rsidRPr="00A42AFE" w:rsidRDefault="00592D6B" w:rsidP="00FD2A3C">
            <w:pPr>
              <w:keepNext/>
              <w:spacing w:line="240" w:lineRule="auto"/>
              <w:rPr>
                <w:rFonts w:ascii="Arial" w:eastAsia="Arial" w:hAnsi="Arial" w:cs="Arial"/>
                <w:sz w:val="16"/>
                <w:szCs w:val="16"/>
                <w:lang w:eastAsia="zh-CN"/>
              </w:rPr>
            </w:pPr>
            <w:r w:rsidRPr="00FA5A82">
              <w:rPr>
                <w:rFonts w:ascii="Arial" w:eastAsia="Arial" w:hAnsi="Arial" w:cs="Arial"/>
                <w:sz w:val="16"/>
                <w:szCs w:val="16"/>
                <w:lang w:eastAsia="zh-CN"/>
              </w:rPr>
              <w:t>Compliance with Written Authority Required procedures</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bookmarkStart w:id="189" w:name="CU_335609073"/>
            <w:bookmarkStart w:id="190" w:name="CU_344612054"/>
            <w:bookmarkStart w:id="191" w:name="CU_351614633"/>
            <w:bookmarkStart w:id="192" w:name="CU_359617523"/>
            <w:bookmarkEnd w:id="189"/>
            <w:bookmarkEnd w:id="190"/>
            <w:bookmarkEnd w:id="191"/>
            <w:bookmarkEnd w:id="192"/>
            <w:r w:rsidRPr="00E106BD">
              <w:rPr>
                <w:rFonts w:ascii="Arial" w:hAnsi="Arial" w:cs="Arial"/>
                <w:sz w:val="16"/>
                <w:szCs w:val="16"/>
              </w:rPr>
              <w:t>Lenograstim</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C6502</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an infant or child with central nervous system tumours.</w:t>
            </w:r>
          </w:p>
        </w:tc>
        <w:tc>
          <w:tcPr>
            <w:tcW w:w="2552" w:type="dxa"/>
            <w:tcMar>
              <w:top w:w="28" w:type="dxa"/>
              <w:left w:w="28" w:type="dxa"/>
              <w:right w:w="57" w:type="dxa"/>
            </w:tcMar>
          </w:tcPr>
          <w:p w:rsidR="00592D6B" w:rsidRPr="00E106BD" w:rsidDel="000101DF" w:rsidRDefault="00592D6B" w:rsidP="00304393">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6502</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C6507</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acute lymphoblastic leukaemia.</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6507</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C6516</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neuroblastoma.</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6516</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C6522</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RDefault="00592D6B" w:rsidP="00881477">
            <w:pPr>
              <w:pStyle w:val="mps3-data"/>
              <w:spacing w:before="0"/>
              <w:rPr>
                <w:szCs w:val="16"/>
              </w:rPr>
            </w:pPr>
            <w:r w:rsidRPr="00E106BD">
              <w:rPr>
                <w:szCs w:val="16"/>
              </w:rPr>
              <w:t>Patient must be receiving standard dose adjuvant chemotherapy for breast cancer; AND</w:t>
            </w:r>
          </w:p>
          <w:p w:rsidR="00592D6B" w:rsidRPr="00E106BD" w:rsidRDefault="00592D6B" w:rsidP="00881477">
            <w:pPr>
              <w:pStyle w:val="mps3-data"/>
              <w:spacing w:before="0"/>
              <w:rPr>
                <w:szCs w:val="16"/>
              </w:rPr>
            </w:pPr>
            <w:r w:rsidRPr="00E106BD">
              <w:rPr>
                <w:szCs w:val="16"/>
              </w:rPr>
              <w:t>Patient must have had a prior episode of febrile neutropenia; OR</w:t>
            </w:r>
          </w:p>
          <w:p w:rsidR="00592D6B" w:rsidRPr="00E106BD" w:rsidRDefault="00592D6B" w:rsidP="00881477">
            <w:pPr>
              <w:pStyle w:val="mps3-data"/>
              <w:spacing w:before="0"/>
              <w:rPr>
                <w:szCs w:val="16"/>
              </w:rPr>
            </w:pPr>
            <w:r w:rsidRPr="00E106BD">
              <w:rPr>
                <w:szCs w:val="16"/>
              </w:rPr>
              <w:t>Patient must have had a prior episode of prolonged severe neutropenia (neutrophil count of less than 1,000 million cells per litre); AND</w:t>
            </w:r>
          </w:p>
          <w:p w:rsidR="00592D6B" w:rsidRPr="00E106BD" w:rsidRDefault="00592D6B" w:rsidP="00881477">
            <w:pPr>
              <w:pStyle w:val="mps3-data"/>
              <w:spacing w:before="0"/>
              <w:rPr>
                <w:szCs w:val="16"/>
              </w:rPr>
            </w:pPr>
            <w:r w:rsidRPr="00E106BD">
              <w:rPr>
                <w:szCs w:val="16"/>
              </w:rPr>
              <w:t>The treatment must be used in a patient for whom there is a clinical justification for wishing to continue chemotherapy with the same drug combination, dosage and treatment schedule; AND</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anticipated to have a good response to treatment providing chemotherapy can be delivered as planned.</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6522</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C6523</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germ cell tumours.</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6523</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C6532</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RDefault="00592D6B" w:rsidP="00881477">
            <w:pPr>
              <w:pStyle w:val="mps3-data"/>
              <w:spacing w:before="0"/>
              <w:rPr>
                <w:szCs w:val="16"/>
              </w:rPr>
            </w:pPr>
            <w:r w:rsidRPr="00E106BD">
              <w:rPr>
                <w:szCs w:val="16"/>
              </w:rPr>
              <w:t>Patient must be receiving first</w:t>
            </w:r>
            <w:r>
              <w:rPr>
                <w:szCs w:val="16"/>
              </w:rPr>
              <w:noBreakHyphen/>
            </w:r>
            <w:r w:rsidRPr="00E106BD">
              <w:rPr>
                <w:szCs w:val="16"/>
              </w:rPr>
              <w:t>line chemotherapy for Hodgkin disease; AND</w:t>
            </w:r>
          </w:p>
          <w:p w:rsidR="00592D6B" w:rsidRPr="00E106BD" w:rsidRDefault="00592D6B" w:rsidP="00881477">
            <w:pPr>
              <w:pStyle w:val="mps3-data"/>
              <w:spacing w:before="0"/>
              <w:rPr>
                <w:szCs w:val="16"/>
              </w:rPr>
            </w:pPr>
            <w:r w:rsidRPr="00E106BD">
              <w:rPr>
                <w:szCs w:val="16"/>
              </w:rPr>
              <w:t>Patient must have had a prior episode of febrile neutropenia; OR</w:t>
            </w:r>
          </w:p>
          <w:p w:rsidR="00592D6B" w:rsidRPr="00E106BD" w:rsidRDefault="00592D6B" w:rsidP="00881477">
            <w:pPr>
              <w:pStyle w:val="mps3-data"/>
              <w:spacing w:before="0"/>
              <w:rPr>
                <w:szCs w:val="16"/>
              </w:rPr>
            </w:pPr>
            <w:r w:rsidRPr="00E106BD">
              <w:rPr>
                <w:szCs w:val="16"/>
              </w:rPr>
              <w:t>Patient must have had a prior episode of prolonged severe neutropenia (neutrophil count of less than 1,000 million cells per litre); AND</w:t>
            </w:r>
          </w:p>
          <w:p w:rsidR="00592D6B" w:rsidRPr="00E106BD" w:rsidRDefault="00592D6B" w:rsidP="00881477">
            <w:pPr>
              <w:pStyle w:val="mps3-data"/>
              <w:spacing w:before="0"/>
              <w:rPr>
                <w:szCs w:val="16"/>
              </w:rPr>
            </w:pPr>
            <w:r w:rsidRPr="00E106BD">
              <w:rPr>
                <w:szCs w:val="16"/>
              </w:rPr>
              <w:t>The treatment must be used in a patient for whom there is a clinical justification for wishing to continue chemotherapy with the same drug combination, dosage and treatment schedule; AND</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anticipated to have a good response to treatment providing chemotherapy can be delivered as planned.</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6532</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C6535</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relapsed Hodgkin disease.</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6535</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C6634</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osteosarcoma.</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6634</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C6644</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Ewing</w:t>
            </w:r>
            <w:r w:rsidR="00A653CA">
              <w:rPr>
                <w:rFonts w:ascii="Arial" w:hAnsi="Arial" w:cs="Arial"/>
                <w:sz w:val="16"/>
                <w:szCs w:val="16"/>
              </w:rPr>
              <w:t>’</w:t>
            </w:r>
            <w:r w:rsidRPr="00E106BD">
              <w:rPr>
                <w:rFonts w:ascii="Arial" w:hAnsi="Arial" w:cs="Arial"/>
                <w:sz w:val="16"/>
                <w:szCs w:val="16"/>
              </w:rPr>
              <w:t>s sarcoma.</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6644</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C6653</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Mobilisation of peripheral blood progenitor cells</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The treatment must be to facilitate harvest of peripheral blood progenitor cells for autologous transplantation into a patient with a non</w:t>
            </w:r>
            <w:r>
              <w:rPr>
                <w:rFonts w:ascii="Arial" w:hAnsi="Arial" w:cs="Arial"/>
                <w:sz w:val="16"/>
                <w:szCs w:val="16"/>
              </w:rPr>
              <w:noBreakHyphen/>
            </w:r>
            <w:r w:rsidRPr="00E106BD">
              <w:rPr>
                <w:rFonts w:ascii="Arial" w:hAnsi="Arial" w:cs="Arial"/>
                <w:sz w:val="16"/>
                <w:szCs w:val="16"/>
              </w:rPr>
              <w:t>myeloid malignancy who has had myeloablative or myelosuppressive therapy.</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6653</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C6654</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Mobilisation of peripheral blood progenitor cells</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The treatment must be in a normal volunteer for use in allogeneic transplantation.</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6654</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C6657</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Assisting peripheral blood progenitor cell or bone marrow transplantation</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The treatment must be following marrow</w:t>
            </w:r>
            <w:r>
              <w:rPr>
                <w:rFonts w:ascii="Arial" w:hAnsi="Arial" w:cs="Arial"/>
                <w:sz w:val="16"/>
                <w:szCs w:val="16"/>
              </w:rPr>
              <w:noBreakHyphen/>
            </w:r>
            <w:r w:rsidRPr="00E106BD">
              <w:rPr>
                <w:rFonts w:ascii="Arial" w:hAnsi="Arial" w:cs="Arial"/>
                <w:sz w:val="16"/>
                <w:szCs w:val="16"/>
              </w:rPr>
              <w:t>ablative chemotherapy for non</w:t>
            </w:r>
            <w:r>
              <w:rPr>
                <w:rFonts w:ascii="Arial" w:hAnsi="Arial" w:cs="Arial"/>
                <w:sz w:val="16"/>
                <w:szCs w:val="16"/>
              </w:rPr>
              <w:noBreakHyphen/>
            </w:r>
            <w:r w:rsidRPr="00E106BD">
              <w:rPr>
                <w:rFonts w:ascii="Arial" w:hAnsi="Arial" w:cs="Arial"/>
                <w:sz w:val="16"/>
                <w:szCs w:val="16"/>
              </w:rPr>
              <w:t>myeloid malignancy prior to the transplantation.</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6657</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C6673</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non</w:t>
            </w:r>
            <w:r>
              <w:rPr>
                <w:rFonts w:ascii="Arial" w:hAnsi="Arial" w:cs="Arial"/>
                <w:sz w:val="16"/>
                <w:szCs w:val="16"/>
              </w:rPr>
              <w:noBreakHyphen/>
            </w:r>
            <w:r w:rsidRPr="00E106BD">
              <w:rPr>
                <w:rFonts w:ascii="Arial" w:hAnsi="Arial" w:cs="Arial"/>
                <w:sz w:val="16"/>
                <w:szCs w:val="16"/>
              </w:rPr>
              <w:t>Hodgkin</w:t>
            </w:r>
            <w:r w:rsidR="00A653CA">
              <w:rPr>
                <w:rFonts w:ascii="Arial" w:hAnsi="Arial" w:cs="Arial"/>
                <w:sz w:val="16"/>
                <w:szCs w:val="16"/>
              </w:rPr>
              <w:t>’</w:t>
            </w:r>
            <w:r w:rsidRPr="00E106BD">
              <w:rPr>
                <w:rFonts w:ascii="Arial" w:hAnsi="Arial" w:cs="Arial"/>
                <w:sz w:val="16"/>
                <w:szCs w:val="16"/>
              </w:rPr>
              <w:t>s lymphoma (intermediate or high grade).</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6673</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C6682</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p>
          <w:p w:rsidR="00592D6B" w:rsidRPr="00E106BD" w:rsidDel="000101DF"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rhabdomyosarcoma.</w:t>
            </w:r>
          </w:p>
        </w:tc>
        <w:tc>
          <w:tcPr>
            <w:tcW w:w="2552" w:type="dxa"/>
            <w:tcMar>
              <w:top w:w="28" w:type="dxa"/>
              <w:left w:w="28" w:type="dxa"/>
              <w:right w:w="57" w:type="dxa"/>
            </w:tcMar>
          </w:tcPr>
          <w:p w:rsidR="00592D6B" w:rsidRPr="00E106BD" w:rsidDel="000101DF" w:rsidRDefault="00592D6B"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6682</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C9226</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osteosarcoma.</w:t>
            </w:r>
          </w:p>
        </w:tc>
        <w:tc>
          <w:tcPr>
            <w:tcW w:w="2552" w:type="dxa"/>
            <w:tcMar>
              <w:top w:w="28" w:type="dxa"/>
              <w:left w:w="28" w:type="dxa"/>
              <w:right w:w="57" w:type="dxa"/>
            </w:tcMar>
          </w:tcPr>
          <w:p w:rsidR="00592D6B" w:rsidRPr="00E106BD" w:rsidRDefault="00592D6B" w:rsidP="00FD2A3C">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9226</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C9227</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Assisting peripheral blood progenitor cell or bone marrow transplantation</w:t>
            </w:r>
            <w:r w:rsidRPr="00E106BD">
              <w:rPr>
                <w:szCs w:val="16"/>
              </w:rPr>
              <w:br/>
              <w:t>The treatment must be following marrow</w:t>
            </w:r>
            <w:r>
              <w:rPr>
                <w:szCs w:val="16"/>
              </w:rPr>
              <w:noBreakHyphen/>
            </w:r>
            <w:r w:rsidRPr="00E106BD">
              <w:rPr>
                <w:szCs w:val="16"/>
              </w:rPr>
              <w:t>ablative chemotherapy for non</w:t>
            </w:r>
            <w:r>
              <w:rPr>
                <w:szCs w:val="16"/>
              </w:rPr>
              <w:noBreakHyphen/>
            </w:r>
            <w:r w:rsidRPr="00E106BD">
              <w:rPr>
                <w:szCs w:val="16"/>
              </w:rPr>
              <w:t>myeloid malignancy prior to the transplantation.</w:t>
            </w:r>
          </w:p>
        </w:tc>
        <w:tc>
          <w:tcPr>
            <w:tcW w:w="2552" w:type="dxa"/>
            <w:tcMar>
              <w:top w:w="28" w:type="dxa"/>
              <w:left w:w="28" w:type="dxa"/>
              <w:right w:w="57" w:type="dxa"/>
            </w:tcMar>
          </w:tcPr>
          <w:p w:rsidR="00592D6B" w:rsidRPr="00E106BD" w:rsidRDefault="00592D6B" w:rsidP="00FD2A3C">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9227</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C9229</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relapsed Hodgkin disease.</w:t>
            </w:r>
          </w:p>
        </w:tc>
        <w:tc>
          <w:tcPr>
            <w:tcW w:w="2552" w:type="dxa"/>
            <w:tcMar>
              <w:top w:w="28" w:type="dxa"/>
              <w:left w:w="28" w:type="dxa"/>
              <w:right w:w="57" w:type="dxa"/>
            </w:tcMar>
          </w:tcPr>
          <w:p w:rsidR="00592D6B" w:rsidRPr="00E106BD" w:rsidRDefault="00592D6B" w:rsidP="00FD2A3C">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9229</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C9230</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an infant or child with central nervous system tumours.</w:t>
            </w:r>
          </w:p>
        </w:tc>
        <w:tc>
          <w:tcPr>
            <w:tcW w:w="2552" w:type="dxa"/>
            <w:tcMar>
              <w:top w:w="28" w:type="dxa"/>
              <w:left w:w="28" w:type="dxa"/>
              <w:right w:w="57" w:type="dxa"/>
            </w:tcMar>
          </w:tcPr>
          <w:p w:rsidR="00592D6B" w:rsidRPr="00E106BD" w:rsidRDefault="00592D6B" w:rsidP="00FD2A3C">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9230</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C9231</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Mobilisation of peripheral blood progenitor cells</w:t>
            </w:r>
            <w:r w:rsidRPr="00E106BD">
              <w:rPr>
                <w:szCs w:val="16"/>
              </w:rPr>
              <w:br/>
              <w:t>The treatment must be to facilitate harvest of peripheral blood progenitor cells for autologous transplantation into a patient with a non</w:t>
            </w:r>
            <w:r>
              <w:rPr>
                <w:szCs w:val="16"/>
              </w:rPr>
              <w:noBreakHyphen/>
            </w:r>
            <w:r w:rsidRPr="00E106BD">
              <w:rPr>
                <w:szCs w:val="16"/>
              </w:rPr>
              <w:t>myeloid malignancy who has had myeloablative or myelosuppressive therapy.</w:t>
            </w:r>
          </w:p>
        </w:tc>
        <w:tc>
          <w:tcPr>
            <w:tcW w:w="2552" w:type="dxa"/>
            <w:tcMar>
              <w:top w:w="28" w:type="dxa"/>
              <w:left w:w="28" w:type="dxa"/>
              <w:right w:w="57" w:type="dxa"/>
            </w:tcMar>
          </w:tcPr>
          <w:p w:rsidR="00592D6B" w:rsidRPr="00E106BD" w:rsidRDefault="00592D6B" w:rsidP="00FD2A3C">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9231</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C9263</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germ cell tumours.</w:t>
            </w:r>
          </w:p>
        </w:tc>
        <w:tc>
          <w:tcPr>
            <w:tcW w:w="2552" w:type="dxa"/>
            <w:tcMar>
              <w:top w:w="28" w:type="dxa"/>
              <w:left w:w="28" w:type="dxa"/>
              <w:right w:w="57" w:type="dxa"/>
            </w:tcMar>
          </w:tcPr>
          <w:p w:rsidR="00592D6B" w:rsidRPr="00E106BD" w:rsidRDefault="00592D6B" w:rsidP="00D57C0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9263</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C9264</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non</w:t>
            </w:r>
            <w:r>
              <w:rPr>
                <w:szCs w:val="16"/>
              </w:rPr>
              <w:noBreakHyphen/>
            </w:r>
            <w:r w:rsidRPr="00E106BD">
              <w:rPr>
                <w:szCs w:val="16"/>
              </w:rPr>
              <w:t>Hodgkin</w:t>
            </w:r>
            <w:r w:rsidR="00A653CA">
              <w:rPr>
                <w:szCs w:val="16"/>
              </w:rPr>
              <w:t>’</w:t>
            </w:r>
            <w:r w:rsidRPr="00E106BD">
              <w:rPr>
                <w:szCs w:val="16"/>
              </w:rPr>
              <w:t>s lymphoma (intermediate or high grade).</w:t>
            </w:r>
          </w:p>
        </w:tc>
        <w:tc>
          <w:tcPr>
            <w:tcW w:w="2552" w:type="dxa"/>
            <w:tcMar>
              <w:top w:w="28" w:type="dxa"/>
              <w:left w:w="28" w:type="dxa"/>
              <w:right w:w="57" w:type="dxa"/>
            </w:tcMar>
          </w:tcPr>
          <w:p w:rsidR="00592D6B" w:rsidRPr="00E106BD" w:rsidRDefault="00592D6B" w:rsidP="00D57C0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9264</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C9265</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standard dose adjuvant chemotherapy for breast cancer; AND</w:t>
            </w:r>
            <w:r w:rsidRPr="00E106BD">
              <w:rPr>
                <w:szCs w:val="16"/>
              </w:rPr>
              <w:br/>
              <w:t>Patient must have had a prior episode of febrile neutropenia; OR</w:t>
            </w:r>
            <w:r w:rsidRPr="00E106BD">
              <w:rPr>
                <w:szCs w:val="16"/>
              </w:rPr>
              <w:br/>
              <w:t>Patient must have had a prior episode of prolonged severe neutropenia (neutrophil count of less than 1,000 million cells per litre); AND</w:t>
            </w:r>
            <w:r w:rsidRPr="00E106BD">
              <w:rPr>
                <w:szCs w:val="16"/>
              </w:rPr>
              <w:br/>
              <w:t>The treatment must be used in a patient for whom there is a clinical justification for wishing to continue chemotherapy with the same drug combination, dosage and treatment schedule; AND</w:t>
            </w:r>
            <w:r w:rsidRPr="00E106BD">
              <w:rPr>
                <w:szCs w:val="16"/>
              </w:rPr>
              <w:br/>
              <w:t>Patient must be anticipated to have a good response to treatment providing chemotherapy can be delivered as planned.</w:t>
            </w:r>
          </w:p>
        </w:tc>
        <w:tc>
          <w:tcPr>
            <w:tcW w:w="2552" w:type="dxa"/>
            <w:tcMar>
              <w:top w:w="28" w:type="dxa"/>
              <w:left w:w="28" w:type="dxa"/>
              <w:right w:w="57" w:type="dxa"/>
            </w:tcMar>
          </w:tcPr>
          <w:p w:rsidR="00592D6B" w:rsidRPr="00E106BD" w:rsidRDefault="00592D6B"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9265</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C9266</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neuroblastoma.</w:t>
            </w:r>
          </w:p>
        </w:tc>
        <w:tc>
          <w:tcPr>
            <w:tcW w:w="2552" w:type="dxa"/>
            <w:tcMar>
              <w:top w:w="28" w:type="dxa"/>
              <w:left w:w="28" w:type="dxa"/>
              <w:right w:w="57" w:type="dxa"/>
            </w:tcMar>
          </w:tcPr>
          <w:p w:rsidR="00592D6B" w:rsidRPr="00E106BD" w:rsidRDefault="00592D6B"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9266</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C9314</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Mobilisation of peripheral blood progenitor cells</w:t>
            </w:r>
            <w:r w:rsidRPr="00E106BD">
              <w:rPr>
                <w:szCs w:val="16"/>
              </w:rPr>
              <w:br/>
              <w:t>The treatment must be in a normal volunteer for use in allogeneic transplantation.</w:t>
            </w:r>
          </w:p>
        </w:tc>
        <w:tc>
          <w:tcPr>
            <w:tcW w:w="2552" w:type="dxa"/>
            <w:tcMar>
              <w:top w:w="28" w:type="dxa"/>
              <w:left w:w="28" w:type="dxa"/>
              <w:right w:w="57" w:type="dxa"/>
            </w:tcMar>
          </w:tcPr>
          <w:p w:rsidR="00592D6B" w:rsidRPr="00E106BD" w:rsidRDefault="00592D6B"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9314</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C9324</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acute lymphoblastic leukaemia.</w:t>
            </w:r>
          </w:p>
        </w:tc>
        <w:tc>
          <w:tcPr>
            <w:tcW w:w="2552" w:type="dxa"/>
            <w:tcMar>
              <w:top w:w="28" w:type="dxa"/>
              <w:left w:w="28" w:type="dxa"/>
              <w:right w:w="57" w:type="dxa"/>
            </w:tcMar>
          </w:tcPr>
          <w:p w:rsidR="00592D6B" w:rsidRPr="00E106BD" w:rsidRDefault="00592D6B"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9324</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C9325</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rhabdomyosarcoma.</w:t>
            </w:r>
          </w:p>
        </w:tc>
        <w:tc>
          <w:tcPr>
            <w:tcW w:w="2552" w:type="dxa"/>
            <w:tcMar>
              <w:top w:w="28" w:type="dxa"/>
              <w:left w:w="28" w:type="dxa"/>
              <w:right w:w="57" w:type="dxa"/>
            </w:tcMar>
          </w:tcPr>
          <w:p w:rsidR="00592D6B" w:rsidRPr="00E106BD" w:rsidRDefault="00592D6B"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9325</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C9326</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first</w:t>
            </w:r>
            <w:r>
              <w:rPr>
                <w:szCs w:val="16"/>
              </w:rPr>
              <w:noBreakHyphen/>
            </w:r>
            <w:r w:rsidRPr="00E106BD">
              <w:rPr>
                <w:szCs w:val="16"/>
              </w:rPr>
              <w:t>line chemotherapy for Hodgkin disease; AND</w:t>
            </w:r>
            <w:r w:rsidRPr="00E106BD">
              <w:rPr>
                <w:szCs w:val="16"/>
              </w:rPr>
              <w:br/>
              <w:t>Patient must have had a prior episode of febrile neutropenia; OR</w:t>
            </w:r>
            <w:r w:rsidRPr="00E106BD">
              <w:rPr>
                <w:szCs w:val="16"/>
              </w:rPr>
              <w:br/>
              <w:t>Patient must have had a prior episode of prolonged severe neutropenia (neutrophil count of less than 1,000 million cells per litre); AND</w:t>
            </w:r>
            <w:r w:rsidRPr="00E106BD">
              <w:rPr>
                <w:szCs w:val="16"/>
              </w:rPr>
              <w:br/>
              <w:t>The treatment must be used in a patient for whom there is a clinical justification for wishing to continue chemotherapy with the same drug combination, dosage and treatment schedule; AND</w:t>
            </w:r>
            <w:r w:rsidRPr="00E106BD">
              <w:rPr>
                <w:szCs w:val="16"/>
              </w:rPr>
              <w:br/>
              <w:t>Patient must be anticipated to have a good response to treatment providing chemotherapy can be delivered as planned.</w:t>
            </w:r>
          </w:p>
        </w:tc>
        <w:tc>
          <w:tcPr>
            <w:tcW w:w="2552" w:type="dxa"/>
            <w:tcMar>
              <w:top w:w="28" w:type="dxa"/>
              <w:left w:w="28" w:type="dxa"/>
              <w:right w:w="57" w:type="dxa"/>
            </w:tcMar>
          </w:tcPr>
          <w:p w:rsidR="00592D6B" w:rsidRPr="00E106BD" w:rsidRDefault="00592D6B"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9326</w:t>
            </w:r>
          </w:p>
        </w:tc>
      </w:tr>
      <w:tr w:rsidR="00592D6B" w:rsidRPr="00E106BD" w:rsidDel="000101DF" w:rsidTr="008929EB">
        <w:tc>
          <w:tcPr>
            <w:tcW w:w="172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C9327</w:t>
            </w:r>
          </w:p>
        </w:tc>
        <w:tc>
          <w:tcPr>
            <w:tcW w:w="709" w:type="dxa"/>
            <w:tcMar>
              <w:top w:w="28" w:type="dxa"/>
              <w:left w:w="28" w:type="dxa"/>
            </w:tcMar>
          </w:tcPr>
          <w:p w:rsidR="00592D6B" w:rsidRPr="00E106BD" w:rsidDel="000101DF"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Ewing</w:t>
            </w:r>
            <w:r w:rsidR="00A653CA">
              <w:rPr>
                <w:szCs w:val="16"/>
              </w:rPr>
              <w:t>’</w:t>
            </w:r>
            <w:r w:rsidRPr="00E106BD">
              <w:rPr>
                <w:szCs w:val="16"/>
              </w:rPr>
              <w:t>s sarcoma.</w:t>
            </w:r>
          </w:p>
        </w:tc>
        <w:tc>
          <w:tcPr>
            <w:tcW w:w="2552" w:type="dxa"/>
            <w:tcMar>
              <w:top w:w="28" w:type="dxa"/>
              <w:left w:w="28" w:type="dxa"/>
              <w:right w:w="57" w:type="dxa"/>
            </w:tcMar>
          </w:tcPr>
          <w:p w:rsidR="00592D6B" w:rsidRPr="00E106BD" w:rsidRDefault="00592D6B"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9327</w:t>
            </w:r>
          </w:p>
        </w:tc>
      </w:tr>
      <w:tr w:rsidR="00592D6B" w:rsidRPr="00E106BD" w:rsidDel="000012FE" w:rsidTr="008929EB">
        <w:tc>
          <w:tcPr>
            <w:tcW w:w="1729" w:type="dxa"/>
            <w:tcMar>
              <w:top w:w="28" w:type="dxa"/>
              <w:left w:w="28" w:type="dxa"/>
            </w:tcMar>
          </w:tcPr>
          <w:p w:rsidR="00592D6B" w:rsidRPr="00E106BD" w:rsidDel="000012FE" w:rsidRDefault="00592D6B" w:rsidP="00881477">
            <w:pPr>
              <w:pStyle w:val="mps3-data"/>
              <w:spacing w:before="0"/>
              <w:rPr>
                <w:szCs w:val="16"/>
              </w:rPr>
            </w:pPr>
            <w:r w:rsidRPr="00E106BD">
              <w:rPr>
                <w:szCs w:val="16"/>
              </w:rPr>
              <w:t>Levodopa with carbidopa</w:t>
            </w:r>
          </w:p>
        </w:tc>
        <w:tc>
          <w:tcPr>
            <w:tcW w:w="709" w:type="dxa"/>
            <w:tcMar>
              <w:top w:w="28" w:type="dxa"/>
              <w:left w:w="28" w:type="dxa"/>
            </w:tcMar>
          </w:tcPr>
          <w:p w:rsidR="00592D6B" w:rsidRPr="00E106BD" w:rsidDel="000012FE" w:rsidRDefault="00592D6B" w:rsidP="00881477">
            <w:pPr>
              <w:pStyle w:val="mps3-data"/>
              <w:spacing w:before="0"/>
              <w:rPr>
                <w:szCs w:val="16"/>
              </w:rPr>
            </w:pPr>
            <w:r w:rsidRPr="00E106BD">
              <w:rPr>
                <w:szCs w:val="16"/>
              </w:rPr>
              <w:t>C10138</w:t>
            </w:r>
          </w:p>
        </w:tc>
        <w:tc>
          <w:tcPr>
            <w:tcW w:w="709" w:type="dxa"/>
            <w:tcMar>
              <w:top w:w="28" w:type="dxa"/>
              <w:left w:w="28" w:type="dxa"/>
            </w:tcMar>
          </w:tcPr>
          <w:p w:rsidR="00592D6B" w:rsidRPr="00E106BD" w:rsidDel="000012FE" w:rsidRDefault="00592D6B" w:rsidP="00881477">
            <w:pPr>
              <w:pStyle w:val="mps3-data"/>
              <w:spacing w:before="0"/>
              <w:rPr>
                <w:szCs w:val="16"/>
              </w:rPr>
            </w:pPr>
            <w:r w:rsidRPr="00E106BD">
              <w:rPr>
                <w:szCs w:val="16"/>
                <w:lang w:eastAsia="en-AU"/>
              </w:rPr>
              <w:t>P10138</w:t>
            </w:r>
          </w:p>
        </w:tc>
        <w:tc>
          <w:tcPr>
            <w:tcW w:w="7654" w:type="dxa"/>
            <w:tcMar>
              <w:top w:w="28" w:type="dxa"/>
              <w:left w:w="28" w:type="dxa"/>
            </w:tcMar>
          </w:tcPr>
          <w:p w:rsidR="00592D6B" w:rsidRPr="00E106BD" w:rsidDel="000012FE" w:rsidRDefault="00592D6B" w:rsidP="00881477">
            <w:pPr>
              <w:pStyle w:val="mps3-data"/>
              <w:spacing w:before="0"/>
              <w:rPr>
                <w:szCs w:val="16"/>
              </w:rPr>
            </w:pPr>
            <w:r w:rsidRPr="00E106BD">
              <w:t>Advanced Parkinson disease</w:t>
            </w:r>
            <w:r w:rsidRPr="00E106BD">
              <w:br/>
              <w:t>Patient must have severe disabling motor fluctuations not adequately controlled by oral therapy; AND</w:t>
            </w:r>
            <w:r w:rsidRPr="00E106BD">
              <w:br/>
              <w:t>The treatment must be commenced in a hospital</w:t>
            </w:r>
            <w:r>
              <w:noBreakHyphen/>
            </w:r>
            <w:r w:rsidRPr="00E106BD">
              <w:t>based movement disorder clinic.</w:t>
            </w:r>
          </w:p>
        </w:tc>
        <w:tc>
          <w:tcPr>
            <w:tcW w:w="2552" w:type="dxa"/>
            <w:tcMar>
              <w:top w:w="28" w:type="dxa"/>
              <w:left w:w="28" w:type="dxa"/>
              <w:right w:w="57" w:type="dxa"/>
            </w:tcMar>
          </w:tcPr>
          <w:p w:rsidR="00592D6B" w:rsidRPr="00E106BD" w:rsidDel="000012FE" w:rsidRDefault="00592D6B" w:rsidP="002534B2">
            <w:pPr>
              <w:pStyle w:val="mps3-data"/>
              <w:keepNext/>
              <w:spacing w:before="0"/>
              <w:rPr>
                <w:rFonts w:eastAsia="SimSun"/>
                <w:szCs w:val="16"/>
              </w:rPr>
            </w:pPr>
            <w:r w:rsidRPr="00E106BD">
              <w:t xml:space="preserve">Compliance with Authority Required procedures </w:t>
            </w:r>
            <w:r>
              <w:noBreakHyphen/>
            </w:r>
            <w:r w:rsidRPr="00E106BD">
              <w:t xml:space="preserve"> Streamlined Authority Code 10138</w:t>
            </w:r>
          </w:p>
        </w:tc>
      </w:tr>
      <w:tr w:rsidR="00592D6B" w:rsidRPr="00E106BD" w:rsidDel="000012FE" w:rsidTr="008929EB">
        <w:tc>
          <w:tcPr>
            <w:tcW w:w="1729" w:type="dxa"/>
            <w:tcMar>
              <w:top w:w="28" w:type="dxa"/>
              <w:left w:w="28" w:type="dxa"/>
            </w:tcMar>
          </w:tcPr>
          <w:p w:rsidR="00592D6B" w:rsidRPr="00E106BD" w:rsidDel="000012FE" w:rsidRDefault="00592D6B" w:rsidP="00881477">
            <w:pPr>
              <w:pStyle w:val="mps3-data"/>
              <w:spacing w:before="0"/>
              <w:rPr>
                <w:szCs w:val="16"/>
              </w:rPr>
            </w:pPr>
          </w:p>
        </w:tc>
        <w:tc>
          <w:tcPr>
            <w:tcW w:w="709" w:type="dxa"/>
            <w:tcMar>
              <w:top w:w="28" w:type="dxa"/>
              <w:left w:w="28" w:type="dxa"/>
            </w:tcMar>
          </w:tcPr>
          <w:p w:rsidR="00592D6B" w:rsidRPr="00E106BD" w:rsidDel="000012FE" w:rsidRDefault="00592D6B" w:rsidP="00881477">
            <w:pPr>
              <w:pStyle w:val="mps3-data"/>
              <w:spacing w:before="0"/>
              <w:rPr>
                <w:szCs w:val="16"/>
              </w:rPr>
            </w:pPr>
            <w:r w:rsidRPr="00E106BD">
              <w:rPr>
                <w:szCs w:val="16"/>
              </w:rPr>
              <w:t>C10161</w:t>
            </w:r>
          </w:p>
        </w:tc>
        <w:tc>
          <w:tcPr>
            <w:tcW w:w="709" w:type="dxa"/>
            <w:tcMar>
              <w:top w:w="28" w:type="dxa"/>
              <w:left w:w="28" w:type="dxa"/>
            </w:tcMar>
          </w:tcPr>
          <w:p w:rsidR="00592D6B" w:rsidRPr="00E106BD" w:rsidDel="000012FE" w:rsidRDefault="00592D6B" w:rsidP="00881477">
            <w:pPr>
              <w:pStyle w:val="mps3-data"/>
              <w:spacing w:before="0"/>
              <w:rPr>
                <w:szCs w:val="16"/>
              </w:rPr>
            </w:pPr>
            <w:r w:rsidRPr="00E106BD">
              <w:rPr>
                <w:szCs w:val="16"/>
                <w:lang w:eastAsia="en-AU"/>
              </w:rPr>
              <w:t>P10161</w:t>
            </w:r>
          </w:p>
        </w:tc>
        <w:tc>
          <w:tcPr>
            <w:tcW w:w="7654" w:type="dxa"/>
            <w:tcMar>
              <w:top w:w="28" w:type="dxa"/>
              <w:left w:w="28" w:type="dxa"/>
            </w:tcMar>
          </w:tcPr>
          <w:p w:rsidR="00592D6B" w:rsidRPr="00E106BD" w:rsidDel="000012FE" w:rsidRDefault="00592D6B" w:rsidP="00881477">
            <w:pPr>
              <w:pStyle w:val="mps3-data"/>
              <w:spacing w:before="0"/>
              <w:rPr>
                <w:szCs w:val="16"/>
              </w:rPr>
            </w:pPr>
            <w:r w:rsidRPr="00E106BD">
              <w:t>Advanced Parkinson disease</w:t>
            </w:r>
            <w:r w:rsidRPr="00E106BD">
              <w:br/>
              <w:t>Patient must have severe disabling motor fluctuations not adequately controlled by oral therapy; AND</w:t>
            </w:r>
            <w:r w:rsidRPr="00E106BD">
              <w:br/>
              <w:t>The treatment must be commenced in a hospital</w:t>
            </w:r>
            <w:r>
              <w:noBreakHyphen/>
            </w:r>
            <w:r w:rsidRPr="00E106BD">
              <w:t>based movement disorder clinic.</w:t>
            </w:r>
          </w:p>
        </w:tc>
        <w:tc>
          <w:tcPr>
            <w:tcW w:w="2552" w:type="dxa"/>
            <w:tcMar>
              <w:top w:w="28" w:type="dxa"/>
              <w:left w:w="28" w:type="dxa"/>
              <w:right w:w="57" w:type="dxa"/>
            </w:tcMar>
          </w:tcPr>
          <w:p w:rsidR="00592D6B" w:rsidRPr="00E106BD" w:rsidDel="000012FE" w:rsidRDefault="00592D6B" w:rsidP="002534B2">
            <w:pPr>
              <w:pStyle w:val="mps3-data"/>
              <w:keepNext/>
              <w:spacing w:before="0"/>
              <w:rPr>
                <w:rFonts w:eastAsia="SimSun"/>
                <w:szCs w:val="16"/>
              </w:rPr>
            </w:pPr>
            <w:r w:rsidRPr="00E106BD">
              <w:t xml:space="preserve">Compliance with Authority Required procedures </w:t>
            </w:r>
            <w:r>
              <w:noBreakHyphen/>
            </w:r>
            <w:r w:rsidRPr="00E106BD">
              <w:t xml:space="preserve"> Streamlined Authority Code 10161</w:t>
            </w:r>
          </w:p>
        </w:tc>
      </w:tr>
      <w:tr w:rsidR="00592D6B" w:rsidRPr="00E106BD" w:rsidTr="008929EB">
        <w:tc>
          <w:tcPr>
            <w:tcW w:w="1729" w:type="dxa"/>
            <w:tcMar>
              <w:top w:w="28" w:type="dxa"/>
              <w:left w:w="28" w:type="dxa"/>
            </w:tcMar>
          </w:tcPr>
          <w:p w:rsidR="00592D6B" w:rsidRPr="00E106BD" w:rsidRDefault="00592D6B" w:rsidP="00881477">
            <w:pPr>
              <w:pStyle w:val="mps3-data"/>
              <w:spacing w:before="0"/>
              <w:rPr>
                <w:szCs w:val="16"/>
              </w:rPr>
            </w:pPr>
          </w:p>
        </w:tc>
        <w:tc>
          <w:tcPr>
            <w:tcW w:w="709" w:type="dxa"/>
            <w:tcMar>
              <w:top w:w="28" w:type="dxa"/>
              <w:left w:w="28" w:type="dxa"/>
            </w:tcMar>
          </w:tcPr>
          <w:p w:rsidR="00592D6B" w:rsidRPr="00E106BD" w:rsidRDefault="00592D6B" w:rsidP="00881477">
            <w:pPr>
              <w:pStyle w:val="mps3-data"/>
              <w:spacing w:before="0"/>
              <w:rPr>
                <w:szCs w:val="16"/>
              </w:rPr>
            </w:pPr>
            <w:r w:rsidRPr="003A13C5">
              <w:rPr>
                <w:szCs w:val="16"/>
              </w:rPr>
              <w:t>C10363</w:t>
            </w:r>
          </w:p>
        </w:tc>
        <w:tc>
          <w:tcPr>
            <w:tcW w:w="709" w:type="dxa"/>
            <w:tcMar>
              <w:top w:w="28" w:type="dxa"/>
              <w:left w:w="28" w:type="dxa"/>
            </w:tcMar>
          </w:tcPr>
          <w:p w:rsidR="00592D6B" w:rsidRPr="00E106BD" w:rsidRDefault="00592D6B" w:rsidP="00881477">
            <w:pPr>
              <w:pStyle w:val="mps3-data"/>
              <w:spacing w:before="0"/>
              <w:rPr>
                <w:szCs w:val="16"/>
              </w:rPr>
            </w:pPr>
            <w:r w:rsidRPr="003A13C5">
              <w:rPr>
                <w:szCs w:val="16"/>
              </w:rPr>
              <w:t>P10363</w:t>
            </w:r>
          </w:p>
        </w:tc>
        <w:tc>
          <w:tcPr>
            <w:tcW w:w="7654" w:type="dxa"/>
            <w:tcMar>
              <w:top w:w="28" w:type="dxa"/>
              <w:left w:w="28" w:type="dxa"/>
            </w:tcMar>
          </w:tcPr>
          <w:p w:rsidR="00592D6B" w:rsidRPr="00E106BD" w:rsidRDefault="00592D6B" w:rsidP="00881477">
            <w:pPr>
              <w:pStyle w:val="mps3-data"/>
              <w:spacing w:before="0"/>
              <w:rPr>
                <w:szCs w:val="16"/>
              </w:rPr>
            </w:pPr>
            <w:r w:rsidRPr="003A13C5">
              <w:rPr>
                <w:szCs w:val="16"/>
              </w:rPr>
              <w:t>Advanced Parkinson disease</w:t>
            </w:r>
            <w:r w:rsidRPr="003A13C5">
              <w:rPr>
                <w:szCs w:val="16"/>
              </w:rPr>
              <w:br/>
              <w:t>Patient must have severe disabling motor fluctuations not adequately controlled by oral therapy; AND</w:t>
            </w:r>
            <w:r w:rsidRPr="003A13C5">
              <w:rPr>
                <w:szCs w:val="16"/>
              </w:rPr>
              <w:br/>
              <w:t>The treatment must be commenced in a hospital-based movement disorder clinic; AND</w:t>
            </w:r>
            <w:r w:rsidRPr="003A13C5">
              <w:rPr>
                <w:szCs w:val="16"/>
              </w:rPr>
              <w:br/>
              <w:t>Patient must require continuous administration of levodopa without an overnight break; OR</w:t>
            </w:r>
            <w:r w:rsidRPr="003A13C5">
              <w:rPr>
                <w:szCs w:val="16"/>
              </w:rPr>
              <w:br/>
              <w:t>Patient must require a total daily dose of more than 2000 mg of levodopa.</w:t>
            </w:r>
          </w:p>
        </w:tc>
        <w:tc>
          <w:tcPr>
            <w:tcW w:w="2552" w:type="dxa"/>
            <w:tcMar>
              <w:top w:w="28" w:type="dxa"/>
              <w:left w:w="28" w:type="dxa"/>
              <w:right w:w="57" w:type="dxa"/>
            </w:tcMar>
          </w:tcPr>
          <w:p w:rsidR="00592D6B" w:rsidRPr="00E106BD" w:rsidRDefault="00592D6B" w:rsidP="002534B2">
            <w:pPr>
              <w:pStyle w:val="mps3-data"/>
              <w:keepNext/>
              <w:spacing w:before="0"/>
              <w:rPr>
                <w:szCs w:val="16"/>
              </w:rPr>
            </w:pPr>
            <w:r w:rsidRPr="003A13C5">
              <w:rPr>
                <w:szCs w:val="16"/>
              </w:rPr>
              <w:t>Compliance with Authority Required procedures - Streamlined Authority Code 10363</w:t>
            </w:r>
          </w:p>
        </w:tc>
      </w:tr>
      <w:tr w:rsidR="00592D6B" w:rsidRPr="00E106BD" w:rsidTr="008929EB">
        <w:tc>
          <w:tcPr>
            <w:tcW w:w="1729" w:type="dxa"/>
            <w:tcMar>
              <w:top w:w="28" w:type="dxa"/>
              <w:left w:w="28" w:type="dxa"/>
            </w:tcMar>
          </w:tcPr>
          <w:p w:rsidR="00592D6B" w:rsidRPr="00E106BD" w:rsidRDefault="00592D6B" w:rsidP="00881477">
            <w:pPr>
              <w:pStyle w:val="mps3-data"/>
              <w:spacing w:before="0"/>
              <w:rPr>
                <w:szCs w:val="16"/>
              </w:rPr>
            </w:pPr>
          </w:p>
        </w:tc>
        <w:tc>
          <w:tcPr>
            <w:tcW w:w="709" w:type="dxa"/>
            <w:tcMar>
              <w:top w:w="28" w:type="dxa"/>
              <w:left w:w="28" w:type="dxa"/>
            </w:tcMar>
          </w:tcPr>
          <w:p w:rsidR="00592D6B" w:rsidRPr="00E106BD" w:rsidRDefault="00592D6B" w:rsidP="00881477">
            <w:pPr>
              <w:pStyle w:val="mps3-data"/>
              <w:spacing w:before="0"/>
              <w:rPr>
                <w:szCs w:val="16"/>
              </w:rPr>
            </w:pPr>
            <w:r w:rsidRPr="003A13C5">
              <w:rPr>
                <w:szCs w:val="16"/>
              </w:rPr>
              <w:t>C10375</w:t>
            </w:r>
          </w:p>
        </w:tc>
        <w:tc>
          <w:tcPr>
            <w:tcW w:w="709" w:type="dxa"/>
            <w:tcMar>
              <w:top w:w="28" w:type="dxa"/>
              <w:left w:w="28" w:type="dxa"/>
            </w:tcMar>
          </w:tcPr>
          <w:p w:rsidR="00592D6B" w:rsidRPr="00E106BD" w:rsidRDefault="00592D6B" w:rsidP="00881477">
            <w:pPr>
              <w:pStyle w:val="mps3-data"/>
              <w:spacing w:before="0"/>
              <w:rPr>
                <w:szCs w:val="16"/>
              </w:rPr>
            </w:pPr>
            <w:r w:rsidRPr="003A13C5">
              <w:rPr>
                <w:szCs w:val="16"/>
              </w:rPr>
              <w:t>P10375</w:t>
            </w:r>
          </w:p>
        </w:tc>
        <w:tc>
          <w:tcPr>
            <w:tcW w:w="7654" w:type="dxa"/>
            <w:tcMar>
              <w:top w:w="28" w:type="dxa"/>
              <w:left w:w="28" w:type="dxa"/>
            </w:tcMar>
          </w:tcPr>
          <w:p w:rsidR="00592D6B" w:rsidRPr="00E106BD" w:rsidRDefault="00592D6B" w:rsidP="00881477">
            <w:pPr>
              <w:pStyle w:val="mps3-data"/>
              <w:spacing w:before="0"/>
              <w:rPr>
                <w:szCs w:val="16"/>
              </w:rPr>
            </w:pPr>
            <w:r w:rsidRPr="003A13C5">
              <w:rPr>
                <w:szCs w:val="16"/>
              </w:rPr>
              <w:t>Advanced Parkinson disease</w:t>
            </w:r>
            <w:r w:rsidRPr="003A13C5">
              <w:rPr>
                <w:szCs w:val="16"/>
              </w:rPr>
              <w:br/>
              <w:t>Patient must have severe disabling motor fluctuations not adequately controlled by oral therapy; AND</w:t>
            </w:r>
            <w:r w:rsidRPr="003A13C5">
              <w:rPr>
                <w:szCs w:val="16"/>
              </w:rPr>
              <w:br/>
              <w:t>The treatment must be commenced in a hospital-based movement disorder clinic; AND</w:t>
            </w:r>
            <w:r w:rsidRPr="003A13C5">
              <w:rPr>
                <w:szCs w:val="16"/>
              </w:rPr>
              <w:br/>
              <w:t>Patient must require continuous administration of levodopa without an overnight break; OR</w:t>
            </w:r>
            <w:r w:rsidRPr="003A13C5">
              <w:rPr>
                <w:szCs w:val="16"/>
              </w:rPr>
              <w:br/>
              <w:t>Patient must require a total daily dose of more than 2000 mg of levodopa.</w:t>
            </w:r>
          </w:p>
        </w:tc>
        <w:tc>
          <w:tcPr>
            <w:tcW w:w="2552" w:type="dxa"/>
            <w:tcMar>
              <w:top w:w="28" w:type="dxa"/>
              <w:left w:w="28" w:type="dxa"/>
              <w:right w:w="57" w:type="dxa"/>
            </w:tcMar>
          </w:tcPr>
          <w:p w:rsidR="00592D6B" w:rsidRPr="00E106BD" w:rsidRDefault="00592D6B" w:rsidP="002534B2">
            <w:pPr>
              <w:pStyle w:val="mps3-data"/>
              <w:keepNext/>
              <w:spacing w:before="0"/>
              <w:rPr>
                <w:szCs w:val="16"/>
              </w:rPr>
            </w:pPr>
            <w:r w:rsidRPr="003A13C5">
              <w:rPr>
                <w:szCs w:val="16"/>
              </w:rPr>
              <w:t>Compliance with Authority Required procedures - Streamlined Authority Code 10375</w:t>
            </w:r>
          </w:p>
        </w:tc>
      </w:tr>
      <w:tr w:rsidR="00592D6B" w:rsidRPr="00E106BD" w:rsidTr="008929EB">
        <w:tc>
          <w:tcPr>
            <w:tcW w:w="1729" w:type="dxa"/>
            <w:tcMar>
              <w:top w:w="28" w:type="dxa"/>
              <w:left w:w="28" w:type="dxa"/>
            </w:tcMar>
          </w:tcPr>
          <w:p w:rsidR="00592D6B" w:rsidRPr="00E106BD" w:rsidRDefault="00592D6B" w:rsidP="00881477">
            <w:pPr>
              <w:pStyle w:val="mps3-data"/>
              <w:spacing w:before="0"/>
              <w:rPr>
                <w:szCs w:val="16"/>
              </w:rPr>
            </w:pPr>
            <w:r w:rsidRPr="00E106BD">
              <w:rPr>
                <w:szCs w:val="16"/>
              </w:rPr>
              <w:t>Lipegfilgrastim</w:t>
            </w:r>
          </w:p>
        </w:tc>
        <w:tc>
          <w:tcPr>
            <w:tcW w:w="709" w:type="dxa"/>
            <w:tcMar>
              <w:top w:w="28" w:type="dxa"/>
              <w:left w:w="28" w:type="dxa"/>
            </w:tcMar>
          </w:tcPr>
          <w:p w:rsidR="00592D6B" w:rsidRPr="00E106BD" w:rsidRDefault="00592D6B" w:rsidP="00881477">
            <w:pPr>
              <w:pStyle w:val="mps3-data"/>
              <w:spacing w:before="0"/>
              <w:rPr>
                <w:szCs w:val="16"/>
              </w:rPr>
            </w:pPr>
            <w:r w:rsidRPr="00E106BD">
              <w:rPr>
                <w:szCs w:val="16"/>
              </w:rPr>
              <w:t>C7822</w:t>
            </w:r>
          </w:p>
        </w:tc>
        <w:tc>
          <w:tcPr>
            <w:tcW w:w="709" w:type="dxa"/>
            <w:tcMar>
              <w:top w:w="28" w:type="dxa"/>
              <w:left w:w="28" w:type="dxa"/>
            </w:tcMar>
          </w:tcPr>
          <w:p w:rsidR="00592D6B" w:rsidRPr="00E106BD" w:rsidRDefault="00592D6B" w:rsidP="00881477">
            <w:pPr>
              <w:pStyle w:val="mps3-data"/>
              <w:spacing w:before="0"/>
              <w:rPr>
                <w:szCs w:val="16"/>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chemotherapy with the intention of achieving a cure or a substantial remission; AND</w:t>
            </w:r>
            <w:r w:rsidRPr="00E106BD">
              <w:rPr>
                <w:szCs w:val="16"/>
              </w:rPr>
              <w:br/>
              <w:t>Patient must be at greater than 20% risk of developing febrile neutropenia; OR</w:t>
            </w:r>
            <w:r w:rsidRPr="00E106BD">
              <w:rPr>
                <w:szCs w:val="16"/>
              </w:rPr>
              <w:br/>
              <w:t>Patient must be at substantial risk (greater than 20%) of prolonged severe neutropenia for more than or equal to seven days.</w:t>
            </w:r>
          </w:p>
        </w:tc>
        <w:tc>
          <w:tcPr>
            <w:tcW w:w="2552" w:type="dxa"/>
            <w:tcMar>
              <w:top w:w="28" w:type="dxa"/>
              <w:left w:w="28" w:type="dxa"/>
              <w:right w:w="57" w:type="dxa"/>
            </w:tcMar>
          </w:tcPr>
          <w:p w:rsidR="00592D6B" w:rsidRPr="00E106BD" w:rsidRDefault="00592D6B" w:rsidP="002534B2">
            <w:pPr>
              <w:pStyle w:val="mps3-data"/>
              <w:keepNext/>
              <w:spacing w:before="0"/>
              <w:rPr>
                <w:szCs w:val="16"/>
              </w:rPr>
            </w:pPr>
            <w:r w:rsidRPr="00E106BD">
              <w:rPr>
                <w:szCs w:val="16"/>
              </w:rPr>
              <w:t xml:space="preserve">Compliance with Authority Required procedures </w:t>
            </w:r>
            <w:r>
              <w:rPr>
                <w:szCs w:val="16"/>
              </w:rPr>
              <w:noBreakHyphen/>
            </w:r>
            <w:r w:rsidRPr="00E106BD">
              <w:rPr>
                <w:szCs w:val="16"/>
              </w:rPr>
              <w:t xml:space="preserve"> Streamlined Authority Code 7822</w:t>
            </w:r>
          </w:p>
        </w:tc>
      </w:tr>
      <w:tr w:rsidR="00592D6B" w:rsidRPr="00E106BD" w:rsidTr="008929EB">
        <w:tc>
          <w:tcPr>
            <w:tcW w:w="1729" w:type="dxa"/>
            <w:tcMar>
              <w:top w:w="28" w:type="dxa"/>
              <w:left w:w="28" w:type="dxa"/>
            </w:tcMar>
          </w:tcPr>
          <w:p w:rsidR="00592D6B" w:rsidRPr="00E106BD" w:rsidRDefault="00592D6B" w:rsidP="00881477">
            <w:pPr>
              <w:pStyle w:val="mps3-data"/>
              <w:spacing w:before="0"/>
              <w:rPr>
                <w:szCs w:val="16"/>
              </w:rPr>
            </w:pPr>
          </w:p>
        </w:tc>
        <w:tc>
          <w:tcPr>
            <w:tcW w:w="709" w:type="dxa"/>
            <w:tcMar>
              <w:top w:w="28" w:type="dxa"/>
              <w:left w:w="28" w:type="dxa"/>
            </w:tcMar>
          </w:tcPr>
          <w:p w:rsidR="00592D6B" w:rsidRPr="00E106BD" w:rsidRDefault="00592D6B" w:rsidP="00881477">
            <w:pPr>
              <w:pStyle w:val="mps3-data"/>
              <w:spacing w:before="0"/>
              <w:rPr>
                <w:szCs w:val="16"/>
              </w:rPr>
            </w:pPr>
            <w:r w:rsidRPr="00E106BD">
              <w:rPr>
                <w:szCs w:val="16"/>
              </w:rPr>
              <w:t>C7843</w:t>
            </w:r>
          </w:p>
        </w:tc>
        <w:tc>
          <w:tcPr>
            <w:tcW w:w="709" w:type="dxa"/>
            <w:tcMar>
              <w:top w:w="28" w:type="dxa"/>
              <w:left w:w="28" w:type="dxa"/>
            </w:tcMar>
          </w:tcPr>
          <w:p w:rsidR="00592D6B" w:rsidRPr="00E106BD" w:rsidRDefault="00592D6B" w:rsidP="00881477">
            <w:pPr>
              <w:pStyle w:val="mps3-data"/>
              <w:spacing w:before="0"/>
              <w:rPr>
                <w:szCs w:val="16"/>
              </w:rPr>
            </w:pPr>
          </w:p>
        </w:tc>
        <w:tc>
          <w:tcPr>
            <w:tcW w:w="7654" w:type="dxa"/>
            <w:tcMar>
              <w:top w:w="28" w:type="dxa"/>
              <w:left w:w="28" w:type="dxa"/>
            </w:tcMar>
          </w:tcPr>
          <w:p w:rsidR="00592D6B" w:rsidRPr="00E106BD"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chemotherapy with the intention of achieving a cure or a substantial remission; AND</w:t>
            </w:r>
            <w:r w:rsidRPr="00E106BD">
              <w:rPr>
                <w:szCs w:val="16"/>
              </w:rPr>
              <w:br/>
              <w:t>Patient must have had a prior episode of febrile neutropenia; OR</w:t>
            </w:r>
            <w:r w:rsidRPr="00E106BD">
              <w:rPr>
                <w:szCs w:val="16"/>
              </w:rPr>
              <w:br/>
              <w:t>Patient must have had a prior episode of prolonged severe neutropenia for more than or equal to seven days.</w:t>
            </w:r>
          </w:p>
        </w:tc>
        <w:tc>
          <w:tcPr>
            <w:tcW w:w="2552" w:type="dxa"/>
            <w:tcMar>
              <w:top w:w="28" w:type="dxa"/>
              <w:left w:w="28" w:type="dxa"/>
              <w:right w:w="57" w:type="dxa"/>
            </w:tcMar>
          </w:tcPr>
          <w:p w:rsidR="00592D6B" w:rsidRPr="00E106BD" w:rsidRDefault="00592D6B" w:rsidP="002534B2">
            <w:pPr>
              <w:pStyle w:val="mps3-data"/>
              <w:keepNext/>
              <w:spacing w:before="0"/>
              <w:rPr>
                <w:szCs w:val="16"/>
              </w:rPr>
            </w:pPr>
            <w:r w:rsidRPr="00E106BD">
              <w:rPr>
                <w:szCs w:val="16"/>
              </w:rPr>
              <w:t xml:space="preserve">Compliance with Authority Required procedures </w:t>
            </w:r>
            <w:r>
              <w:rPr>
                <w:szCs w:val="16"/>
              </w:rPr>
              <w:noBreakHyphen/>
            </w:r>
            <w:r w:rsidRPr="00E106BD">
              <w:rPr>
                <w:szCs w:val="16"/>
              </w:rPr>
              <w:t xml:space="preserve"> Streamlined Authority Code 7843</w:t>
            </w:r>
          </w:p>
        </w:tc>
      </w:tr>
      <w:tr w:rsidR="00592D6B" w:rsidRPr="00E106BD" w:rsidDel="00B91391" w:rsidTr="008929EB">
        <w:tc>
          <w:tcPr>
            <w:tcW w:w="1729" w:type="dxa"/>
            <w:tcMar>
              <w:top w:w="28" w:type="dxa"/>
              <w:left w:w="28" w:type="dxa"/>
            </w:tcMar>
          </w:tcPr>
          <w:p w:rsidR="00592D6B" w:rsidRPr="00E106BD" w:rsidDel="00B91391" w:rsidRDefault="00592D6B" w:rsidP="00881477">
            <w:pPr>
              <w:pStyle w:val="mps3-data"/>
              <w:spacing w:before="0"/>
              <w:rPr>
                <w:szCs w:val="16"/>
              </w:rPr>
            </w:pPr>
          </w:p>
        </w:tc>
        <w:tc>
          <w:tcPr>
            <w:tcW w:w="709" w:type="dxa"/>
            <w:tcMar>
              <w:top w:w="28" w:type="dxa"/>
              <w:left w:w="28" w:type="dxa"/>
            </w:tcMar>
          </w:tcPr>
          <w:p w:rsidR="00592D6B" w:rsidRPr="00E106BD" w:rsidDel="00B91391" w:rsidRDefault="00592D6B" w:rsidP="00881477">
            <w:pPr>
              <w:pStyle w:val="mps3-data"/>
              <w:spacing w:before="0"/>
              <w:rPr>
                <w:szCs w:val="16"/>
              </w:rPr>
            </w:pPr>
            <w:r w:rsidRPr="00E106BD">
              <w:rPr>
                <w:szCs w:val="16"/>
              </w:rPr>
              <w:t>C9224</w:t>
            </w:r>
          </w:p>
        </w:tc>
        <w:tc>
          <w:tcPr>
            <w:tcW w:w="709" w:type="dxa"/>
            <w:tcMar>
              <w:top w:w="28" w:type="dxa"/>
              <w:left w:w="28" w:type="dxa"/>
            </w:tcMar>
          </w:tcPr>
          <w:p w:rsidR="00592D6B" w:rsidRPr="00E106BD" w:rsidDel="00B91391" w:rsidRDefault="00592D6B" w:rsidP="00881477">
            <w:pPr>
              <w:pStyle w:val="mps3-data"/>
              <w:spacing w:before="0"/>
              <w:rPr>
                <w:szCs w:val="16"/>
              </w:rPr>
            </w:pPr>
          </w:p>
        </w:tc>
        <w:tc>
          <w:tcPr>
            <w:tcW w:w="7654" w:type="dxa"/>
            <w:tcMar>
              <w:top w:w="28" w:type="dxa"/>
              <w:left w:w="28" w:type="dxa"/>
            </w:tcMar>
          </w:tcPr>
          <w:p w:rsidR="00592D6B" w:rsidRPr="00E106BD" w:rsidDel="00B91391"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chemotherapy with the intention of achieving a cure or a substantial remission; AND</w:t>
            </w:r>
            <w:r w:rsidRPr="00E106BD">
              <w:rPr>
                <w:szCs w:val="16"/>
              </w:rPr>
              <w:br/>
              <w:t>Patient must be at greater than 20% risk of developing febrile neutropenia; OR</w:t>
            </w:r>
            <w:r w:rsidRPr="00E106BD">
              <w:rPr>
                <w:szCs w:val="16"/>
              </w:rPr>
              <w:br/>
              <w:t>Patient must be at substantial risk (greater than 20%) of prolonged severe neutropenia for more than or equal to seven days.</w:t>
            </w:r>
          </w:p>
        </w:tc>
        <w:tc>
          <w:tcPr>
            <w:tcW w:w="2552" w:type="dxa"/>
            <w:tcMar>
              <w:top w:w="28" w:type="dxa"/>
              <w:left w:w="28" w:type="dxa"/>
              <w:right w:w="57" w:type="dxa"/>
            </w:tcMar>
          </w:tcPr>
          <w:p w:rsidR="00592D6B" w:rsidRPr="00E106BD" w:rsidDel="00B91391" w:rsidRDefault="00592D6B" w:rsidP="00F876F8">
            <w:pPr>
              <w:pStyle w:val="mps3-data"/>
              <w:spacing w:before="0"/>
              <w:rPr>
                <w:szCs w:val="16"/>
              </w:rPr>
            </w:pPr>
            <w:r w:rsidRPr="00E106BD">
              <w:rPr>
                <w:szCs w:val="16"/>
              </w:rPr>
              <w:t xml:space="preserve">Compliance with Authority Required procedures </w:t>
            </w:r>
            <w:r>
              <w:rPr>
                <w:szCs w:val="16"/>
              </w:rPr>
              <w:noBreakHyphen/>
            </w:r>
            <w:r w:rsidRPr="00E106BD">
              <w:rPr>
                <w:szCs w:val="16"/>
              </w:rPr>
              <w:t xml:space="preserve"> Streamlined Authority Code 9224</w:t>
            </w:r>
          </w:p>
        </w:tc>
      </w:tr>
      <w:tr w:rsidR="00592D6B" w:rsidRPr="00E106BD" w:rsidDel="00B91391" w:rsidTr="008929EB">
        <w:tc>
          <w:tcPr>
            <w:tcW w:w="1729" w:type="dxa"/>
            <w:tcMar>
              <w:top w:w="28" w:type="dxa"/>
              <w:left w:w="28" w:type="dxa"/>
            </w:tcMar>
          </w:tcPr>
          <w:p w:rsidR="00592D6B" w:rsidRPr="00E106BD" w:rsidDel="00B91391" w:rsidRDefault="00592D6B" w:rsidP="00881477">
            <w:pPr>
              <w:pStyle w:val="mps3-data"/>
              <w:spacing w:before="0"/>
              <w:rPr>
                <w:szCs w:val="16"/>
              </w:rPr>
            </w:pPr>
          </w:p>
        </w:tc>
        <w:tc>
          <w:tcPr>
            <w:tcW w:w="709" w:type="dxa"/>
            <w:tcMar>
              <w:top w:w="28" w:type="dxa"/>
              <w:left w:w="28" w:type="dxa"/>
            </w:tcMar>
          </w:tcPr>
          <w:p w:rsidR="00592D6B" w:rsidRPr="00E106BD" w:rsidDel="00B91391" w:rsidRDefault="00592D6B" w:rsidP="00881477">
            <w:pPr>
              <w:pStyle w:val="mps3-data"/>
              <w:spacing w:before="0"/>
              <w:rPr>
                <w:szCs w:val="16"/>
              </w:rPr>
            </w:pPr>
            <w:r w:rsidRPr="00E106BD">
              <w:rPr>
                <w:szCs w:val="16"/>
              </w:rPr>
              <w:t>C9322</w:t>
            </w:r>
          </w:p>
        </w:tc>
        <w:tc>
          <w:tcPr>
            <w:tcW w:w="709" w:type="dxa"/>
            <w:tcMar>
              <w:top w:w="28" w:type="dxa"/>
              <w:left w:w="28" w:type="dxa"/>
            </w:tcMar>
          </w:tcPr>
          <w:p w:rsidR="00592D6B" w:rsidRPr="00E106BD" w:rsidDel="00B91391" w:rsidRDefault="00592D6B" w:rsidP="00881477">
            <w:pPr>
              <w:pStyle w:val="mps3-data"/>
              <w:spacing w:before="0"/>
              <w:rPr>
                <w:szCs w:val="16"/>
              </w:rPr>
            </w:pPr>
          </w:p>
        </w:tc>
        <w:tc>
          <w:tcPr>
            <w:tcW w:w="7654" w:type="dxa"/>
            <w:tcMar>
              <w:top w:w="28" w:type="dxa"/>
              <w:left w:w="28" w:type="dxa"/>
            </w:tcMar>
          </w:tcPr>
          <w:p w:rsidR="00592D6B" w:rsidRPr="00E106BD" w:rsidDel="00B91391" w:rsidRDefault="00592D6B"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chemotherapy with the intention of achieving a cure or a substantial remission; AND</w:t>
            </w:r>
            <w:r w:rsidRPr="00E106BD">
              <w:rPr>
                <w:szCs w:val="16"/>
              </w:rPr>
              <w:br/>
              <w:t>Patient must have had a prior episode of febrile neutropenia; OR</w:t>
            </w:r>
            <w:r w:rsidRPr="00E106BD">
              <w:rPr>
                <w:szCs w:val="16"/>
              </w:rPr>
              <w:br/>
              <w:t>Patient must have had a prior episode of prolonged severe neutropenia for more than or equal to seven days.</w:t>
            </w:r>
          </w:p>
        </w:tc>
        <w:tc>
          <w:tcPr>
            <w:tcW w:w="2552" w:type="dxa"/>
            <w:tcMar>
              <w:top w:w="28" w:type="dxa"/>
              <w:left w:w="28" w:type="dxa"/>
              <w:right w:w="57" w:type="dxa"/>
            </w:tcMar>
          </w:tcPr>
          <w:p w:rsidR="00592D6B" w:rsidRPr="00E106BD" w:rsidDel="00B91391" w:rsidRDefault="00592D6B" w:rsidP="00F876F8">
            <w:pPr>
              <w:pStyle w:val="mps3-data"/>
              <w:spacing w:before="0"/>
              <w:rPr>
                <w:szCs w:val="16"/>
              </w:rPr>
            </w:pPr>
            <w:r w:rsidRPr="00E106BD">
              <w:rPr>
                <w:szCs w:val="16"/>
              </w:rPr>
              <w:t xml:space="preserve">Compliance with Authority Required procedures </w:t>
            </w:r>
            <w:r>
              <w:rPr>
                <w:szCs w:val="16"/>
              </w:rPr>
              <w:noBreakHyphen/>
            </w:r>
            <w:r w:rsidRPr="00E106BD">
              <w:rPr>
                <w:szCs w:val="16"/>
              </w:rPr>
              <w:t xml:space="preserve"> Streamlined Authority Code 9322</w:t>
            </w:r>
          </w:p>
        </w:tc>
      </w:tr>
      <w:tr w:rsidR="00592D6B" w:rsidRPr="00E106BD" w:rsidDel="00F50979"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E106BD" w:rsidDel="00F50979" w:rsidRDefault="00592D6B" w:rsidP="00881477">
            <w:pPr>
              <w:spacing w:line="240" w:lineRule="auto"/>
              <w:rPr>
                <w:rFonts w:ascii="Arial" w:eastAsia="SimSun" w:hAnsi="Arial" w:cs="Arial"/>
                <w:sz w:val="16"/>
                <w:szCs w:val="16"/>
                <w:lang w:eastAsia="zh-CN"/>
              </w:rPr>
            </w:pPr>
            <w:bookmarkStart w:id="193" w:name="CU_365619619"/>
            <w:bookmarkStart w:id="194" w:name="CU_366619956"/>
            <w:bookmarkEnd w:id="193"/>
            <w:bookmarkEnd w:id="194"/>
            <w:r w:rsidRPr="00E106BD">
              <w:rPr>
                <w:rFonts w:ascii="Arial" w:eastAsia="SimSun" w:hAnsi="Arial" w:cs="Arial"/>
                <w:sz w:val="16"/>
                <w:szCs w:val="16"/>
                <w:lang w:eastAsia="zh-CN"/>
              </w:rPr>
              <w:t>Lopinavir with ritonavir</w:t>
            </w:r>
          </w:p>
        </w:tc>
        <w:tc>
          <w:tcPr>
            <w:tcW w:w="709" w:type="dxa"/>
            <w:tcBorders>
              <w:bottom w:val="single" w:sz="4" w:space="0" w:color="auto"/>
            </w:tcBorders>
            <w:shd w:val="clear" w:color="auto" w:fill="auto"/>
            <w:tcMar>
              <w:top w:w="28" w:type="dxa"/>
              <w:left w:w="28" w:type="dxa"/>
            </w:tcMar>
          </w:tcPr>
          <w:p w:rsidR="00592D6B" w:rsidRPr="00E106BD" w:rsidDel="00F50979"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Borders>
              <w:bottom w:val="single" w:sz="4" w:space="0" w:color="auto"/>
            </w:tcBorders>
            <w:shd w:val="clear" w:color="auto" w:fill="auto"/>
            <w:tcMar>
              <w:top w:w="28" w:type="dxa"/>
              <w:left w:w="28" w:type="dxa"/>
            </w:tcMar>
          </w:tcPr>
          <w:p w:rsidR="00592D6B" w:rsidRPr="00E106BD" w:rsidDel="00F50979" w:rsidRDefault="00592D6B"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592D6B" w:rsidRPr="00E106BD" w:rsidDel="00F50979"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592D6B" w:rsidRPr="00E106BD" w:rsidDel="00F50979" w:rsidRDefault="00592D6B"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592D6B" w:rsidRPr="00E106BD" w:rsidDel="00F50979"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E106BD" w:rsidDel="00F50979" w:rsidRDefault="00592D6B"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592D6B" w:rsidRPr="00E106BD" w:rsidDel="00F50979"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Borders>
              <w:bottom w:val="single" w:sz="4" w:space="0" w:color="auto"/>
            </w:tcBorders>
            <w:shd w:val="clear" w:color="auto" w:fill="auto"/>
            <w:tcMar>
              <w:top w:w="28" w:type="dxa"/>
              <w:left w:w="28" w:type="dxa"/>
            </w:tcMar>
          </w:tcPr>
          <w:p w:rsidR="00592D6B" w:rsidRPr="00E106BD" w:rsidDel="00F50979" w:rsidRDefault="00592D6B"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592D6B" w:rsidRPr="00E106BD" w:rsidDel="00F50979"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592D6B" w:rsidRPr="00E106BD" w:rsidDel="00F50979" w:rsidRDefault="00592D6B"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592D6B"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E106BD" w:rsidDel="0015259E"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Lumacaftor with ivacaftor</w:t>
            </w:r>
          </w:p>
        </w:tc>
        <w:tc>
          <w:tcPr>
            <w:tcW w:w="709" w:type="dxa"/>
            <w:tcBorders>
              <w:bottom w:val="single" w:sz="4" w:space="0" w:color="auto"/>
            </w:tcBorders>
            <w:shd w:val="clear" w:color="auto" w:fill="auto"/>
            <w:tcMar>
              <w:top w:w="28" w:type="dxa"/>
              <w:left w:w="28" w:type="dxa"/>
            </w:tcMar>
          </w:tcPr>
          <w:p w:rsidR="00592D6B" w:rsidRPr="00E106BD" w:rsidDel="0015259E"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C9857</w:t>
            </w:r>
          </w:p>
        </w:tc>
        <w:tc>
          <w:tcPr>
            <w:tcW w:w="709" w:type="dxa"/>
            <w:tcBorders>
              <w:bottom w:val="single" w:sz="4" w:space="0" w:color="auto"/>
            </w:tcBorders>
            <w:shd w:val="clear" w:color="auto" w:fill="auto"/>
            <w:tcMar>
              <w:top w:w="28" w:type="dxa"/>
              <w:left w:w="28" w:type="dxa"/>
            </w:tcMar>
          </w:tcPr>
          <w:p w:rsidR="00592D6B" w:rsidRPr="00E106BD" w:rsidDel="0015259E" w:rsidRDefault="00592D6B"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592D6B" w:rsidRPr="00E106BD" w:rsidDel="0015259E"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be homozygous for the F508del mutation in the cystic fibrosis transmembrane conductance regulator (CFTR) gene; AND</w:t>
            </w:r>
            <w:r w:rsidRPr="00E106BD">
              <w:rPr>
                <w:rFonts w:ascii="Arial" w:eastAsia="SimSun" w:hAnsi="Arial" w:cs="Arial"/>
                <w:sz w:val="16"/>
                <w:szCs w:val="16"/>
                <w:lang w:eastAsia="zh-CN"/>
              </w:rPr>
              <w:br/>
              <w:t>The treatment must be given concomitantly with standard therapy for this condition; AND</w:t>
            </w:r>
            <w:r w:rsidRPr="00E106BD">
              <w:rPr>
                <w:rFonts w:ascii="Arial" w:eastAsia="SimSun" w:hAnsi="Arial" w:cs="Arial"/>
                <w:sz w:val="16"/>
                <w:szCs w:val="16"/>
                <w:lang w:eastAsia="zh-CN"/>
              </w:rPr>
              <w:br/>
              <w:t>Patient must have either chronic sinopulmonary disease or gastrointestinal and nutritional abnormalities;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w:t>
            </w:r>
            <w:r w:rsidRPr="00E106BD">
              <w:rPr>
                <w:rFonts w:ascii="Arial" w:eastAsia="SimSun" w:hAnsi="Arial" w:cs="Arial"/>
                <w:sz w:val="16"/>
                <w:szCs w:val="16"/>
                <w:lang w:eastAsia="zh-CN"/>
              </w:rPr>
              <w:br/>
              <w:t>Patient must be 12 years of age or older.</w:t>
            </w:r>
            <w:r w:rsidRPr="00E106BD">
              <w:rPr>
                <w:rFonts w:ascii="Arial" w:eastAsia="SimSun" w:hAnsi="Arial" w:cs="Arial"/>
                <w:sz w:val="16"/>
                <w:szCs w:val="16"/>
                <w:lang w:eastAsia="zh-CN"/>
              </w:rPr>
              <w:br/>
              <w:t>The patient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 xml:space="preserve">For the purposes of this restriction, PBS subsidised </w:t>
            </w:r>
            <w:r w:rsidR="00A653CA">
              <w:rPr>
                <w:rFonts w:ascii="Arial" w:eastAsia="SimSun" w:hAnsi="Arial" w:cs="Arial"/>
                <w:sz w:val="16"/>
                <w:szCs w:val="16"/>
                <w:lang w:eastAsia="zh-CN"/>
              </w:rPr>
              <w:t>‘</w:t>
            </w:r>
            <w:r w:rsidRPr="00E106BD">
              <w:rPr>
                <w:rFonts w:ascii="Arial" w:eastAsia="SimSun" w:hAnsi="Arial" w:cs="Arial"/>
                <w:sz w:val="16"/>
                <w:szCs w:val="16"/>
                <w:lang w:eastAsia="zh-CN"/>
              </w:rPr>
              <w:t>CFTR modulator</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sidR="00A653CA">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Authority Application Supporting Information Form; and</w:t>
            </w:r>
            <w:r w:rsidRPr="00E106BD">
              <w:rPr>
                <w:rFonts w:ascii="Arial" w:eastAsia="SimSun" w:hAnsi="Arial" w:cs="Arial"/>
                <w:sz w:val="16"/>
                <w:szCs w:val="16"/>
                <w:lang w:eastAsia="zh-CN"/>
              </w:rPr>
              <w:br/>
              <w:t>(3) a copy of the pathology report detailing the molecular testing for the patient being homozygous for the F508del mutation on the CFTR gene; and</w:t>
            </w:r>
            <w:r w:rsidRPr="00E106BD">
              <w:rPr>
                <w:rFonts w:ascii="Arial" w:eastAsia="SimSun" w:hAnsi="Arial" w:cs="Arial"/>
                <w:sz w:val="16"/>
                <w:szCs w:val="16"/>
                <w:lang w:eastAsia="zh-CN"/>
              </w:rPr>
              <w:br/>
              <w:t>(4) the result of a FEV1measurement performed within a month prior to the date of application. Note: FEV1must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(5) current CYP3A4 inhibitors, CYP3A4 inducers and IV antibiotics; and</w:t>
            </w:r>
            <w:r w:rsidRPr="00E106BD">
              <w:rPr>
                <w:rFonts w:ascii="Arial" w:eastAsia="SimSun" w:hAnsi="Arial" w:cs="Arial"/>
                <w:sz w:val="16"/>
                <w:szCs w:val="16"/>
                <w:lang w:eastAsia="zh-CN"/>
              </w:rPr>
              <w:br/>
              <w:t>(6) height and weight measurements at the time of application; and</w:t>
            </w:r>
            <w:r w:rsidRPr="00E106BD">
              <w:rPr>
                <w:rFonts w:ascii="Arial" w:eastAsia="SimSun" w:hAnsi="Arial" w:cs="Arial"/>
                <w:sz w:val="16"/>
                <w:szCs w:val="16"/>
                <w:lang w:eastAsia="zh-CN"/>
              </w:rPr>
              <w:br/>
              <w:t>(7) a baseline measurement of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12 months.</w:t>
            </w:r>
          </w:p>
        </w:tc>
        <w:tc>
          <w:tcPr>
            <w:tcW w:w="2552" w:type="dxa"/>
            <w:tcBorders>
              <w:bottom w:val="single" w:sz="4" w:space="0" w:color="auto"/>
            </w:tcBorders>
            <w:shd w:val="clear" w:color="auto" w:fill="auto"/>
            <w:tcMar>
              <w:top w:w="28" w:type="dxa"/>
              <w:left w:w="28" w:type="dxa"/>
              <w:right w:w="57" w:type="dxa"/>
            </w:tcMar>
          </w:tcPr>
          <w:p w:rsidR="00592D6B" w:rsidRPr="00E106BD" w:rsidDel="0015259E" w:rsidRDefault="00592D6B"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592D6B"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C9891</w:t>
            </w:r>
          </w:p>
        </w:tc>
        <w:tc>
          <w:tcPr>
            <w:tcW w:w="709" w:type="dxa"/>
            <w:tcBorders>
              <w:bottom w:val="single" w:sz="4" w:space="0" w:color="auto"/>
            </w:tcBorders>
            <w:shd w:val="clear" w:color="auto" w:fill="auto"/>
            <w:tcMar>
              <w:top w:w="28" w:type="dxa"/>
              <w:left w:w="28" w:type="dxa"/>
            </w:tcMar>
          </w:tcPr>
          <w:p w:rsidR="00592D6B" w:rsidRPr="00E106BD" w:rsidDel="0015259E" w:rsidRDefault="00592D6B"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aged between 6 and 11 years inclusive.</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w:t>
            </w:r>
            <w:r w:rsidR="00A653CA">
              <w:rPr>
                <w:rFonts w:ascii="Arial" w:eastAsia="SimSun" w:hAnsi="Arial" w:cs="Arial"/>
                <w:sz w:val="16"/>
                <w:szCs w:val="16"/>
                <w:lang w:eastAsia="zh-CN"/>
              </w:rPr>
              <w:t>’</w:t>
            </w:r>
            <w:r w:rsidRPr="00E106BD">
              <w:rPr>
                <w:rFonts w:ascii="Arial" w:eastAsia="SimSun" w:hAnsi="Arial" w:cs="Arial"/>
                <w:sz w:val="16"/>
                <w:szCs w:val="16"/>
                <w:lang w:eastAsia="zh-CN"/>
              </w:rPr>
              <w:t>s supply in order to enable the assessment to be repeated following resolution of the exacerbation.</w:t>
            </w:r>
            <w:r w:rsidRPr="00E106BD">
              <w:rPr>
                <w:rFonts w:ascii="Arial" w:eastAsia="SimSun" w:hAnsi="Arial" w:cs="Arial"/>
                <w:sz w:val="16"/>
                <w:szCs w:val="16"/>
                <w:lang w:eastAsia="zh-CN"/>
              </w:rPr>
              <w:br/>
              <w:t xml:space="preserve">For the purposes of this restriction, PBS subsidised </w:t>
            </w:r>
            <w:r w:rsidR="00A653CA">
              <w:rPr>
                <w:rFonts w:ascii="Arial" w:eastAsia="SimSun" w:hAnsi="Arial" w:cs="Arial"/>
                <w:sz w:val="16"/>
                <w:szCs w:val="16"/>
                <w:lang w:eastAsia="zh-CN"/>
              </w:rPr>
              <w:t>‘</w:t>
            </w:r>
            <w:r w:rsidRPr="00E106BD">
              <w:rPr>
                <w:rFonts w:ascii="Arial" w:eastAsia="SimSun" w:hAnsi="Arial" w:cs="Arial"/>
                <w:sz w:val="16"/>
                <w:szCs w:val="16"/>
                <w:lang w:eastAsia="zh-CN"/>
              </w:rPr>
              <w:t>CFTR modulator</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sidR="00A653CA">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Continuing Authority Application Supporting Information Form; and</w:t>
            </w:r>
            <w:r w:rsidRPr="00E106BD">
              <w:rPr>
                <w:rFonts w:ascii="Arial" w:eastAsia="SimSun" w:hAnsi="Arial" w:cs="Arial"/>
                <w:sz w:val="16"/>
                <w:szCs w:val="16"/>
                <w:lang w:eastAsia="zh-CN"/>
              </w:rPr>
              <w:br/>
              <w:t>(3) the result of a FEV1measurement performed within a month prior to the date of application.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6 months.</w:t>
            </w:r>
          </w:p>
        </w:tc>
        <w:tc>
          <w:tcPr>
            <w:tcW w:w="2552" w:type="dxa"/>
            <w:tcBorders>
              <w:bottom w:val="single" w:sz="4" w:space="0" w:color="auto"/>
            </w:tcBorders>
            <w:shd w:val="clear" w:color="auto" w:fill="auto"/>
            <w:tcMar>
              <w:top w:w="28" w:type="dxa"/>
              <w:left w:w="28" w:type="dxa"/>
              <w:right w:w="57" w:type="dxa"/>
            </w:tcMar>
          </w:tcPr>
          <w:p w:rsidR="00592D6B" w:rsidRPr="00E106BD" w:rsidRDefault="00592D6B"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592D6B"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C9920</w:t>
            </w:r>
          </w:p>
        </w:tc>
        <w:tc>
          <w:tcPr>
            <w:tcW w:w="709" w:type="dxa"/>
            <w:tcBorders>
              <w:bottom w:val="single" w:sz="4" w:space="0" w:color="auto"/>
            </w:tcBorders>
            <w:shd w:val="clear" w:color="auto" w:fill="auto"/>
            <w:tcMar>
              <w:top w:w="28" w:type="dxa"/>
              <w:left w:w="28" w:type="dxa"/>
            </w:tcMar>
          </w:tcPr>
          <w:p w:rsidR="00592D6B" w:rsidRPr="00E106BD" w:rsidDel="0015259E" w:rsidRDefault="00592D6B"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be homozygous for the F508del mutation in the cystic fibrosis transmembrane conductance regulator (CFTR) gene; AND</w:t>
            </w:r>
            <w:r w:rsidRPr="00E106BD">
              <w:rPr>
                <w:rFonts w:ascii="Arial" w:eastAsia="SimSun" w:hAnsi="Arial" w:cs="Arial"/>
                <w:sz w:val="16"/>
                <w:szCs w:val="16"/>
                <w:lang w:eastAsia="zh-CN"/>
              </w:rPr>
              <w:br/>
              <w:t>The treatment must be given concomitantly with standard therapy for this condition; AND</w:t>
            </w:r>
            <w:r w:rsidRPr="00E106BD">
              <w:rPr>
                <w:rFonts w:ascii="Arial" w:eastAsia="SimSun" w:hAnsi="Arial" w:cs="Arial"/>
                <w:sz w:val="16"/>
                <w:szCs w:val="16"/>
                <w:lang w:eastAsia="zh-CN"/>
              </w:rPr>
              <w:br/>
              <w:t>Patient must have either chronic sinopulmonary disease or gastrointestinal and nutritional abnormalities;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w:t>
            </w:r>
            <w:r w:rsidRPr="00E106BD">
              <w:rPr>
                <w:rFonts w:ascii="Arial" w:eastAsia="SimSun" w:hAnsi="Arial" w:cs="Arial"/>
                <w:sz w:val="16"/>
                <w:szCs w:val="16"/>
                <w:lang w:eastAsia="zh-CN"/>
              </w:rPr>
              <w:br/>
              <w:t>Patient must be aged between 6 and 11 years inclusive.</w:t>
            </w:r>
            <w:r w:rsidRPr="00E106BD">
              <w:rPr>
                <w:rFonts w:ascii="Arial" w:eastAsia="SimSun" w:hAnsi="Arial" w:cs="Arial"/>
                <w:sz w:val="16"/>
                <w:szCs w:val="16"/>
                <w:lang w:eastAsia="zh-CN"/>
              </w:rPr>
              <w:br/>
              <w:t>The patient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 xml:space="preserve">For the purposes of this restriction, PBS subsidised </w:t>
            </w:r>
            <w:r w:rsidR="00A653CA">
              <w:rPr>
                <w:rFonts w:ascii="Arial" w:eastAsia="SimSun" w:hAnsi="Arial" w:cs="Arial"/>
                <w:sz w:val="16"/>
                <w:szCs w:val="16"/>
                <w:lang w:eastAsia="zh-CN"/>
              </w:rPr>
              <w:t>‘</w:t>
            </w:r>
            <w:r w:rsidRPr="00E106BD">
              <w:rPr>
                <w:rFonts w:ascii="Arial" w:eastAsia="SimSun" w:hAnsi="Arial" w:cs="Arial"/>
                <w:sz w:val="16"/>
                <w:szCs w:val="16"/>
                <w:lang w:eastAsia="zh-CN"/>
              </w:rPr>
              <w:t>CFTR modulator</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sidR="00A653CA">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Authority Application Supporting Information Form; and</w:t>
            </w:r>
            <w:r w:rsidRPr="00E106BD">
              <w:rPr>
                <w:rFonts w:ascii="Arial" w:eastAsia="SimSun" w:hAnsi="Arial" w:cs="Arial"/>
                <w:sz w:val="16"/>
                <w:szCs w:val="16"/>
                <w:lang w:eastAsia="zh-CN"/>
              </w:rPr>
              <w:br/>
              <w:t>(3) a copy of the pathology report detailing the molecular testing for the patient being homozygous for the F508del mutation on the CFTR gene; and</w:t>
            </w:r>
            <w:r w:rsidRPr="00E106BD">
              <w:rPr>
                <w:rFonts w:ascii="Arial" w:eastAsia="SimSun" w:hAnsi="Arial" w:cs="Arial"/>
                <w:sz w:val="16"/>
                <w:szCs w:val="16"/>
                <w:lang w:eastAsia="zh-CN"/>
              </w:rPr>
              <w:br/>
              <w:t>(4) the result of a FEV1measurement performed within a month prior to the date of application. Note: FEV1must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(5) current CYP3A4 inhibitors, CYP3A4 inducers and IV antibiotics; and</w:t>
            </w:r>
            <w:r w:rsidRPr="00E106BD">
              <w:rPr>
                <w:rFonts w:ascii="Arial" w:eastAsia="SimSun" w:hAnsi="Arial" w:cs="Arial"/>
                <w:sz w:val="16"/>
                <w:szCs w:val="16"/>
                <w:lang w:eastAsia="zh-CN"/>
              </w:rPr>
              <w:br/>
              <w:t>(6) height and weight measurements at the time of application; and</w:t>
            </w:r>
            <w:r w:rsidRPr="00E106BD">
              <w:rPr>
                <w:rFonts w:ascii="Arial" w:eastAsia="SimSun" w:hAnsi="Arial" w:cs="Arial"/>
                <w:sz w:val="16"/>
                <w:szCs w:val="16"/>
                <w:lang w:eastAsia="zh-CN"/>
              </w:rPr>
              <w:br/>
              <w:t>(7) a baseline measurement of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12 months.</w:t>
            </w:r>
          </w:p>
        </w:tc>
        <w:tc>
          <w:tcPr>
            <w:tcW w:w="2552" w:type="dxa"/>
            <w:tcBorders>
              <w:bottom w:val="single" w:sz="4" w:space="0" w:color="auto"/>
            </w:tcBorders>
            <w:shd w:val="clear" w:color="auto" w:fill="auto"/>
            <w:tcMar>
              <w:top w:w="28" w:type="dxa"/>
              <w:left w:w="28" w:type="dxa"/>
              <w:right w:w="57" w:type="dxa"/>
            </w:tcMar>
          </w:tcPr>
          <w:p w:rsidR="00592D6B" w:rsidRPr="00E106BD" w:rsidRDefault="00592D6B"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592D6B"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C9943</w:t>
            </w:r>
          </w:p>
        </w:tc>
        <w:tc>
          <w:tcPr>
            <w:tcW w:w="709" w:type="dxa"/>
            <w:tcBorders>
              <w:bottom w:val="single" w:sz="4" w:space="0" w:color="auto"/>
            </w:tcBorders>
            <w:shd w:val="clear" w:color="auto" w:fill="auto"/>
            <w:tcMar>
              <w:top w:w="28" w:type="dxa"/>
              <w:left w:w="28" w:type="dxa"/>
            </w:tcMar>
          </w:tcPr>
          <w:p w:rsidR="00592D6B" w:rsidRPr="00E106BD" w:rsidDel="0015259E" w:rsidRDefault="00592D6B"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given concomitantly with standard therapy for this condition;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w:t>
            </w:r>
            <w:r w:rsidRPr="00E106BD">
              <w:rPr>
                <w:rFonts w:ascii="Arial" w:eastAsia="SimSun" w:hAnsi="Arial" w:cs="Arial"/>
                <w:sz w:val="16"/>
                <w:szCs w:val="16"/>
                <w:lang w:eastAsia="zh-CN"/>
              </w:rPr>
              <w:br/>
              <w:t>Patient must be 12 years of age or older.</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w:t>
            </w:r>
            <w:r w:rsidR="00A653CA">
              <w:rPr>
                <w:rFonts w:ascii="Arial" w:eastAsia="SimSun" w:hAnsi="Arial" w:cs="Arial"/>
                <w:sz w:val="16"/>
                <w:szCs w:val="16"/>
                <w:lang w:eastAsia="zh-CN"/>
              </w:rPr>
              <w:t>’</w:t>
            </w:r>
            <w:r w:rsidRPr="00E106BD">
              <w:rPr>
                <w:rFonts w:ascii="Arial" w:eastAsia="SimSun" w:hAnsi="Arial" w:cs="Arial"/>
                <w:sz w:val="16"/>
                <w:szCs w:val="16"/>
                <w:lang w:eastAsia="zh-CN"/>
              </w:rPr>
              <w:t>s supply in order to enable the assessment to be repeated following resolution of the exacerbation.</w:t>
            </w:r>
            <w:r w:rsidRPr="00E106BD">
              <w:rPr>
                <w:rFonts w:ascii="Arial" w:eastAsia="SimSun" w:hAnsi="Arial" w:cs="Arial"/>
                <w:sz w:val="16"/>
                <w:szCs w:val="16"/>
                <w:lang w:eastAsia="zh-CN"/>
              </w:rPr>
              <w:br/>
              <w:t xml:space="preserve">For the purposes of this restriction, PBS subsidised </w:t>
            </w:r>
            <w:r w:rsidR="00A653CA">
              <w:rPr>
                <w:rFonts w:ascii="Arial" w:eastAsia="SimSun" w:hAnsi="Arial" w:cs="Arial"/>
                <w:sz w:val="16"/>
                <w:szCs w:val="16"/>
                <w:lang w:eastAsia="zh-CN"/>
              </w:rPr>
              <w:t>‘</w:t>
            </w:r>
            <w:r w:rsidRPr="00E106BD">
              <w:rPr>
                <w:rFonts w:ascii="Arial" w:eastAsia="SimSun" w:hAnsi="Arial" w:cs="Arial"/>
                <w:sz w:val="16"/>
                <w:szCs w:val="16"/>
                <w:lang w:eastAsia="zh-CN"/>
              </w:rPr>
              <w:t>CFTR modulator</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sidR="00A653CA">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Continuing Authority Application Supporting Information Form; and</w:t>
            </w:r>
            <w:r w:rsidRPr="00E106BD">
              <w:rPr>
                <w:rFonts w:ascii="Arial" w:eastAsia="SimSun" w:hAnsi="Arial" w:cs="Arial"/>
                <w:sz w:val="16"/>
                <w:szCs w:val="16"/>
                <w:lang w:eastAsia="zh-CN"/>
              </w:rPr>
              <w:br/>
              <w:t>(3) the result of a FEV1measurement performed within a month prior to the date of application.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6 months.</w:t>
            </w:r>
          </w:p>
        </w:tc>
        <w:tc>
          <w:tcPr>
            <w:tcW w:w="2552" w:type="dxa"/>
            <w:tcBorders>
              <w:bottom w:val="single" w:sz="4" w:space="0" w:color="auto"/>
            </w:tcBorders>
            <w:shd w:val="clear" w:color="auto" w:fill="auto"/>
            <w:tcMar>
              <w:top w:w="28" w:type="dxa"/>
              <w:left w:w="28" w:type="dxa"/>
              <w:right w:w="57" w:type="dxa"/>
            </w:tcMar>
          </w:tcPr>
          <w:p w:rsidR="00592D6B" w:rsidRPr="00E106BD" w:rsidRDefault="00592D6B"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592D6B"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C10005</w:t>
            </w:r>
          </w:p>
        </w:tc>
        <w:tc>
          <w:tcPr>
            <w:tcW w:w="709" w:type="dxa"/>
            <w:tcBorders>
              <w:bottom w:val="single" w:sz="4" w:space="0" w:color="auto"/>
            </w:tcBorders>
            <w:shd w:val="clear" w:color="auto" w:fill="auto"/>
            <w:tcMar>
              <w:top w:w="28" w:type="dxa"/>
              <w:left w:w="28" w:type="dxa"/>
            </w:tcMar>
          </w:tcPr>
          <w:p w:rsidR="00592D6B" w:rsidRPr="00E106BD" w:rsidDel="0015259E" w:rsidRDefault="00592D6B"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be homozygous for the F508del mutation in the cystic fibrosis transmembrane conductance regulator (CFTR) gene; AND</w:t>
            </w:r>
            <w:r w:rsidRPr="00E106BD">
              <w:rPr>
                <w:rFonts w:ascii="Arial" w:eastAsia="SimSun" w:hAnsi="Arial" w:cs="Arial"/>
                <w:sz w:val="16"/>
                <w:szCs w:val="16"/>
                <w:lang w:eastAsia="zh-CN"/>
              </w:rPr>
              <w:br/>
              <w:t>The treatment must be given concomitantly with standard therapy for this condition;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w:t>
            </w:r>
            <w:r w:rsidRPr="00E106BD">
              <w:rPr>
                <w:rFonts w:ascii="Arial" w:eastAsia="SimSun" w:hAnsi="Arial" w:cs="Arial"/>
                <w:sz w:val="16"/>
                <w:szCs w:val="16"/>
                <w:lang w:eastAsia="zh-CN"/>
              </w:rPr>
              <w:br/>
              <w:t>Patient must be 2 years of age or older.</w:t>
            </w:r>
            <w:r w:rsidRPr="00E106BD">
              <w:rPr>
                <w:rFonts w:ascii="Arial" w:eastAsia="SimSun" w:hAnsi="Arial" w:cs="Arial"/>
                <w:sz w:val="16"/>
                <w:szCs w:val="16"/>
                <w:lang w:eastAsia="zh-CN"/>
              </w:rPr>
              <w:br/>
              <w:t>The patient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 xml:space="preserve">For the purposes of this restriction, PBS subsidised </w:t>
            </w:r>
            <w:r w:rsidR="00A653CA">
              <w:rPr>
                <w:rFonts w:ascii="Arial" w:eastAsia="SimSun" w:hAnsi="Arial" w:cs="Arial"/>
                <w:sz w:val="16"/>
                <w:szCs w:val="16"/>
                <w:lang w:eastAsia="zh-CN"/>
              </w:rPr>
              <w:t>‘</w:t>
            </w:r>
            <w:r w:rsidRPr="00E106BD">
              <w:rPr>
                <w:rFonts w:ascii="Arial" w:eastAsia="SimSun" w:hAnsi="Arial" w:cs="Arial"/>
                <w:sz w:val="16"/>
                <w:szCs w:val="16"/>
                <w:lang w:eastAsia="zh-CN"/>
              </w:rPr>
              <w:t>CFTR modulator</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sidR="00A653CA">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Authority Application Supporting Information Form; and</w:t>
            </w:r>
            <w:r w:rsidRPr="00E106BD">
              <w:rPr>
                <w:rFonts w:ascii="Arial" w:eastAsia="SimSun" w:hAnsi="Arial" w:cs="Arial"/>
                <w:sz w:val="16"/>
                <w:szCs w:val="16"/>
                <w:lang w:eastAsia="zh-CN"/>
              </w:rPr>
              <w:br/>
              <w:t>(3) a copy of the pathology report detailing the molecular testing for the patient being homozygous for the F508del mutation on the CFTR gene; and</w:t>
            </w:r>
            <w:r w:rsidRPr="00E106BD">
              <w:rPr>
                <w:rFonts w:ascii="Arial" w:eastAsia="SimSun" w:hAnsi="Arial" w:cs="Arial"/>
                <w:sz w:val="16"/>
                <w:szCs w:val="16"/>
                <w:lang w:eastAsia="zh-CN"/>
              </w:rPr>
              <w:br/>
              <w:t>(4) the result of a FEV1measurement performed within a month prior to the date of application, if aged from 6 years or older.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(5) current CYP3A4 inhibitors, CYP3A4 inducers and IV antibiotics; and</w:t>
            </w:r>
            <w:r w:rsidRPr="00E106BD">
              <w:rPr>
                <w:rFonts w:ascii="Arial" w:eastAsia="SimSun" w:hAnsi="Arial" w:cs="Arial"/>
                <w:sz w:val="16"/>
                <w:szCs w:val="16"/>
                <w:lang w:eastAsia="zh-CN"/>
              </w:rPr>
              <w:br/>
              <w:t>(6) height and weight measurements at the time of application; and</w:t>
            </w:r>
            <w:r w:rsidRPr="00E106BD">
              <w:rPr>
                <w:rFonts w:ascii="Arial" w:eastAsia="SimSun" w:hAnsi="Arial" w:cs="Arial"/>
                <w:sz w:val="16"/>
                <w:szCs w:val="16"/>
                <w:lang w:eastAsia="zh-CN"/>
              </w:rPr>
              <w:br/>
              <w:t>(7) a baseline measurement of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12 months.</w:t>
            </w:r>
            <w:r w:rsidRPr="00E106BD">
              <w:rPr>
                <w:rFonts w:ascii="Arial" w:eastAsia="SimSun" w:hAnsi="Arial" w:cs="Arial"/>
                <w:sz w:val="16"/>
                <w:szCs w:val="16"/>
                <w:lang w:eastAsia="zh-CN"/>
              </w:rPr>
              <w:br/>
              <w:t>For patients who have initiated non</w:t>
            </w:r>
            <w:r>
              <w:rPr>
                <w:rFonts w:ascii="Arial" w:eastAsia="SimSun" w:hAnsi="Arial" w:cs="Arial"/>
                <w:sz w:val="16"/>
                <w:szCs w:val="16"/>
                <w:lang w:eastAsia="zh-CN"/>
              </w:rPr>
              <w:noBreakHyphen/>
            </w:r>
            <w:r w:rsidRPr="00E106BD">
              <w:rPr>
                <w:rFonts w:ascii="Arial" w:eastAsia="SimSun" w:hAnsi="Arial" w:cs="Arial"/>
                <w:sz w:val="16"/>
                <w:szCs w:val="16"/>
                <w:lang w:eastAsia="zh-CN"/>
              </w:rPr>
              <w:t>PBS subsidised treatment prior to 1</w:t>
            </w:r>
            <w:r>
              <w:rPr>
                <w:rFonts w:ascii="Arial" w:eastAsia="SimSun" w:hAnsi="Arial" w:cs="Arial"/>
                <w:sz w:val="16"/>
                <w:szCs w:val="16"/>
                <w:lang w:eastAsia="zh-CN"/>
              </w:rPr>
              <w:t> </w:t>
            </w:r>
            <w:r w:rsidRPr="00E106BD">
              <w:rPr>
                <w:rFonts w:ascii="Arial" w:eastAsia="SimSun" w:hAnsi="Arial" w:cs="Arial"/>
                <w:sz w:val="16"/>
                <w:szCs w:val="16"/>
                <w:lang w:eastAsia="zh-CN"/>
              </w:rPr>
              <w:t>December 2019, date of initiating treatment, baseline FEV1and hospitalisation dates prior to initiating treatment (where available) should be provided.</w:t>
            </w:r>
          </w:p>
        </w:tc>
        <w:tc>
          <w:tcPr>
            <w:tcW w:w="2552" w:type="dxa"/>
            <w:tcBorders>
              <w:bottom w:val="single" w:sz="4" w:space="0" w:color="auto"/>
            </w:tcBorders>
            <w:shd w:val="clear" w:color="auto" w:fill="auto"/>
            <w:tcMar>
              <w:top w:w="28" w:type="dxa"/>
              <w:left w:w="28" w:type="dxa"/>
              <w:right w:w="57" w:type="dxa"/>
            </w:tcMar>
          </w:tcPr>
          <w:p w:rsidR="00592D6B" w:rsidRPr="00E106BD" w:rsidRDefault="00592D6B" w:rsidP="00560F76">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592D6B"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C10007</w:t>
            </w:r>
          </w:p>
        </w:tc>
        <w:tc>
          <w:tcPr>
            <w:tcW w:w="709" w:type="dxa"/>
            <w:tcBorders>
              <w:bottom w:val="single" w:sz="4" w:space="0" w:color="auto"/>
            </w:tcBorders>
            <w:shd w:val="clear" w:color="auto" w:fill="auto"/>
            <w:tcMar>
              <w:top w:w="28" w:type="dxa"/>
              <w:left w:w="28" w:type="dxa"/>
            </w:tcMar>
          </w:tcPr>
          <w:p w:rsidR="00592D6B" w:rsidRPr="00E106BD" w:rsidDel="0015259E" w:rsidRDefault="00592D6B"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2 years of age or older.</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w:t>
            </w:r>
            <w:r w:rsidR="00A653CA">
              <w:rPr>
                <w:rFonts w:ascii="Arial" w:eastAsia="SimSun" w:hAnsi="Arial" w:cs="Arial"/>
                <w:sz w:val="16"/>
                <w:szCs w:val="16"/>
                <w:lang w:eastAsia="zh-CN"/>
              </w:rPr>
              <w:t>’</w:t>
            </w:r>
            <w:r w:rsidRPr="00E106BD">
              <w:rPr>
                <w:rFonts w:ascii="Arial" w:eastAsia="SimSun" w:hAnsi="Arial" w:cs="Arial"/>
                <w:sz w:val="16"/>
                <w:szCs w:val="16"/>
                <w:lang w:eastAsia="zh-CN"/>
              </w:rPr>
              <w:t>s supply in order to enable the assessment to be repeated following resolution of the exacerbation.</w:t>
            </w:r>
            <w:r w:rsidRPr="00E106BD">
              <w:rPr>
                <w:rFonts w:ascii="Arial" w:eastAsia="SimSun" w:hAnsi="Arial" w:cs="Arial"/>
                <w:sz w:val="16"/>
                <w:szCs w:val="16"/>
                <w:lang w:eastAsia="zh-CN"/>
              </w:rPr>
              <w:br/>
              <w:t xml:space="preserve">For the purposes of this restriction, PBS subsidised </w:t>
            </w:r>
            <w:r w:rsidR="00A653CA">
              <w:rPr>
                <w:rFonts w:ascii="Arial" w:eastAsia="SimSun" w:hAnsi="Arial" w:cs="Arial"/>
                <w:sz w:val="16"/>
                <w:szCs w:val="16"/>
                <w:lang w:eastAsia="zh-CN"/>
              </w:rPr>
              <w:t>‘</w:t>
            </w:r>
            <w:r w:rsidRPr="00E106BD">
              <w:rPr>
                <w:rFonts w:ascii="Arial" w:eastAsia="SimSun" w:hAnsi="Arial" w:cs="Arial"/>
                <w:sz w:val="16"/>
                <w:szCs w:val="16"/>
                <w:lang w:eastAsia="zh-CN"/>
              </w:rPr>
              <w:t>CFTR modulator</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sidR="00A653CA">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Continuing Authority Application Supporting Information Form; and</w:t>
            </w:r>
            <w:r w:rsidRPr="00E106BD">
              <w:rPr>
                <w:rFonts w:ascii="Arial" w:eastAsia="SimSun" w:hAnsi="Arial" w:cs="Arial"/>
                <w:sz w:val="16"/>
                <w:szCs w:val="16"/>
                <w:lang w:eastAsia="zh-CN"/>
              </w:rPr>
              <w:br/>
              <w:t>(3) the result of a FEV1measurement performed within one month prior to the date of application, if aged 6 years or older.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6 months.</w:t>
            </w:r>
          </w:p>
        </w:tc>
        <w:tc>
          <w:tcPr>
            <w:tcW w:w="2552" w:type="dxa"/>
            <w:tcBorders>
              <w:bottom w:val="single" w:sz="4" w:space="0" w:color="auto"/>
            </w:tcBorders>
            <w:shd w:val="clear" w:color="auto" w:fill="auto"/>
            <w:tcMar>
              <w:top w:w="28" w:type="dxa"/>
              <w:left w:w="28" w:type="dxa"/>
              <w:right w:w="57" w:type="dxa"/>
            </w:tcMar>
          </w:tcPr>
          <w:p w:rsidR="00592D6B" w:rsidRPr="00E106BD" w:rsidRDefault="00592D6B" w:rsidP="00ED1AE1">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592D6B"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406361" w:rsidRDefault="00592D6B" w:rsidP="00881477">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Macitentan</w:t>
            </w:r>
          </w:p>
        </w:tc>
        <w:tc>
          <w:tcPr>
            <w:tcW w:w="709" w:type="dxa"/>
            <w:tcBorders>
              <w:bottom w:val="single" w:sz="4" w:space="0" w:color="auto"/>
            </w:tcBorders>
            <w:shd w:val="clear" w:color="auto" w:fill="auto"/>
            <w:tcMar>
              <w:top w:w="28" w:type="dxa"/>
              <w:left w:w="28" w:type="dxa"/>
            </w:tcMar>
          </w:tcPr>
          <w:p w:rsidR="00592D6B" w:rsidRPr="00406361" w:rsidRDefault="00592D6B" w:rsidP="00881477">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C10228</w:t>
            </w:r>
          </w:p>
        </w:tc>
        <w:tc>
          <w:tcPr>
            <w:tcW w:w="709" w:type="dxa"/>
            <w:tcBorders>
              <w:bottom w:val="single" w:sz="4" w:space="0" w:color="auto"/>
            </w:tcBorders>
            <w:shd w:val="clear" w:color="auto" w:fill="auto"/>
            <w:tcMar>
              <w:top w:w="28" w:type="dxa"/>
              <w:left w:w="28" w:type="dxa"/>
            </w:tcMar>
          </w:tcPr>
          <w:p w:rsidR="00592D6B" w:rsidRPr="00406361" w:rsidDel="0015259E" w:rsidRDefault="00455AB8" w:rsidP="00881477">
            <w:pPr>
              <w:spacing w:line="240" w:lineRule="auto"/>
              <w:rPr>
                <w:rFonts w:ascii="Arial" w:eastAsia="SimSun" w:hAnsi="Arial" w:cs="Arial"/>
                <w:sz w:val="16"/>
                <w:szCs w:val="16"/>
                <w:lang w:eastAsia="zh-CN"/>
              </w:rPr>
            </w:pPr>
            <w:r w:rsidRPr="00802FC7">
              <w:rPr>
                <w:rFonts w:ascii="Arial" w:eastAsia="SimSun" w:hAnsi="Arial" w:cs="Arial"/>
                <w:sz w:val="16"/>
                <w:szCs w:val="16"/>
                <w:lang w:eastAsia="zh-CN"/>
              </w:rPr>
              <w:t>P10228</w:t>
            </w:r>
          </w:p>
        </w:tc>
        <w:tc>
          <w:tcPr>
            <w:tcW w:w="7654" w:type="dxa"/>
            <w:tcBorders>
              <w:bottom w:val="single" w:sz="4" w:space="0" w:color="auto"/>
            </w:tcBorders>
            <w:shd w:val="clear" w:color="auto" w:fill="auto"/>
            <w:tcMar>
              <w:top w:w="28" w:type="dxa"/>
              <w:left w:w="28" w:type="dxa"/>
            </w:tcMar>
          </w:tcPr>
          <w:p w:rsidR="00592D6B" w:rsidRPr="00406361" w:rsidRDefault="00592D6B" w:rsidP="00881477">
            <w:pPr>
              <w:spacing w:line="240" w:lineRule="auto"/>
              <w:rPr>
                <w:rFonts w:ascii="Arial" w:eastAsia="SimSun" w:hAnsi="Arial" w:cs="Arial"/>
                <w:sz w:val="16"/>
                <w:szCs w:val="16"/>
                <w:lang w:eastAsia="zh-CN"/>
              </w:rPr>
            </w:pPr>
            <w:r w:rsidRPr="00E42692">
              <w:rPr>
                <w:rFonts w:ascii="Arial" w:eastAsia="SimSun" w:hAnsi="Arial" w:cs="Arial"/>
                <w:sz w:val="16"/>
                <w:szCs w:val="16"/>
              </w:rPr>
              <w:t>Pulmonary arterial hypertension (PAH)</w:t>
            </w:r>
            <w:r w:rsidRPr="00E42692">
              <w:rPr>
                <w:rFonts w:ascii="Arial" w:eastAsia="SimSun" w:hAnsi="Arial" w:cs="Arial"/>
                <w:sz w:val="16"/>
                <w:szCs w:val="16"/>
              </w:rPr>
              <w:br/>
              <w:t>Continuing treatment</w:t>
            </w:r>
            <w:r w:rsidRPr="00E42692">
              <w:rPr>
                <w:rFonts w:ascii="Arial" w:eastAsia="SimSun" w:hAnsi="Arial" w:cs="Arial"/>
                <w:sz w:val="16"/>
                <w:szCs w:val="16"/>
              </w:rPr>
              <w:br/>
              <w:t>Patient must have received their most recent course of PBS-subsidised treatment with this PAH agent for this condition; AND</w:t>
            </w:r>
            <w:r w:rsidRPr="00E42692">
              <w:rPr>
                <w:rFonts w:ascii="Arial" w:eastAsia="SimSun" w:hAnsi="Arial" w:cs="Arial"/>
                <w:sz w:val="16"/>
                <w:szCs w:val="16"/>
              </w:rPr>
              <w:br/>
              <w:t>The treatment must be the sole PBS-subsidised PAH agent for this condition.</w:t>
            </w:r>
            <w:r w:rsidRPr="00E42692">
              <w:rPr>
                <w:rFonts w:ascii="Arial" w:eastAsia="SimSun" w:hAnsi="Arial" w:cs="Arial"/>
                <w:sz w:val="16"/>
                <w:szCs w:val="16"/>
              </w:rPr>
              <w:br/>
              <w:t xml:space="preserve">The term </w:t>
            </w:r>
            <w:r w:rsidR="00A653CA">
              <w:rPr>
                <w:rFonts w:ascii="Arial" w:eastAsia="SimSun" w:hAnsi="Arial" w:cs="Arial"/>
                <w:sz w:val="16"/>
                <w:szCs w:val="16"/>
              </w:rPr>
              <w:t>‘</w:t>
            </w:r>
            <w:r w:rsidRPr="00E42692">
              <w:rPr>
                <w:rFonts w:ascii="Arial" w:eastAsia="SimSun" w:hAnsi="Arial" w:cs="Arial"/>
                <w:sz w:val="16"/>
                <w:szCs w:val="16"/>
              </w:rPr>
              <w:t>PAH agents</w:t>
            </w:r>
            <w:r w:rsidR="00A653CA">
              <w:rPr>
                <w:rFonts w:ascii="Arial" w:eastAsia="SimSun" w:hAnsi="Arial" w:cs="Arial"/>
                <w:sz w:val="16"/>
                <w:szCs w:val="16"/>
              </w:rPr>
              <w:t>’</w:t>
            </w:r>
            <w:r w:rsidRPr="00E42692">
              <w:rPr>
                <w:rFonts w:ascii="Arial" w:eastAsia="SimSun" w:hAnsi="Arial" w:cs="Arial"/>
                <w:sz w:val="16"/>
                <w:szCs w:val="16"/>
              </w:rPr>
              <w:t xml:space="preserve"> refers to bosentan monohydrate, iloprost trometamol, epoprostenol sodium, sildenafil citrate, ambrisentan, tadalafil, macitentan, and riociguat.</w:t>
            </w:r>
            <w:r w:rsidRPr="00E42692">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E42692">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E42692">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592D6B" w:rsidRPr="00406361" w:rsidRDefault="00592D6B" w:rsidP="00ED1AE1">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Compliance with Authority Required procedures</w:t>
            </w:r>
          </w:p>
        </w:tc>
      </w:tr>
      <w:tr w:rsidR="00592D6B"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406361" w:rsidRDefault="00592D6B"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592D6B" w:rsidRPr="00406361" w:rsidRDefault="00592D6B" w:rsidP="00881477">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C10236</w:t>
            </w:r>
          </w:p>
        </w:tc>
        <w:tc>
          <w:tcPr>
            <w:tcW w:w="709" w:type="dxa"/>
            <w:tcBorders>
              <w:bottom w:val="single" w:sz="4" w:space="0" w:color="auto"/>
            </w:tcBorders>
            <w:shd w:val="clear" w:color="auto" w:fill="auto"/>
            <w:tcMar>
              <w:top w:w="28" w:type="dxa"/>
              <w:left w:w="28" w:type="dxa"/>
            </w:tcMar>
          </w:tcPr>
          <w:p w:rsidR="00592D6B" w:rsidRPr="00406361" w:rsidDel="0015259E" w:rsidRDefault="00455AB8" w:rsidP="00881477">
            <w:pPr>
              <w:spacing w:line="240" w:lineRule="auto"/>
              <w:rPr>
                <w:rFonts w:ascii="Arial" w:eastAsia="SimSun" w:hAnsi="Arial" w:cs="Arial"/>
                <w:sz w:val="16"/>
                <w:szCs w:val="16"/>
                <w:lang w:eastAsia="zh-CN"/>
              </w:rPr>
            </w:pPr>
            <w:r w:rsidRPr="00802FC7">
              <w:rPr>
                <w:rFonts w:ascii="Arial" w:eastAsia="SimSun" w:hAnsi="Arial" w:cs="Arial"/>
                <w:sz w:val="16"/>
                <w:szCs w:val="16"/>
                <w:lang w:eastAsia="zh-CN"/>
              </w:rPr>
              <w:t>P10236</w:t>
            </w:r>
          </w:p>
        </w:tc>
        <w:tc>
          <w:tcPr>
            <w:tcW w:w="7654" w:type="dxa"/>
            <w:tcBorders>
              <w:bottom w:val="single" w:sz="4" w:space="0" w:color="auto"/>
            </w:tcBorders>
            <w:shd w:val="clear" w:color="auto" w:fill="auto"/>
            <w:tcMar>
              <w:top w:w="28" w:type="dxa"/>
              <w:left w:w="28" w:type="dxa"/>
            </w:tcMar>
          </w:tcPr>
          <w:p w:rsidR="00592D6B" w:rsidRPr="00406361" w:rsidRDefault="00592D6B" w:rsidP="00881477">
            <w:pPr>
              <w:spacing w:line="240" w:lineRule="auto"/>
              <w:rPr>
                <w:rFonts w:ascii="Arial" w:eastAsia="SimSun" w:hAnsi="Arial" w:cs="Arial"/>
                <w:sz w:val="16"/>
                <w:szCs w:val="16"/>
                <w:lang w:eastAsia="zh-CN"/>
              </w:rPr>
            </w:pPr>
            <w:r w:rsidRPr="00E42692">
              <w:rPr>
                <w:rFonts w:ascii="Arial" w:eastAsia="SimSun" w:hAnsi="Arial" w:cs="Arial"/>
                <w:sz w:val="16"/>
                <w:szCs w:val="16"/>
              </w:rPr>
              <w:t>Pulmonary arterial hypertension (PAH)</w:t>
            </w:r>
            <w:r w:rsidRPr="00E42692">
              <w:rPr>
                <w:rFonts w:ascii="Arial" w:eastAsia="SimSun" w:hAnsi="Arial" w:cs="Arial"/>
                <w:sz w:val="16"/>
                <w:szCs w:val="16"/>
              </w:rPr>
              <w:br/>
              <w:t>Initial 2 (change)</w:t>
            </w:r>
            <w:r w:rsidRPr="00E42692">
              <w:rPr>
                <w:rFonts w:ascii="Arial" w:eastAsia="SimSun" w:hAnsi="Arial" w:cs="Arial"/>
                <w:sz w:val="16"/>
                <w:szCs w:val="16"/>
              </w:rPr>
              <w:br/>
              <w:t>Patient must have documented WHO Functional Class II PAH, or WHO Functional Class III PAH, or WHO Functional Class IV PAH; AND</w:t>
            </w:r>
            <w:r w:rsidRPr="00E42692">
              <w:rPr>
                <w:rFonts w:ascii="Arial" w:eastAsia="SimSun" w:hAnsi="Arial" w:cs="Arial"/>
                <w:sz w:val="16"/>
                <w:szCs w:val="16"/>
              </w:rPr>
              <w:br/>
              <w:t>Patient must have had their most recent course of PBS-subsidised treatment for this condition with a PAH agent other than this agent; AND</w:t>
            </w:r>
            <w:r w:rsidRPr="00E42692">
              <w:rPr>
                <w:rFonts w:ascii="Arial" w:eastAsia="SimSun" w:hAnsi="Arial" w:cs="Arial"/>
                <w:sz w:val="16"/>
                <w:szCs w:val="16"/>
              </w:rPr>
              <w:br/>
              <w:t>The treatment must be the sole PBS-subsidised PAH agent for this condition.</w:t>
            </w:r>
            <w:r w:rsidRPr="00E42692">
              <w:rPr>
                <w:rFonts w:ascii="Arial" w:eastAsia="SimSun" w:hAnsi="Arial" w:cs="Arial"/>
                <w:sz w:val="16"/>
                <w:szCs w:val="16"/>
              </w:rPr>
              <w:br/>
              <w:t xml:space="preserve">The term </w:t>
            </w:r>
            <w:r w:rsidR="00A653CA">
              <w:rPr>
                <w:rFonts w:ascii="Arial" w:eastAsia="SimSun" w:hAnsi="Arial" w:cs="Arial"/>
                <w:sz w:val="16"/>
                <w:szCs w:val="16"/>
              </w:rPr>
              <w:t>‘</w:t>
            </w:r>
            <w:r w:rsidRPr="00E42692">
              <w:rPr>
                <w:rFonts w:ascii="Arial" w:eastAsia="SimSun" w:hAnsi="Arial" w:cs="Arial"/>
                <w:sz w:val="16"/>
                <w:szCs w:val="16"/>
              </w:rPr>
              <w:t>PAH agents</w:t>
            </w:r>
            <w:r w:rsidR="00A653CA">
              <w:rPr>
                <w:rFonts w:ascii="Arial" w:eastAsia="SimSun" w:hAnsi="Arial" w:cs="Arial"/>
                <w:sz w:val="16"/>
                <w:szCs w:val="16"/>
              </w:rPr>
              <w:t>’</w:t>
            </w:r>
            <w:r w:rsidRPr="00E42692">
              <w:rPr>
                <w:rFonts w:ascii="Arial" w:eastAsia="SimSun" w:hAnsi="Arial" w:cs="Arial"/>
                <w:sz w:val="16"/>
                <w:szCs w:val="16"/>
              </w:rPr>
              <w:t xml:space="preserve"> refers to bosentan monohydrate, iloprost trometamol, epoprostenol sodium, sildenafil citrate, ambrisentan, tadalafil, macitentan, and riociguat.</w:t>
            </w:r>
            <w:r w:rsidRPr="00E42692">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E42692">
              <w:rPr>
                <w:rFonts w:ascii="Arial" w:eastAsia="SimSun"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sidR="00A653CA">
              <w:rPr>
                <w:rFonts w:ascii="Arial" w:eastAsia="SimSun" w:hAnsi="Arial" w:cs="Arial"/>
                <w:sz w:val="16"/>
                <w:szCs w:val="16"/>
              </w:rPr>
              <w:t>’</w:t>
            </w:r>
            <w:r w:rsidRPr="00E42692">
              <w:rPr>
                <w:rFonts w:ascii="Arial" w:eastAsia="SimSun" w:hAnsi="Arial" w:cs="Arial"/>
                <w:sz w:val="16"/>
                <w:szCs w:val="16"/>
              </w:rPr>
              <w:t>s restriction, irrespective of the severity of their disease at the time the application to swap therapy is submitted.</w:t>
            </w:r>
            <w:r w:rsidRPr="00E42692">
              <w:rPr>
                <w:rFonts w:ascii="Arial" w:eastAsia="SimSun" w:hAnsi="Arial" w:cs="Arial"/>
                <w:sz w:val="16"/>
                <w:szCs w:val="16"/>
              </w:rPr>
              <w:br/>
              <w:t>Applications to swap between the 8 PAH agents must be made under the relevant initial treatment (monotherapy) restriction.</w:t>
            </w:r>
            <w:r w:rsidRPr="00E42692">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E42692">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592D6B" w:rsidRPr="00406361" w:rsidRDefault="00592D6B" w:rsidP="00ED1AE1">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Compliance with Authority Required procedures</w:t>
            </w:r>
          </w:p>
        </w:tc>
      </w:tr>
      <w:tr w:rsidR="00592D6B"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592D6B" w:rsidRPr="00406361" w:rsidRDefault="00592D6B"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592D6B" w:rsidRPr="00406361" w:rsidRDefault="00592D6B" w:rsidP="00881477">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C10285</w:t>
            </w:r>
          </w:p>
        </w:tc>
        <w:tc>
          <w:tcPr>
            <w:tcW w:w="709" w:type="dxa"/>
            <w:tcBorders>
              <w:bottom w:val="single" w:sz="4" w:space="0" w:color="auto"/>
            </w:tcBorders>
            <w:shd w:val="clear" w:color="auto" w:fill="auto"/>
            <w:tcMar>
              <w:top w:w="28" w:type="dxa"/>
              <w:left w:w="28" w:type="dxa"/>
            </w:tcMar>
          </w:tcPr>
          <w:p w:rsidR="00592D6B" w:rsidRPr="00406361" w:rsidDel="0015259E" w:rsidRDefault="00455AB8" w:rsidP="00881477">
            <w:pPr>
              <w:spacing w:line="240" w:lineRule="auto"/>
              <w:rPr>
                <w:rFonts w:ascii="Arial" w:eastAsia="SimSun" w:hAnsi="Arial" w:cs="Arial"/>
                <w:sz w:val="16"/>
                <w:szCs w:val="16"/>
                <w:lang w:eastAsia="zh-CN"/>
              </w:rPr>
            </w:pPr>
            <w:r w:rsidRPr="00802FC7">
              <w:rPr>
                <w:rFonts w:ascii="Arial" w:eastAsia="SimSun" w:hAnsi="Arial" w:cs="Arial"/>
                <w:sz w:val="16"/>
                <w:szCs w:val="16"/>
                <w:lang w:eastAsia="zh-CN"/>
              </w:rPr>
              <w:t>P10285</w:t>
            </w:r>
          </w:p>
        </w:tc>
        <w:tc>
          <w:tcPr>
            <w:tcW w:w="7654" w:type="dxa"/>
            <w:tcBorders>
              <w:bottom w:val="single" w:sz="4" w:space="0" w:color="auto"/>
            </w:tcBorders>
            <w:shd w:val="clear" w:color="auto" w:fill="auto"/>
            <w:tcMar>
              <w:top w:w="28" w:type="dxa"/>
              <w:left w:w="28" w:type="dxa"/>
            </w:tcMar>
          </w:tcPr>
          <w:p w:rsidR="00592D6B" w:rsidRPr="00406361" w:rsidRDefault="00592D6B" w:rsidP="00881477">
            <w:pPr>
              <w:spacing w:line="240" w:lineRule="auto"/>
              <w:rPr>
                <w:rFonts w:ascii="Arial" w:eastAsia="SimSun" w:hAnsi="Arial" w:cs="Arial"/>
                <w:sz w:val="16"/>
                <w:szCs w:val="16"/>
                <w:lang w:eastAsia="zh-CN"/>
              </w:rPr>
            </w:pPr>
            <w:r w:rsidRPr="00E42692">
              <w:rPr>
                <w:rFonts w:ascii="Arial" w:eastAsia="SimSun" w:hAnsi="Arial" w:cs="Arial"/>
                <w:sz w:val="16"/>
                <w:szCs w:val="16"/>
              </w:rPr>
              <w:t>Pulmonary arterial hypertension (PAH)</w:t>
            </w:r>
            <w:r w:rsidRPr="00E42692">
              <w:rPr>
                <w:rFonts w:ascii="Arial" w:eastAsia="SimSun" w:hAnsi="Arial" w:cs="Arial"/>
                <w:sz w:val="16"/>
                <w:szCs w:val="16"/>
              </w:rPr>
              <w:br/>
              <w:t>Initial 1 (new patients)</w:t>
            </w:r>
            <w:r w:rsidRPr="00E42692">
              <w:rPr>
                <w:rFonts w:ascii="Arial" w:eastAsia="SimSun" w:hAnsi="Arial" w:cs="Arial"/>
                <w:sz w:val="16"/>
                <w:szCs w:val="16"/>
              </w:rPr>
              <w:br/>
              <w:t>Patient must not have received prior PBS-subsidised treatment with a pulmonary arterial hypertension (PAH) agent; AND</w:t>
            </w:r>
            <w:r w:rsidRPr="00E42692">
              <w:rPr>
                <w:rFonts w:ascii="Arial" w:eastAsia="SimSun" w:hAnsi="Arial" w:cs="Arial"/>
                <w:sz w:val="16"/>
                <w:szCs w:val="16"/>
              </w:rPr>
              <w:br/>
              <w:t>Patient must have been assessed by a physician with expertise in the management of PAH; AND</w:t>
            </w:r>
            <w:r w:rsidRPr="00E42692">
              <w:rPr>
                <w:rFonts w:ascii="Arial" w:eastAsia="SimSun" w:hAnsi="Arial" w:cs="Arial"/>
                <w:sz w:val="16"/>
                <w:szCs w:val="16"/>
              </w:rPr>
              <w:br/>
              <w:t>Patient must have WHO Functional Class II PAH, or WHO Functional Class III PAH, or WHO Functional Class IV PAH; AND</w:t>
            </w:r>
            <w:r w:rsidRPr="00E42692">
              <w:rPr>
                <w:rFonts w:ascii="Arial" w:eastAsia="SimSun" w:hAnsi="Arial" w:cs="Arial"/>
                <w:sz w:val="16"/>
                <w:szCs w:val="16"/>
              </w:rPr>
              <w:br/>
              <w:t>The treatment must be the sole PBS-subsidised PAH agent for this condition.</w:t>
            </w:r>
            <w:r w:rsidRPr="00E42692">
              <w:rPr>
                <w:rFonts w:ascii="Arial" w:eastAsia="SimSun" w:hAnsi="Arial" w:cs="Arial"/>
                <w:sz w:val="16"/>
                <w:szCs w:val="16"/>
              </w:rPr>
              <w:br/>
              <w:t xml:space="preserve">The term </w:t>
            </w:r>
            <w:r w:rsidR="00A653CA">
              <w:rPr>
                <w:rFonts w:ascii="Arial" w:eastAsia="SimSun" w:hAnsi="Arial" w:cs="Arial"/>
                <w:sz w:val="16"/>
                <w:szCs w:val="16"/>
              </w:rPr>
              <w:t>‘</w:t>
            </w:r>
            <w:r w:rsidRPr="00E42692">
              <w:rPr>
                <w:rFonts w:ascii="Arial" w:eastAsia="SimSun" w:hAnsi="Arial" w:cs="Arial"/>
                <w:sz w:val="16"/>
                <w:szCs w:val="16"/>
              </w:rPr>
              <w:t>PAH agents</w:t>
            </w:r>
            <w:r w:rsidR="00A653CA">
              <w:rPr>
                <w:rFonts w:ascii="Arial" w:eastAsia="SimSun" w:hAnsi="Arial" w:cs="Arial"/>
                <w:sz w:val="16"/>
                <w:szCs w:val="16"/>
              </w:rPr>
              <w:t>’</w:t>
            </w:r>
            <w:r w:rsidRPr="00E42692">
              <w:rPr>
                <w:rFonts w:ascii="Arial" w:eastAsia="SimSun" w:hAnsi="Arial" w:cs="Arial"/>
                <w:sz w:val="16"/>
                <w:szCs w:val="16"/>
              </w:rPr>
              <w:t xml:space="preserve"> refers to bosentan monohydrate, iloprost trometamol, epoprostenol sodium, sildenafil citrate, ambrisentan, tadalafil, macitentan, and riociguat.</w:t>
            </w:r>
            <w:r w:rsidRPr="00E42692">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E42692">
              <w:rPr>
                <w:rFonts w:ascii="Arial" w:eastAsia="SimSun" w:hAnsi="Arial" w:cs="Arial"/>
                <w:sz w:val="16"/>
                <w:szCs w:val="16"/>
              </w:rPr>
              <w:br/>
              <w:t>PAH (WHO Group 1 pulmonary hypertension) is defined as follows:</w:t>
            </w:r>
            <w:r w:rsidRPr="00E42692">
              <w:rPr>
                <w:rFonts w:ascii="Arial" w:eastAsia="SimSun" w:hAnsi="Arial" w:cs="Arial"/>
                <w:sz w:val="16"/>
                <w:szCs w:val="16"/>
              </w:rPr>
              <w:br/>
              <w:t>(i) mean pulmonary artery pressure (mPAP) greater than or equal to 25 mmHg at rest and pulmonary artery wedge pressure (PAWP) less than or equal to 15 mmHg; or</w:t>
            </w:r>
            <w:r w:rsidRPr="00E42692">
              <w:rPr>
                <w:rFonts w:ascii="Arial" w:eastAsia="SimSun"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E42692">
              <w:rPr>
                <w:rFonts w:ascii="Arial" w:eastAsia="SimSun" w:hAnsi="Arial" w:cs="Arial"/>
                <w:sz w:val="16"/>
                <w:szCs w:val="16"/>
              </w:rPr>
              <w:br/>
              <w:t>Applications for authorisation must be in writing and must include:</w:t>
            </w:r>
            <w:r w:rsidRPr="00E42692">
              <w:rPr>
                <w:rFonts w:ascii="Arial" w:eastAsia="SimSun" w:hAnsi="Arial" w:cs="Arial"/>
                <w:sz w:val="16"/>
                <w:szCs w:val="16"/>
              </w:rPr>
              <w:br/>
              <w:t>(1) a completed authority prescription form; and</w:t>
            </w:r>
            <w:r w:rsidRPr="00E42692">
              <w:rPr>
                <w:rFonts w:ascii="Arial" w:eastAsia="SimSun" w:hAnsi="Arial" w:cs="Arial"/>
                <w:sz w:val="16"/>
                <w:szCs w:val="16"/>
              </w:rPr>
              <w:br/>
              <w:t>(2) a completed Pulmonary Arterial Hypertension PBS Authority Application - Supporting Information form which includes results from the three tests below, where available:</w:t>
            </w:r>
            <w:r w:rsidRPr="00E42692">
              <w:rPr>
                <w:rFonts w:ascii="Arial" w:eastAsia="SimSun" w:hAnsi="Arial" w:cs="Arial"/>
                <w:sz w:val="16"/>
                <w:szCs w:val="16"/>
              </w:rPr>
              <w:br/>
              <w:t>(i) RHC composite assessment; and</w:t>
            </w:r>
            <w:r w:rsidRPr="00E42692">
              <w:rPr>
                <w:rFonts w:ascii="Arial" w:eastAsia="SimSun" w:hAnsi="Arial" w:cs="Arial"/>
                <w:sz w:val="16"/>
                <w:szCs w:val="16"/>
              </w:rPr>
              <w:br/>
              <w:t>(ii) ECHO composite assessment; and</w:t>
            </w:r>
            <w:r w:rsidRPr="00E42692">
              <w:rPr>
                <w:rFonts w:ascii="Arial" w:eastAsia="SimSun" w:hAnsi="Arial" w:cs="Arial"/>
                <w:sz w:val="16"/>
                <w:szCs w:val="16"/>
              </w:rPr>
              <w:br/>
              <w:t>(iii) 6 Minute Walk Test (6MWT).</w:t>
            </w:r>
            <w:r w:rsidRPr="00E42692">
              <w:rPr>
                <w:rFonts w:ascii="Arial" w:eastAsia="SimSun"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E42692">
              <w:rPr>
                <w:rFonts w:ascii="Arial" w:eastAsia="SimSun" w:hAnsi="Arial" w:cs="Arial"/>
                <w:sz w:val="16"/>
                <w:szCs w:val="16"/>
              </w:rPr>
              <w:br/>
              <w:t>(1) RHC plus ECHO composite assessments;</w:t>
            </w:r>
            <w:r w:rsidRPr="00E42692">
              <w:rPr>
                <w:rFonts w:ascii="Arial" w:eastAsia="SimSun" w:hAnsi="Arial" w:cs="Arial"/>
                <w:sz w:val="16"/>
                <w:szCs w:val="16"/>
              </w:rPr>
              <w:br/>
              <w:t>(2) RHC composite assessment plus 6MWT;</w:t>
            </w:r>
            <w:r w:rsidRPr="00E42692">
              <w:rPr>
                <w:rFonts w:ascii="Arial" w:eastAsia="SimSun" w:hAnsi="Arial" w:cs="Arial"/>
                <w:sz w:val="16"/>
                <w:szCs w:val="16"/>
              </w:rPr>
              <w:br/>
              <w:t>(3) RHC composite assessment only.</w:t>
            </w:r>
            <w:r w:rsidRPr="00E42692">
              <w:rPr>
                <w:rFonts w:ascii="Arial" w:eastAsia="SimSun"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E42692">
              <w:rPr>
                <w:rFonts w:ascii="Arial" w:eastAsia="SimSun" w:hAnsi="Arial" w:cs="Arial"/>
                <w:sz w:val="16"/>
                <w:szCs w:val="16"/>
              </w:rPr>
              <w:br/>
              <w:t>(1) ECHO composite assessment plus 6MWT;</w:t>
            </w:r>
            <w:r w:rsidRPr="00E42692">
              <w:rPr>
                <w:rFonts w:ascii="Arial" w:eastAsia="SimSun" w:hAnsi="Arial" w:cs="Arial"/>
                <w:sz w:val="16"/>
                <w:szCs w:val="16"/>
              </w:rPr>
              <w:br/>
              <w:t>(2) ECHO composite assessment only.</w:t>
            </w:r>
            <w:r w:rsidRPr="00E42692">
              <w:rPr>
                <w:rFonts w:ascii="Arial" w:eastAsia="SimSun" w:hAnsi="Arial" w:cs="Arial"/>
                <w:sz w:val="16"/>
                <w:szCs w:val="16"/>
              </w:rPr>
              <w:br/>
              <w:t>Where fewer than 3 tests are able to be performed on clinical grounds, a patient specific reason outlining why the particular test(s) could not be conducted must be provided with the authority application.</w:t>
            </w:r>
            <w:r w:rsidRPr="00E42692">
              <w:rPr>
                <w:rFonts w:ascii="Arial" w:eastAsia="SimSun"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E42692">
              <w:rPr>
                <w:rFonts w:ascii="Arial" w:eastAsia="SimSun" w:hAnsi="Arial" w:cs="Arial"/>
                <w:sz w:val="16"/>
                <w:szCs w:val="16"/>
              </w:rPr>
              <w:br/>
              <w:t>The test results provided must not be more than 2 months old at the time of application.</w:t>
            </w:r>
            <w:r w:rsidRPr="00E42692">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E42692">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592D6B" w:rsidRPr="00406361" w:rsidRDefault="00592D6B" w:rsidP="00ED1AE1">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Compliance with Written Authority Required procedures</w:t>
            </w:r>
          </w:p>
        </w:tc>
      </w:tr>
      <w:tr w:rsidR="00455AB8"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455AB8" w:rsidRPr="00406361" w:rsidRDefault="00455AB8"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455AB8" w:rsidRPr="00406361" w:rsidRDefault="00455AB8" w:rsidP="00881477">
            <w:pPr>
              <w:spacing w:line="240" w:lineRule="auto"/>
              <w:rPr>
                <w:rFonts w:ascii="Arial" w:eastAsia="SimSun" w:hAnsi="Arial" w:cs="Arial"/>
                <w:sz w:val="16"/>
                <w:szCs w:val="16"/>
              </w:rPr>
            </w:pPr>
            <w:r w:rsidRPr="00802FC7">
              <w:rPr>
                <w:rFonts w:ascii="Arial" w:eastAsia="SimSun" w:hAnsi="Arial" w:cs="Arial"/>
                <w:sz w:val="16"/>
                <w:szCs w:val="16"/>
              </w:rPr>
              <w:t>C10728</w:t>
            </w:r>
          </w:p>
        </w:tc>
        <w:tc>
          <w:tcPr>
            <w:tcW w:w="709" w:type="dxa"/>
            <w:tcBorders>
              <w:bottom w:val="single" w:sz="4" w:space="0" w:color="auto"/>
            </w:tcBorders>
            <w:shd w:val="clear" w:color="auto" w:fill="auto"/>
            <w:tcMar>
              <w:top w:w="28" w:type="dxa"/>
              <w:left w:w="28" w:type="dxa"/>
            </w:tcMar>
          </w:tcPr>
          <w:p w:rsidR="00455AB8" w:rsidRPr="00455AB8" w:rsidRDefault="00455AB8" w:rsidP="00881477">
            <w:pPr>
              <w:spacing w:line="240" w:lineRule="auto"/>
              <w:rPr>
                <w:rFonts w:ascii="Arial" w:eastAsia="SimSun" w:hAnsi="Arial" w:cs="Arial"/>
                <w:sz w:val="16"/>
                <w:szCs w:val="16"/>
              </w:rPr>
            </w:pPr>
            <w:r w:rsidRPr="00802FC7">
              <w:rPr>
                <w:rFonts w:ascii="Arial" w:eastAsia="SimSun" w:hAnsi="Arial" w:cs="Arial"/>
                <w:sz w:val="16"/>
                <w:szCs w:val="16"/>
              </w:rPr>
              <w:t>P10728</w:t>
            </w:r>
          </w:p>
        </w:tc>
        <w:tc>
          <w:tcPr>
            <w:tcW w:w="7654" w:type="dxa"/>
            <w:tcBorders>
              <w:bottom w:val="single" w:sz="4" w:space="0" w:color="auto"/>
            </w:tcBorders>
            <w:shd w:val="clear" w:color="auto" w:fill="auto"/>
            <w:tcMar>
              <w:top w:w="28" w:type="dxa"/>
              <w:left w:w="28" w:type="dxa"/>
            </w:tcMar>
          </w:tcPr>
          <w:p w:rsidR="00455AB8" w:rsidRPr="00E42692" w:rsidRDefault="00455AB8" w:rsidP="00881477">
            <w:pPr>
              <w:spacing w:line="240" w:lineRule="auto"/>
              <w:rPr>
                <w:rFonts w:ascii="Arial" w:eastAsia="SimSun" w:hAnsi="Arial" w:cs="Arial"/>
                <w:sz w:val="16"/>
                <w:szCs w:val="16"/>
              </w:rPr>
            </w:pPr>
            <w:r w:rsidRPr="00802FC7">
              <w:rPr>
                <w:rFonts w:ascii="Arial" w:eastAsia="SimSun" w:hAnsi="Arial" w:cs="Arial"/>
                <w:sz w:val="16"/>
                <w:szCs w:val="16"/>
              </w:rPr>
              <w:t>Pulmonary arterial hypertension (PAH)</w:t>
            </w:r>
            <w:r w:rsidRPr="00802FC7">
              <w:rPr>
                <w:rFonts w:ascii="Arial" w:eastAsia="SimSun" w:hAnsi="Arial" w:cs="Arial"/>
                <w:sz w:val="16"/>
                <w:szCs w:val="16"/>
              </w:rPr>
              <w:br/>
              <w:t>Continuing treatment (dual therapy)</w:t>
            </w:r>
            <w:r w:rsidRPr="00802FC7">
              <w:rPr>
                <w:rFonts w:ascii="Arial" w:eastAsia="SimSun" w:hAnsi="Arial" w:cs="Arial"/>
                <w:sz w:val="16"/>
                <w:szCs w:val="16"/>
              </w:rPr>
              <w:br/>
              <w:t>Patient must have received their most recent course of PBS-subsidised dual therapy with this PAH agent and a phosphodiesterase-5 inhibitor (PDE-5i) for this condition.</w:t>
            </w:r>
            <w:r w:rsidRPr="00802FC7">
              <w:rPr>
                <w:rFonts w:ascii="Arial" w:eastAsia="SimSun" w:hAnsi="Arial" w:cs="Arial"/>
                <w:sz w:val="16"/>
                <w:szCs w:val="16"/>
              </w:rPr>
              <w:br/>
              <w:t>The term 'PAH agents' refers to bosentan monohydrate, iloprost trometamol, epoprostenol sodium, sildenafil citrate, ambrisentan, tadalafil, macitentan, and riociguat.</w:t>
            </w:r>
            <w:r w:rsidRPr="00802FC7">
              <w:rPr>
                <w:rFonts w:ascii="Arial" w:eastAsia="SimSun" w:hAnsi="Arial" w:cs="Arial"/>
                <w:sz w:val="16"/>
                <w:szCs w:val="16"/>
              </w:rPr>
              <w:br/>
              <w:t>For the purposes of PBS subsidy, dual therapy refers to combined use of an endothelin receptor antagonist (ERA) and a phosphodiesterase-5 inhibitor (PDE-5i).</w:t>
            </w:r>
            <w:r w:rsidRPr="00802FC7">
              <w:rPr>
                <w:rFonts w:ascii="Arial" w:eastAsia="SimSun" w:hAnsi="Arial" w:cs="Arial"/>
                <w:sz w:val="16"/>
                <w:szCs w:val="16"/>
              </w:rPr>
              <w:br/>
              <w:t>(i) An ERA includes bosentan monohydrate, or macitentan.</w:t>
            </w:r>
            <w:r w:rsidRPr="00802FC7">
              <w:rPr>
                <w:rFonts w:ascii="Arial" w:eastAsia="SimSun" w:hAnsi="Arial" w:cs="Arial"/>
                <w:sz w:val="16"/>
                <w:szCs w:val="16"/>
              </w:rPr>
              <w:br/>
              <w:t>(ii) A PDE-5i includes sildenafil citrate, or tadalafil.</w:t>
            </w:r>
            <w:r w:rsidRPr="00802FC7">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802FC7">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802FC7">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455AB8" w:rsidRPr="00406361" w:rsidRDefault="00455AB8" w:rsidP="00ED1AE1">
            <w:pPr>
              <w:spacing w:line="240" w:lineRule="auto"/>
              <w:rPr>
                <w:rFonts w:ascii="Arial" w:eastAsia="SimSun" w:hAnsi="Arial" w:cs="Arial"/>
                <w:sz w:val="16"/>
                <w:szCs w:val="16"/>
              </w:rPr>
            </w:pPr>
            <w:r w:rsidRPr="00802FC7">
              <w:rPr>
                <w:rFonts w:ascii="Arial" w:eastAsia="SimSun" w:hAnsi="Arial" w:cs="Arial"/>
                <w:sz w:val="16"/>
                <w:szCs w:val="16"/>
              </w:rPr>
              <w:t>Compliance with Authority Required procedures</w:t>
            </w:r>
          </w:p>
        </w:tc>
      </w:tr>
      <w:tr w:rsidR="00455AB8"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455AB8" w:rsidRPr="00406361" w:rsidRDefault="00455AB8"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455AB8" w:rsidRPr="00406361" w:rsidRDefault="00455AB8" w:rsidP="00881477">
            <w:pPr>
              <w:spacing w:line="240" w:lineRule="auto"/>
              <w:rPr>
                <w:rFonts w:ascii="Arial" w:eastAsia="SimSun" w:hAnsi="Arial" w:cs="Arial"/>
                <w:sz w:val="16"/>
                <w:szCs w:val="16"/>
              </w:rPr>
            </w:pPr>
            <w:r w:rsidRPr="00802FC7">
              <w:rPr>
                <w:rFonts w:ascii="Arial" w:eastAsia="SimSun" w:hAnsi="Arial" w:cs="Arial"/>
                <w:sz w:val="16"/>
                <w:szCs w:val="16"/>
              </w:rPr>
              <w:t>C10845</w:t>
            </w:r>
          </w:p>
        </w:tc>
        <w:tc>
          <w:tcPr>
            <w:tcW w:w="709" w:type="dxa"/>
            <w:tcBorders>
              <w:bottom w:val="single" w:sz="4" w:space="0" w:color="auto"/>
            </w:tcBorders>
            <w:shd w:val="clear" w:color="auto" w:fill="auto"/>
            <w:tcMar>
              <w:top w:w="28" w:type="dxa"/>
              <w:left w:w="28" w:type="dxa"/>
            </w:tcMar>
          </w:tcPr>
          <w:p w:rsidR="00455AB8" w:rsidRPr="00455AB8" w:rsidRDefault="00455AB8" w:rsidP="00881477">
            <w:pPr>
              <w:spacing w:line="240" w:lineRule="auto"/>
              <w:rPr>
                <w:rFonts w:ascii="Arial" w:eastAsia="SimSun" w:hAnsi="Arial" w:cs="Arial"/>
                <w:sz w:val="16"/>
                <w:szCs w:val="16"/>
              </w:rPr>
            </w:pPr>
            <w:r w:rsidRPr="00802FC7">
              <w:rPr>
                <w:rFonts w:ascii="Arial" w:eastAsia="SimSun" w:hAnsi="Arial" w:cs="Arial"/>
                <w:sz w:val="16"/>
                <w:szCs w:val="16"/>
              </w:rPr>
              <w:t>P10845</w:t>
            </w:r>
          </w:p>
        </w:tc>
        <w:tc>
          <w:tcPr>
            <w:tcW w:w="7654" w:type="dxa"/>
            <w:tcBorders>
              <w:bottom w:val="single" w:sz="4" w:space="0" w:color="auto"/>
            </w:tcBorders>
            <w:shd w:val="clear" w:color="auto" w:fill="auto"/>
            <w:tcMar>
              <w:top w:w="28" w:type="dxa"/>
              <w:left w:w="28" w:type="dxa"/>
            </w:tcMar>
          </w:tcPr>
          <w:p w:rsidR="00455AB8" w:rsidRPr="00E42692" w:rsidRDefault="00455AB8" w:rsidP="00881477">
            <w:pPr>
              <w:spacing w:line="240" w:lineRule="auto"/>
              <w:rPr>
                <w:rFonts w:ascii="Arial" w:eastAsia="SimSun" w:hAnsi="Arial" w:cs="Arial"/>
                <w:sz w:val="16"/>
                <w:szCs w:val="16"/>
              </w:rPr>
            </w:pPr>
            <w:r w:rsidRPr="00802FC7">
              <w:rPr>
                <w:rFonts w:ascii="Arial" w:eastAsia="SimSun" w:hAnsi="Arial" w:cs="Arial"/>
                <w:sz w:val="16"/>
                <w:szCs w:val="16"/>
              </w:rPr>
              <w:t>Pulmonary arterial hypertension (PAH)</w:t>
            </w:r>
            <w:r w:rsidRPr="00802FC7">
              <w:rPr>
                <w:rFonts w:ascii="Arial" w:eastAsia="SimSun" w:hAnsi="Arial" w:cs="Arial"/>
                <w:sz w:val="16"/>
                <w:szCs w:val="16"/>
              </w:rPr>
              <w:br/>
              <w:t>Initial 1 (dual therapy - previously untreated patients)</w:t>
            </w:r>
            <w:r w:rsidRPr="00802FC7">
              <w:rPr>
                <w:rFonts w:ascii="Arial" w:eastAsia="SimSun" w:hAnsi="Arial" w:cs="Arial"/>
                <w:sz w:val="16"/>
                <w:szCs w:val="16"/>
              </w:rPr>
              <w:br/>
              <w:t>Patient must not have received prior PBS-subsidised treatment with a pulmonary arterial hypertension (PAH) agent; AND</w:t>
            </w:r>
            <w:r w:rsidRPr="00802FC7">
              <w:rPr>
                <w:rFonts w:ascii="Arial" w:eastAsia="SimSun" w:hAnsi="Arial" w:cs="Arial"/>
                <w:sz w:val="16"/>
                <w:szCs w:val="16"/>
              </w:rPr>
              <w:br/>
              <w:t>Patient must have been assessed by a physician with expertise in the management of PAH; AND</w:t>
            </w:r>
            <w:r w:rsidRPr="00802FC7">
              <w:rPr>
                <w:rFonts w:ascii="Arial" w:eastAsia="SimSun" w:hAnsi="Arial" w:cs="Arial"/>
                <w:sz w:val="16"/>
                <w:szCs w:val="16"/>
              </w:rPr>
              <w:br/>
              <w:t>Patient must currently have WHO Functional Class III PAH or WHO Functional Class IV PAH; AND</w:t>
            </w:r>
            <w:r w:rsidRPr="00802FC7">
              <w:rPr>
                <w:rFonts w:ascii="Arial" w:eastAsia="SimSun" w:hAnsi="Arial" w:cs="Arial"/>
                <w:sz w:val="16"/>
                <w:szCs w:val="16"/>
              </w:rPr>
              <w:br/>
              <w:t>The treatment must be in combination with a PBS-subsidised phosphodiesterase-5 inhibitor (PDE-5i) for this condition.</w:t>
            </w:r>
            <w:r w:rsidRPr="00802FC7">
              <w:rPr>
                <w:rFonts w:ascii="Arial" w:eastAsia="SimSun" w:hAnsi="Arial" w:cs="Arial"/>
                <w:sz w:val="16"/>
                <w:szCs w:val="16"/>
              </w:rPr>
              <w:br/>
              <w:t>The term 'PAH agents' refers to bosentan monohydrate, iloprost trometamol, epoprostenol sodium, sildenafil citrate, ambrisentan, tadalafil, macitentan, and riociguat.</w:t>
            </w:r>
            <w:r w:rsidRPr="00802FC7">
              <w:rPr>
                <w:rFonts w:ascii="Arial" w:eastAsia="SimSun" w:hAnsi="Arial" w:cs="Arial"/>
                <w:sz w:val="16"/>
                <w:szCs w:val="16"/>
              </w:rPr>
              <w:br/>
              <w:t>For the purposes of PBS subsidy, dual therapy refers to combined use of an endothelin receptor antagonist (ERA) and a phosphodiesterase-5 inhibitor (PDE-5i).</w:t>
            </w:r>
            <w:r w:rsidRPr="00802FC7">
              <w:rPr>
                <w:rFonts w:ascii="Arial" w:eastAsia="SimSun" w:hAnsi="Arial" w:cs="Arial"/>
                <w:sz w:val="16"/>
                <w:szCs w:val="16"/>
              </w:rPr>
              <w:br/>
              <w:t>(i) An ERA includes bosentan monohydrate, or macitentan.</w:t>
            </w:r>
            <w:r w:rsidRPr="00802FC7">
              <w:rPr>
                <w:rFonts w:ascii="Arial" w:eastAsia="SimSun" w:hAnsi="Arial" w:cs="Arial"/>
                <w:sz w:val="16"/>
                <w:szCs w:val="16"/>
              </w:rPr>
              <w:br/>
              <w:t>(ii) A PDE-5i includes sildenafil citrate, or tadalafil.</w:t>
            </w:r>
            <w:r w:rsidRPr="00802FC7">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802FC7">
              <w:rPr>
                <w:rFonts w:ascii="Arial" w:eastAsia="SimSun" w:hAnsi="Arial" w:cs="Arial"/>
                <w:sz w:val="16"/>
                <w:szCs w:val="16"/>
              </w:rPr>
              <w:br/>
              <w:t>PAH (WHO Group 1 pulmonary hypertension) is defined as follows:</w:t>
            </w:r>
            <w:r w:rsidRPr="00802FC7">
              <w:rPr>
                <w:rFonts w:ascii="Arial" w:eastAsia="SimSun" w:hAnsi="Arial" w:cs="Arial"/>
                <w:sz w:val="16"/>
                <w:szCs w:val="16"/>
              </w:rPr>
              <w:br/>
              <w:t>(i) mean pulmonary artery pressure (mPAP) greater than or equal to 25 mmHg at rest and pulmonary artery wedge pressure (PAWP) less than or equal to 15 mmHg; or</w:t>
            </w:r>
            <w:r w:rsidRPr="00802FC7">
              <w:rPr>
                <w:rFonts w:ascii="Arial" w:eastAsia="SimSun"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802FC7">
              <w:rPr>
                <w:rFonts w:ascii="Arial" w:eastAsia="SimSun" w:hAnsi="Arial" w:cs="Arial"/>
                <w:sz w:val="16"/>
                <w:szCs w:val="16"/>
              </w:rPr>
              <w:br/>
              <w:t>Applications for authorisation must be in writing and must include:</w:t>
            </w:r>
            <w:r w:rsidRPr="00802FC7">
              <w:rPr>
                <w:rFonts w:ascii="Arial" w:eastAsia="SimSun" w:hAnsi="Arial" w:cs="Arial"/>
                <w:sz w:val="16"/>
                <w:szCs w:val="16"/>
              </w:rPr>
              <w:br/>
              <w:t>(1) a completed authority prescription form; and</w:t>
            </w:r>
            <w:r w:rsidRPr="00802FC7">
              <w:rPr>
                <w:rFonts w:ascii="Arial" w:eastAsia="SimSun" w:hAnsi="Arial" w:cs="Arial"/>
                <w:sz w:val="16"/>
                <w:szCs w:val="16"/>
              </w:rPr>
              <w:br/>
              <w:t>(2) a completed Pulmonary Arterial Hypertension PBS Authority Application - Supporting Information form which includes results from the three tests below, where available:</w:t>
            </w:r>
            <w:r w:rsidRPr="00802FC7">
              <w:rPr>
                <w:rFonts w:ascii="Arial" w:eastAsia="SimSun" w:hAnsi="Arial" w:cs="Arial"/>
                <w:sz w:val="16"/>
                <w:szCs w:val="16"/>
              </w:rPr>
              <w:br/>
              <w:t>(i) RHC composite assessment; and</w:t>
            </w:r>
            <w:r w:rsidRPr="00802FC7">
              <w:rPr>
                <w:rFonts w:ascii="Arial" w:eastAsia="SimSun" w:hAnsi="Arial" w:cs="Arial"/>
                <w:sz w:val="16"/>
                <w:szCs w:val="16"/>
              </w:rPr>
              <w:br/>
              <w:t>(ii) ECHO composite assessment; and</w:t>
            </w:r>
            <w:r w:rsidRPr="00802FC7">
              <w:rPr>
                <w:rFonts w:ascii="Arial" w:eastAsia="SimSun" w:hAnsi="Arial" w:cs="Arial"/>
                <w:sz w:val="16"/>
                <w:szCs w:val="16"/>
              </w:rPr>
              <w:br/>
              <w:t>(iii) 6 Minute Walk Test (6MWT).</w:t>
            </w:r>
            <w:r w:rsidRPr="00802FC7">
              <w:rPr>
                <w:rFonts w:ascii="Arial" w:eastAsia="SimSun"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802FC7">
              <w:rPr>
                <w:rFonts w:ascii="Arial" w:eastAsia="SimSun" w:hAnsi="Arial" w:cs="Arial"/>
                <w:sz w:val="16"/>
                <w:szCs w:val="16"/>
              </w:rPr>
              <w:br/>
              <w:t>(1) RHC plus ECHO composite assessments;</w:t>
            </w:r>
            <w:r w:rsidRPr="00802FC7">
              <w:rPr>
                <w:rFonts w:ascii="Arial" w:eastAsia="SimSun" w:hAnsi="Arial" w:cs="Arial"/>
                <w:sz w:val="16"/>
                <w:szCs w:val="16"/>
              </w:rPr>
              <w:br/>
              <w:t>(2) RHC composite assessment plus 6MWT;</w:t>
            </w:r>
            <w:r w:rsidRPr="00802FC7">
              <w:rPr>
                <w:rFonts w:ascii="Arial" w:eastAsia="SimSun" w:hAnsi="Arial" w:cs="Arial"/>
                <w:sz w:val="16"/>
                <w:szCs w:val="16"/>
              </w:rPr>
              <w:br/>
              <w:t>(3) RHC composite assessment only.</w:t>
            </w:r>
            <w:r w:rsidRPr="00802FC7">
              <w:rPr>
                <w:rFonts w:ascii="Arial" w:eastAsia="SimSun"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802FC7">
              <w:rPr>
                <w:rFonts w:ascii="Arial" w:eastAsia="SimSun" w:hAnsi="Arial" w:cs="Arial"/>
                <w:sz w:val="16"/>
                <w:szCs w:val="16"/>
              </w:rPr>
              <w:br/>
              <w:t>(1) ECHO composite assessment plus 6MWT;</w:t>
            </w:r>
            <w:r w:rsidRPr="00802FC7">
              <w:rPr>
                <w:rFonts w:ascii="Arial" w:eastAsia="SimSun" w:hAnsi="Arial" w:cs="Arial"/>
                <w:sz w:val="16"/>
                <w:szCs w:val="16"/>
              </w:rPr>
              <w:br/>
              <w:t>(2) ECHO composite assessment only.</w:t>
            </w:r>
            <w:r w:rsidRPr="00802FC7">
              <w:rPr>
                <w:rFonts w:ascii="Arial" w:eastAsia="SimSun" w:hAnsi="Arial" w:cs="Arial"/>
                <w:sz w:val="16"/>
                <w:szCs w:val="16"/>
              </w:rPr>
              <w:br/>
              <w:t>Where fewer than 3 tests are able to be performed on clinical grounds, a patient specific reason outlining why the particular test(s) could not be conducted must be provided with the authority application.</w:t>
            </w:r>
            <w:r w:rsidRPr="00802FC7">
              <w:rPr>
                <w:rFonts w:ascii="Arial" w:eastAsia="SimSun"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802FC7">
              <w:rPr>
                <w:rFonts w:ascii="Arial" w:eastAsia="SimSun" w:hAnsi="Arial" w:cs="Arial"/>
                <w:sz w:val="16"/>
                <w:szCs w:val="16"/>
              </w:rPr>
              <w:br/>
              <w:t>The test results provided must not be more than 2 months old at the time of application.</w:t>
            </w:r>
            <w:r w:rsidRPr="00802FC7">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802FC7">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455AB8" w:rsidRPr="00406361" w:rsidRDefault="00455AB8" w:rsidP="00ED1AE1">
            <w:pPr>
              <w:spacing w:line="240" w:lineRule="auto"/>
              <w:rPr>
                <w:rFonts w:ascii="Arial" w:eastAsia="SimSun" w:hAnsi="Arial" w:cs="Arial"/>
                <w:sz w:val="16"/>
                <w:szCs w:val="16"/>
              </w:rPr>
            </w:pPr>
            <w:r w:rsidRPr="00802FC7">
              <w:rPr>
                <w:rFonts w:ascii="Arial" w:eastAsia="SimSun" w:hAnsi="Arial" w:cs="Arial"/>
                <w:sz w:val="16"/>
                <w:szCs w:val="16"/>
              </w:rPr>
              <w:t>Compliance with Written Authority Required procedures</w:t>
            </w:r>
          </w:p>
        </w:tc>
      </w:tr>
      <w:tr w:rsidR="00455AB8"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455AB8" w:rsidRPr="00406361" w:rsidRDefault="00455AB8"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455AB8" w:rsidRPr="00406361" w:rsidRDefault="00455AB8" w:rsidP="00881477">
            <w:pPr>
              <w:spacing w:line="240" w:lineRule="auto"/>
              <w:rPr>
                <w:rFonts w:ascii="Arial" w:eastAsia="SimSun" w:hAnsi="Arial" w:cs="Arial"/>
                <w:sz w:val="16"/>
                <w:szCs w:val="16"/>
              </w:rPr>
            </w:pPr>
            <w:r w:rsidRPr="00802FC7">
              <w:rPr>
                <w:rFonts w:ascii="Arial" w:eastAsia="SimSun" w:hAnsi="Arial" w:cs="Arial"/>
                <w:sz w:val="16"/>
                <w:szCs w:val="16"/>
              </w:rPr>
              <w:t>C10846</w:t>
            </w:r>
          </w:p>
        </w:tc>
        <w:tc>
          <w:tcPr>
            <w:tcW w:w="709" w:type="dxa"/>
            <w:tcBorders>
              <w:bottom w:val="single" w:sz="4" w:space="0" w:color="auto"/>
            </w:tcBorders>
            <w:shd w:val="clear" w:color="auto" w:fill="auto"/>
            <w:tcMar>
              <w:top w:w="28" w:type="dxa"/>
              <w:left w:w="28" w:type="dxa"/>
            </w:tcMar>
          </w:tcPr>
          <w:p w:rsidR="00455AB8" w:rsidRPr="00455AB8" w:rsidRDefault="00455AB8" w:rsidP="00881477">
            <w:pPr>
              <w:spacing w:line="240" w:lineRule="auto"/>
              <w:rPr>
                <w:rFonts w:ascii="Arial" w:eastAsia="SimSun" w:hAnsi="Arial" w:cs="Arial"/>
                <w:sz w:val="16"/>
                <w:szCs w:val="16"/>
              </w:rPr>
            </w:pPr>
            <w:r w:rsidRPr="00802FC7">
              <w:rPr>
                <w:rFonts w:ascii="Arial" w:eastAsia="SimSun" w:hAnsi="Arial" w:cs="Arial"/>
                <w:sz w:val="16"/>
                <w:szCs w:val="16"/>
              </w:rPr>
              <w:t>P10846</w:t>
            </w:r>
          </w:p>
        </w:tc>
        <w:tc>
          <w:tcPr>
            <w:tcW w:w="7654" w:type="dxa"/>
            <w:tcBorders>
              <w:bottom w:val="single" w:sz="4" w:space="0" w:color="auto"/>
            </w:tcBorders>
            <w:shd w:val="clear" w:color="auto" w:fill="auto"/>
            <w:tcMar>
              <w:top w:w="28" w:type="dxa"/>
              <w:left w:w="28" w:type="dxa"/>
            </w:tcMar>
          </w:tcPr>
          <w:p w:rsidR="00455AB8" w:rsidRPr="00E42692" w:rsidRDefault="00455AB8" w:rsidP="00881477">
            <w:pPr>
              <w:spacing w:line="240" w:lineRule="auto"/>
              <w:rPr>
                <w:rFonts w:ascii="Arial" w:eastAsia="SimSun" w:hAnsi="Arial" w:cs="Arial"/>
                <w:sz w:val="16"/>
                <w:szCs w:val="16"/>
              </w:rPr>
            </w:pPr>
            <w:r w:rsidRPr="00802FC7">
              <w:rPr>
                <w:rFonts w:ascii="Arial" w:eastAsia="SimSun" w:hAnsi="Arial" w:cs="Arial"/>
                <w:sz w:val="16"/>
                <w:szCs w:val="16"/>
              </w:rPr>
              <w:t>Pulmonary arterial hypertension (PAH)</w:t>
            </w:r>
            <w:r w:rsidRPr="00802FC7">
              <w:rPr>
                <w:rFonts w:ascii="Arial" w:eastAsia="SimSun" w:hAnsi="Arial" w:cs="Arial"/>
                <w:sz w:val="16"/>
                <w:szCs w:val="16"/>
              </w:rPr>
              <w:br/>
              <w:t>Grandfathered patients (dual therapy)</w:t>
            </w:r>
            <w:r w:rsidRPr="00802FC7">
              <w:rPr>
                <w:rFonts w:ascii="Arial" w:eastAsia="SimSun" w:hAnsi="Arial" w:cs="Arial"/>
                <w:sz w:val="16"/>
                <w:szCs w:val="16"/>
              </w:rPr>
              <w:br/>
              <w:t>Patient must be receiving dual therapy with this non PBS-subsidised pulmonary arterial hypertension (PAH) agent and a non PBS-subsidised phosphodiesterase-5 inhibitor (PDE-5i) for this condition prior to 1 October 2020; AND</w:t>
            </w:r>
            <w:r w:rsidRPr="00802FC7">
              <w:rPr>
                <w:rFonts w:ascii="Arial" w:eastAsia="SimSun" w:hAnsi="Arial" w:cs="Arial"/>
                <w:sz w:val="16"/>
                <w:szCs w:val="16"/>
              </w:rPr>
              <w:br/>
              <w:t>Patient must have been assessed by a physician with expertise in the management of PAH; AND</w:t>
            </w:r>
            <w:r w:rsidRPr="00802FC7">
              <w:rPr>
                <w:rFonts w:ascii="Arial" w:eastAsia="SimSun" w:hAnsi="Arial" w:cs="Arial"/>
                <w:sz w:val="16"/>
                <w:szCs w:val="16"/>
              </w:rPr>
              <w:br/>
              <w:t>Patient must have documented WHO Functional Class III PAH or WHO Functional Class IV PAH.</w:t>
            </w:r>
            <w:r w:rsidRPr="00802FC7">
              <w:rPr>
                <w:rFonts w:ascii="Arial" w:eastAsia="SimSun" w:hAnsi="Arial" w:cs="Arial"/>
                <w:sz w:val="16"/>
                <w:szCs w:val="16"/>
              </w:rPr>
              <w:br/>
              <w:t>The term 'PAH agents' refers to bosentan monohydrate, iloprost trometamol, epoprostenol sodium, sildenafil citrate, ambrisentan, tadalafil, macitentan, and riociguat.</w:t>
            </w:r>
            <w:r w:rsidRPr="00802FC7">
              <w:rPr>
                <w:rFonts w:ascii="Arial" w:eastAsia="SimSun" w:hAnsi="Arial" w:cs="Arial"/>
                <w:sz w:val="16"/>
                <w:szCs w:val="16"/>
              </w:rPr>
              <w:br/>
              <w:t>For the purposes of PBS subsidy, dual therapy refers to combined use of an endothelin receptor antagonist (ERA) and a phosphodiesterase-5 inhibitor (PDE-5i).</w:t>
            </w:r>
            <w:r w:rsidRPr="00802FC7">
              <w:rPr>
                <w:rFonts w:ascii="Arial" w:eastAsia="SimSun" w:hAnsi="Arial" w:cs="Arial"/>
                <w:sz w:val="16"/>
                <w:szCs w:val="16"/>
              </w:rPr>
              <w:br/>
              <w:t>(i) An ERA includes bosentan monohydrate, or macitentan.</w:t>
            </w:r>
            <w:r w:rsidRPr="00802FC7">
              <w:rPr>
                <w:rFonts w:ascii="Arial" w:eastAsia="SimSun" w:hAnsi="Arial" w:cs="Arial"/>
                <w:sz w:val="16"/>
                <w:szCs w:val="16"/>
              </w:rPr>
              <w:br/>
              <w:t>(ii) A PDE-5i includes sildenafil citrate, or tadalafil.</w:t>
            </w:r>
            <w:r w:rsidRPr="00802FC7">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802FC7">
              <w:rPr>
                <w:rFonts w:ascii="Arial" w:eastAsia="SimSun" w:hAnsi="Arial" w:cs="Arial"/>
                <w:sz w:val="16"/>
                <w:szCs w:val="16"/>
              </w:rPr>
              <w:br/>
              <w:t>PAH (WHO Group 1 pulmonary hypertension) is defined as follows:</w:t>
            </w:r>
            <w:r w:rsidRPr="00802FC7">
              <w:rPr>
                <w:rFonts w:ascii="Arial" w:eastAsia="SimSun" w:hAnsi="Arial" w:cs="Arial"/>
                <w:sz w:val="16"/>
                <w:szCs w:val="16"/>
              </w:rPr>
              <w:br/>
              <w:t>(i) mean pulmonary artery pressure (mPAP) greater than or equal to 25 mmHg at rest and pulmonary artery wedge pressure (PAWP) less than or equal to 15 mmHg; or</w:t>
            </w:r>
            <w:r w:rsidRPr="00802FC7">
              <w:rPr>
                <w:rFonts w:ascii="Arial" w:eastAsia="SimSun"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802FC7">
              <w:rPr>
                <w:rFonts w:ascii="Arial" w:eastAsia="SimSun" w:hAnsi="Arial" w:cs="Arial"/>
                <w:sz w:val="16"/>
                <w:szCs w:val="16"/>
              </w:rPr>
              <w:br/>
              <w:t>Applications for authorisation must be in writing and must include:</w:t>
            </w:r>
            <w:r w:rsidRPr="00802FC7">
              <w:rPr>
                <w:rFonts w:ascii="Arial" w:eastAsia="SimSun" w:hAnsi="Arial" w:cs="Arial"/>
                <w:sz w:val="16"/>
                <w:szCs w:val="16"/>
              </w:rPr>
              <w:br/>
              <w:t>(1) a completed authority prescription form; and</w:t>
            </w:r>
            <w:r w:rsidRPr="00802FC7">
              <w:rPr>
                <w:rFonts w:ascii="Arial" w:eastAsia="SimSun" w:hAnsi="Arial" w:cs="Arial"/>
                <w:sz w:val="16"/>
                <w:szCs w:val="16"/>
              </w:rPr>
              <w:br/>
              <w:t>(2) a completed Pulmonary Arterial Hypertension PBS Authority Application - Supporting Information form which includes results from the three tests below, where available:</w:t>
            </w:r>
            <w:r w:rsidRPr="00802FC7">
              <w:rPr>
                <w:rFonts w:ascii="Arial" w:eastAsia="SimSun" w:hAnsi="Arial" w:cs="Arial"/>
                <w:sz w:val="16"/>
                <w:szCs w:val="16"/>
              </w:rPr>
              <w:br/>
              <w:t>(i) RHC composite assessment; and</w:t>
            </w:r>
            <w:r w:rsidRPr="00802FC7">
              <w:rPr>
                <w:rFonts w:ascii="Arial" w:eastAsia="SimSun" w:hAnsi="Arial" w:cs="Arial"/>
                <w:sz w:val="16"/>
                <w:szCs w:val="16"/>
              </w:rPr>
              <w:br/>
              <w:t>(ii) ECHO composite assessment; and</w:t>
            </w:r>
            <w:r w:rsidRPr="00802FC7">
              <w:rPr>
                <w:rFonts w:ascii="Arial" w:eastAsia="SimSun" w:hAnsi="Arial" w:cs="Arial"/>
                <w:sz w:val="16"/>
                <w:szCs w:val="16"/>
              </w:rPr>
              <w:br/>
              <w:t>(iii) 6 Minute Walk Test (6MWT).</w:t>
            </w:r>
            <w:r w:rsidRPr="00802FC7">
              <w:rPr>
                <w:rFonts w:ascii="Arial" w:eastAsia="SimSun" w:hAnsi="Arial" w:cs="Arial"/>
                <w:sz w:val="16"/>
                <w:szCs w:val="16"/>
              </w:rPr>
              <w:br/>
              <w:t>Where it was not possible to perform all 3 tests on clinical grounds, the following list outlines the preferred test combination, in descending order, for the purposes of initiation of PBS-subsidised treatment:</w:t>
            </w:r>
            <w:r w:rsidRPr="00802FC7">
              <w:rPr>
                <w:rFonts w:ascii="Arial" w:eastAsia="SimSun" w:hAnsi="Arial" w:cs="Arial"/>
                <w:sz w:val="16"/>
                <w:szCs w:val="16"/>
              </w:rPr>
              <w:br/>
              <w:t>(1) RHC plus ECHO composite assessments;</w:t>
            </w:r>
            <w:r w:rsidRPr="00802FC7">
              <w:rPr>
                <w:rFonts w:ascii="Arial" w:eastAsia="SimSun" w:hAnsi="Arial" w:cs="Arial"/>
                <w:sz w:val="16"/>
                <w:szCs w:val="16"/>
              </w:rPr>
              <w:br/>
              <w:t>(2) RHC composite assessment plus 6MWT;</w:t>
            </w:r>
            <w:r w:rsidRPr="00802FC7">
              <w:rPr>
                <w:rFonts w:ascii="Arial" w:eastAsia="SimSun" w:hAnsi="Arial" w:cs="Arial"/>
                <w:sz w:val="16"/>
                <w:szCs w:val="16"/>
              </w:rPr>
              <w:br/>
              <w:t>(3) RHC composite assessment only.</w:t>
            </w:r>
            <w:r w:rsidRPr="00802FC7">
              <w:rPr>
                <w:rFonts w:ascii="Arial" w:eastAsia="SimSun" w:hAnsi="Arial" w:cs="Arial"/>
                <w:sz w:val="16"/>
                <w:szCs w:val="16"/>
              </w:rPr>
              <w:br/>
              <w:t>In circumstances where a RHC could not be performed on clinical grounds, applications may be submitted for consideration based on the results of the following test combinations, which are listed in descending order of preference:</w:t>
            </w:r>
            <w:r w:rsidRPr="00802FC7">
              <w:rPr>
                <w:rFonts w:ascii="Arial" w:eastAsia="SimSun" w:hAnsi="Arial" w:cs="Arial"/>
                <w:sz w:val="16"/>
                <w:szCs w:val="16"/>
              </w:rPr>
              <w:br/>
              <w:t>(1) ECHO composite assessment plus 6MWT;</w:t>
            </w:r>
            <w:r w:rsidRPr="00802FC7">
              <w:rPr>
                <w:rFonts w:ascii="Arial" w:eastAsia="SimSun" w:hAnsi="Arial" w:cs="Arial"/>
                <w:sz w:val="16"/>
                <w:szCs w:val="16"/>
              </w:rPr>
              <w:br/>
              <w:t>(2) ECHO composite assessment only.</w:t>
            </w:r>
            <w:r w:rsidRPr="00802FC7">
              <w:rPr>
                <w:rFonts w:ascii="Arial" w:eastAsia="SimSun" w:hAnsi="Arial" w:cs="Arial"/>
                <w:sz w:val="16"/>
                <w:szCs w:val="16"/>
              </w:rPr>
              <w:br/>
              <w:t>Where fewer than 3 tests were able to be performed on clinical grounds, a patient specific reason outlining why the particular test(s) could not be conducted must be provided with the authority application.</w:t>
            </w:r>
            <w:r w:rsidRPr="00802FC7">
              <w:rPr>
                <w:rFonts w:ascii="Arial" w:eastAsia="SimSun" w:hAnsi="Arial" w:cs="Arial"/>
                <w:sz w:val="16"/>
                <w:szCs w:val="16"/>
              </w:rPr>
              <w:br/>
              <w:t>Where a RHC could not be performed on clinical grounds, confirmation of the reason(s) must be provided with the authority application by a second PAH physician or cardiologist with expertise in the management of PAH.</w:t>
            </w:r>
            <w:r w:rsidRPr="00802FC7">
              <w:rPr>
                <w:rFonts w:ascii="Arial" w:eastAsia="SimSun" w:hAnsi="Arial" w:cs="Arial"/>
                <w:sz w:val="16"/>
                <w:szCs w:val="16"/>
              </w:rPr>
              <w:br/>
              <w:t>A patient may qualify for PBS-subsidised treatment under this restriction once only. For continuing PBS-subsidised treatment, a Grandfathered patient must qualify under the Continuing treatment criteria for dual therapy for this condition.</w:t>
            </w:r>
            <w:r w:rsidRPr="00802FC7">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802FC7">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455AB8" w:rsidRPr="00406361" w:rsidRDefault="00455AB8" w:rsidP="00ED1AE1">
            <w:pPr>
              <w:spacing w:line="240" w:lineRule="auto"/>
              <w:rPr>
                <w:rFonts w:ascii="Arial" w:eastAsia="SimSun" w:hAnsi="Arial" w:cs="Arial"/>
                <w:sz w:val="16"/>
                <w:szCs w:val="16"/>
              </w:rPr>
            </w:pPr>
            <w:r w:rsidRPr="00802FC7">
              <w:rPr>
                <w:rFonts w:ascii="Arial" w:eastAsia="SimSun" w:hAnsi="Arial" w:cs="Arial"/>
                <w:sz w:val="16"/>
                <w:szCs w:val="16"/>
              </w:rPr>
              <w:t>Compliance with Written Authority Required procedures</w:t>
            </w:r>
          </w:p>
        </w:tc>
      </w:tr>
      <w:tr w:rsidR="0073291D"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73291D" w:rsidRPr="00406361" w:rsidRDefault="0073291D"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73291D" w:rsidRPr="00406361" w:rsidRDefault="0073291D" w:rsidP="00881477">
            <w:pPr>
              <w:spacing w:line="240" w:lineRule="auto"/>
              <w:rPr>
                <w:rFonts w:ascii="Arial" w:eastAsia="SimSun" w:hAnsi="Arial" w:cs="Arial"/>
                <w:sz w:val="16"/>
                <w:szCs w:val="16"/>
              </w:rPr>
            </w:pPr>
            <w:r w:rsidRPr="00802FC7">
              <w:rPr>
                <w:rFonts w:ascii="Arial" w:eastAsia="SimSun" w:hAnsi="Arial" w:cs="Arial"/>
                <w:sz w:val="16"/>
                <w:szCs w:val="16"/>
              </w:rPr>
              <w:t>C10850</w:t>
            </w:r>
          </w:p>
        </w:tc>
        <w:tc>
          <w:tcPr>
            <w:tcW w:w="709" w:type="dxa"/>
            <w:tcBorders>
              <w:bottom w:val="single" w:sz="4" w:space="0" w:color="auto"/>
            </w:tcBorders>
            <w:shd w:val="clear" w:color="auto" w:fill="auto"/>
            <w:tcMar>
              <w:top w:w="28" w:type="dxa"/>
              <w:left w:w="28" w:type="dxa"/>
            </w:tcMar>
          </w:tcPr>
          <w:p w:rsidR="0073291D" w:rsidRPr="00455AB8" w:rsidRDefault="0073291D" w:rsidP="00881477">
            <w:pPr>
              <w:spacing w:line="240" w:lineRule="auto"/>
              <w:rPr>
                <w:rFonts w:ascii="Arial" w:eastAsia="SimSun" w:hAnsi="Arial" w:cs="Arial"/>
                <w:sz w:val="16"/>
                <w:szCs w:val="16"/>
              </w:rPr>
            </w:pPr>
            <w:r w:rsidRPr="00802FC7">
              <w:rPr>
                <w:rFonts w:ascii="Arial" w:eastAsia="SimSun" w:hAnsi="Arial" w:cs="Arial"/>
                <w:sz w:val="16"/>
                <w:szCs w:val="16"/>
              </w:rPr>
              <w:t>P10850</w:t>
            </w:r>
          </w:p>
        </w:tc>
        <w:tc>
          <w:tcPr>
            <w:tcW w:w="7654" w:type="dxa"/>
            <w:tcBorders>
              <w:bottom w:val="single" w:sz="4" w:space="0" w:color="auto"/>
            </w:tcBorders>
            <w:shd w:val="clear" w:color="auto" w:fill="auto"/>
            <w:tcMar>
              <w:top w:w="28" w:type="dxa"/>
              <w:left w:w="28" w:type="dxa"/>
            </w:tcMar>
          </w:tcPr>
          <w:p w:rsidR="0073291D" w:rsidRPr="00E42692" w:rsidRDefault="0073291D" w:rsidP="00881477">
            <w:pPr>
              <w:spacing w:line="240" w:lineRule="auto"/>
              <w:rPr>
                <w:rFonts w:ascii="Arial" w:eastAsia="SimSun" w:hAnsi="Arial" w:cs="Arial"/>
                <w:sz w:val="16"/>
                <w:szCs w:val="16"/>
              </w:rPr>
            </w:pPr>
            <w:r w:rsidRPr="00802FC7">
              <w:rPr>
                <w:rFonts w:ascii="Arial" w:eastAsia="SimSun" w:hAnsi="Arial" w:cs="Arial"/>
                <w:sz w:val="16"/>
                <w:szCs w:val="16"/>
              </w:rPr>
              <w:t>Pulmonary arterial hypertension (PAH)</w:t>
            </w:r>
            <w:r w:rsidRPr="00802FC7">
              <w:rPr>
                <w:rFonts w:ascii="Arial" w:eastAsia="SimSun" w:hAnsi="Arial" w:cs="Arial"/>
                <w:sz w:val="16"/>
                <w:szCs w:val="16"/>
              </w:rPr>
              <w:br/>
              <w:t>Initial 3 (dual therapy - change)</w:t>
            </w:r>
            <w:r w:rsidRPr="00802FC7">
              <w:rPr>
                <w:rFonts w:ascii="Arial" w:eastAsia="SimSun" w:hAnsi="Arial" w:cs="Arial"/>
                <w:sz w:val="16"/>
                <w:szCs w:val="16"/>
              </w:rPr>
              <w:br/>
              <w:t>Patient must have had their most recent course of PBS-subsidised dual therapy with a phosphodiesterase-5 inhibitor (PDE-5i) and an endothelin receptor antagonist (ERA) other than this agent for this condition.</w:t>
            </w:r>
            <w:r w:rsidRPr="00802FC7">
              <w:rPr>
                <w:rFonts w:ascii="Arial" w:eastAsia="SimSun" w:hAnsi="Arial" w:cs="Arial"/>
                <w:sz w:val="16"/>
                <w:szCs w:val="16"/>
              </w:rPr>
              <w:br/>
              <w:t>The term 'PAH agents' refers to bosentan monohydrate, iloprost trometamol, epoprostenol sodium, sildenafil citrate, ambrisentan, tadalafil, macitentan, and riociguat.</w:t>
            </w:r>
            <w:r w:rsidRPr="00802FC7">
              <w:rPr>
                <w:rFonts w:ascii="Arial" w:eastAsia="SimSun" w:hAnsi="Arial" w:cs="Arial"/>
                <w:sz w:val="16"/>
                <w:szCs w:val="16"/>
              </w:rPr>
              <w:br/>
              <w:t>For the purposes of PBS subsidy, dual therapy refers to combined use of an endothelin receptor antagonist (ERA) and a phosphodiesterase-5 inhibitor (PDE-5i).</w:t>
            </w:r>
            <w:r w:rsidRPr="00802FC7">
              <w:rPr>
                <w:rFonts w:ascii="Arial" w:eastAsia="SimSun" w:hAnsi="Arial" w:cs="Arial"/>
                <w:sz w:val="16"/>
                <w:szCs w:val="16"/>
              </w:rPr>
              <w:br/>
              <w:t>(i) An ERA includes bosentan monohydrate, or macitentan.</w:t>
            </w:r>
            <w:r w:rsidRPr="00802FC7">
              <w:rPr>
                <w:rFonts w:ascii="Arial" w:eastAsia="SimSun" w:hAnsi="Arial" w:cs="Arial"/>
                <w:sz w:val="16"/>
                <w:szCs w:val="16"/>
              </w:rPr>
              <w:br/>
              <w:t>(ii) A PDE-5i includes sildenafil citrate, or tadalafil.</w:t>
            </w:r>
            <w:r w:rsidRPr="00802FC7">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802FC7">
              <w:rPr>
                <w:rFonts w:ascii="Arial" w:eastAsia="SimSun" w:hAnsi="Arial" w:cs="Arial"/>
                <w:sz w:val="16"/>
                <w:szCs w:val="16"/>
              </w:rPr>
              <w:br/>
              <w:t>Swapping between PAH agents: Patients can access PAH agents through the PBS according to the relevant restrictions.</w:t>
            </w:r>
            <w:r w:rsidRPr="00802FC7">
              <w:rPr>
                <w:rFonts w:ascii="Arial" w:eastAsia="SimSun" w:hAnsi="Arial" w:cs="Arial"/>
                <w:sz w:val="16"/>
                <w:szCs w:val="16"/>
              </w:rPr>
              <w:br/>
              <w:t>Once patients are approved dual therapy with a PAH agent from the PDE-5i class; or a PAH agent from the ERA class, they may swap between PAH agents within the same class. This means that patients may commence treatment with another PAH agent in the same class, subject to that agent's restriction, irrespective of the severity of their disease at the time the application to swap therapy is submitted.</w:t>
            </w:r>
            <w:r w:rsidRPr="00802FC7">
              <w:rPr>
                <w:rFonts w:ascii="Arial" w:eastAsia="SimSun" w:hAnsi="Arial" w:cs="Arial"/>
                <w:sz w:val="16"/>
                <w:szCs w:val="16"/>
              </w:rPr>
              <w:br/>
              <w:t>Applications to swap within a PAH agent class must be made under the relevant initial treatment restriction.</w:t>
            </w:r>
            <w:r w:rsidRPr="00802FC7">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802FC7">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73291D" w:rsidRPr="00406361" w:rsidRDefault="0073291D" w:rsidP="00ED1AE1">
            <w:pPr>
              <w:spacing w:line="240" w:lineRule="auto"/>
              <w:rPr>
                <w:rFonts w:ascii="Arial" w:eastAsia="SimSun" w:hAnsi="Arial" w:cs="Arial"/>
                <w:sz w:val="16"/>
                <w:szCs w:val="16"/>
              </w:rPr>
            </w:pPr>
            <w:r w:rsidRPr="00802FC7">
              <w:rPr>
                <w:rFonts w:ascii="Arial" w:eastAsia="SimSun" w:hAnsi="Arial" w:cs="Arial"/>
                <w:sz w:val="16"/>
                <w:szCs w:val="16"/>
              </w:rPr>
              <w:t>Compliance with Authority Required procedures</w:t>
            </w:r>
          </w:p>
        </w:tc>
      </w:tr>
      <w:tr w:rsidR="0073291D"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73291D" w:rsidRPr="00406361" w:rsidRDefault="0073291D"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73291D" w:rsidRPr="00406361" w:rsidRDefault="0073291D" w:rsidP="00881477">
            <w:pPr>
              <w:spacing w:line="240" w:lineRule="auto"/>
              <w:rPr>
                <w:rFonts w:ascii="Arial" w:eastAsia="SimSun" w:hAnsi="Arial" w:cs="Arial"/>
                <w:sz w:val="16"/>
                <w:szCs w:val="16"/>
              </w:rPr>
            </w:pPr>
            <w:r w:rsidRPr="00802FC7">
              <w:rPr>
                <w:rFonts w:ascii="Arial" w:eastAsia="SimSun" w:hAnsi="Arial" w:cs="Arial"/>
                <w:sz w:val="16"/>
                <w:szCs w:val="16"/>
              </w:rPr>
              <w:t>C10869</w:t>
            </w:r>
          </w:p>
        </w:tc>
        <w:tc>
          <w:tcPr>
            <w:tcW w:w="709" w:type="dxa"/>
            <w:tcBorders>
              <w:bottom w:val="single" w:sz="4" w:space="0" w:color="auto"/>
            </w:tcBorders>
            <w:shd w:val="clear" w:color="auto" w:fill="auto"/>
            <w:tcMar>
              <w:top w:w="28" w:type="dxa"/>
              <w:left w:w="28" w:type="dxa"/>
            </w:tcMar>
          </w:tcPr>
          <w:p w:rsidR="0073291D" w:rsidRPr="00455AB8" w:rsidRDefault="0073291D" w:rsidP="00881477">
            <w:pPr>
              <w:spacing w:line="240" w:lineRule="auto"/>
              <w:rPr>
                <w:rFonts w:ascii="Arial" w:eastAsia="SimSun" w:hAnsi="Arial" w:cs="Arial"/>
                <w:sz w:val="16"/>
                <w:szCs w:val="16"/>
              </w:rPr>
            </w:pPr>
            <w:r w:rsidRPr="00802FC7">
              <w:rPr>
                <w:rFonts w:ascii="Arial" w:eastAsia="SimSun" w:hAnsi="Arial" w:cs="Arial"/>
                <w:sz w:val="16"/>
                <w:szCs w:val="16"/>
              </w:rPr>
              <w:t>P10869</w:t>
            </w:r>
          </w:p>
        </w:tc>
        <w:tc>
          <w:tcPr>
            <w:tcW w:w="7654" w:type="dxa"/>
            <w:tcBorders>
              <w:bottom w:val="single" w:sz="4" w:space="0" w:color="auto"/>
            </w:tcBorders>
            <w:shd w:val="clear" w:color="auto" w:fill="auto"/>
            <w:tcMar>
              <w:top w:w="28" w:type="dxa"/>
              <w:left w:w="28" w:type="dxa"/>
            </w:tcMar>
          </w:tcPr>
          <w:p w:rsidR="0073291D" w:rsidRPr="00E42692" w:rsidRDefault="0073291D" w:rsidP="00881477">
            <w:pPr>
              <w:spacing w:line="240" w:lineRule="auto"/>
              <w:rPr>
                <w:rFonts w:ascii="Arial" w:eastAsia="SimSun" w:hAnsi="Arial" w:cs="Arial"/>
                <w:sz w:val="16"/>
                <w:szCs w:val="16"/>
              </w:rPr>
            </w:pPr>
            <w:r w:rsidRPr="00802FC7">
              <w:rPr>
                <w:rFonts w:ascii="Arial" w:eastAsia="SimSun" w:hAnsi="Arial" w:cs="Arial"/>
                <w:sz w:val="16"/>
                <w:szCs w:val="16"/>
              </w:rPr>
              <w:t>Pulmonary arterial hypertension (PAH)</w:t>
            </w:r>
            <w:r w:rsidRPr="00802FC7">
              <w:rPr>
                <w:rFonts w:ascii="Arial" w:eastAsia="SimSun" w:hAnsi="Arial" w:cs="Arial"/>
                <w:sz w:val="16"/>
                <w:szCs w:val="16"/>
              </w:rPr>
              <w:br/>
              <w:t>Initial 2 (dual therapy - previously treated patients)</w:t>
            </w:r>
            <w:r w:rsidRPr="00802FC7">
              <w:rPr>
                <w:rFonts w:ascii="Arial" w:eastAsia="SimSun" w:hAnsi="Arial" w:cs="Arial"/>
                <w:sz w:val="16"/>
                <w:szCs w:val="16"/>
              </w:rPr>
              <w:br/>
              <w:t>Patient must have documented WHO Functional Class III PAH or WHO Functional Class IV PAH; AND</w:t>
            </w:r>
            <w:r w:rsidRPr="00802FC7">
              <w:rPr>
                <w:rFonts w:ascii="Arial" w:eastAsia="SimSun" w:hAnsi="Arial" w:cs="Arial"/>
                <w:sz w:val="16"/>
                <w:szCs w:val="16"/>
              </w:rPr>
              <w:br/>
              <w:t>Patient must have documented a failure to achieve or maintain WHO Functional Class II status with prior PBS-subsidised monotherapy treatment with a phosphodiesterase-5 inhibitor (PDE-5i) for this condition; AND</w:t>
            </w:r>
            <w:r w:rsidRPr="00802FC7">
              <w:rPr>
                <w:rFonts w:ascii="Arial" w:eastAsia="SimSun" w:hAnsi="Arial" w:cs="Arial"/>
                <w:sz w:val="16"/>
                <w:szCs w:val="16"/>
              </w:rPr>
              <w:br/>
              <w:t>The treatment must be in combination with the PBS-subsidised PDE-5i for this condition.</w:t>
            </w:r>
            <w:r w:rsidRPr="00802FC7">
              <w:rPr>
                <w:rFonts w:ascii="Arial" w:eastAsia="SimSun" w:hAnsi="Arial" w:cs="Arial"/>
                <w:sz w:val="16"/>
                <w:szCs w:val="16"/>
              </w:rPr>
              <w:br/>
              <w:t>The term 'PAH agents' refers to bosentan monohydrate, iloprost trometamol, epoprostenol sodium, sildenafil citrate, ambrisentan, tadalafil, macitentan, and riociguat.</w:t>
            </w:r>
            <w:r w:rsidRPr="00802FC7">
              <w:rPr>
                <w:rFonts w:ascii="Arial" w:eastAsia="SimSun" w:hAnsi="Arial" w:cs="Arial"/>
                <w:sz w:val="16"/>
                <w:szCs w:val="16"/>
              </w:rPr>
              <w:br/>
              <w:t>For the purposes of PBS subsidy, dual therapy refers to combined use of an endothelin receptor antagonist (ERA) and a phosphodiesterase-5 inhibitor (PDE-5i).</w:t>
            </w:r>
            <w:r w:rsidRPr="00802FC7">
              <w:rPr>
                <w:rFonts w:ascii="Arial" w:eastAsia="SimSun" w:hAnsi="Arial" w:cs="Arial"/>
                <w:sz w:val="16"/>
                <w:szCs w:val="16"/>
              </w:rPr>
              <w:br/>
              <w:t>(i) An ERA includes bosentan monohydrate, or macitentan.</w:t>
            </w:r>
            <w:r w:rsidRPr="00802FC7">
              <w:rPr>
                <w:rFonts w:ascii="Arial" w:eastAsia="SimSun" w:hAnsi="Arial" w:cs="Arial"/>
                <w:sz w:val="16"/>
                <w:szCs w:val="16"/>
              </w:rPr>
              <w:br/>
              <w:t>(ii) A PDE-5i includes sildenafil citrate, or tadalafil.</w:t>
            </w:r>
            <w:r w:rsidRPr="00802FC7">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802FC7">
              <w:rPr>
                <w:rFonts w:ascii="Arial" w:eastAsia="SimSun" w:hAnsi="Arial" w:cs="Arial"/>
                <w:sz w:val="16"/>
                <w:szCs w:val="16"/>
              </w:rPr>
              <w:br/>
              <w:t>PAH (WHO Group 1 pulmonary hypertension) is defined as follows:</w:t>
            </w:r>
            <w:r w:rsidRPr="00802FC7">
              <w:rPr>
                <w:rFonts w:ascii="Arial" w:eastAsia="SimSun" w:hAnsi="Arial" w:cs="Arial"/>
                <w:sz w:val="16"/>
                <w:szCs w:val="16"/>
              </w:rPr>
              <w:br/>
              <w:t>(i) mean pulmonary artery pressure (mPAP) greater than or equal to 25 mmHg at rest and pulmonary artery wedge pressure (PAWP) less than or equal to 15 mmHg; or</w:t>
            </w:r>
            <w:r w:rsidRPr="00802FC7">
              <w:rPr>
                <w:rFonts w:ascii="Arial" w:eastAsia="SimSun"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802FC7">
              <w:rPr>
                <w:rFonts w:ascii="Arial" w:eastAsia="SimSun" w:hAnsi="Arial" w:cs="Arial"/>
                <w:sz w:val="16"/>
                <w:szCs w:val="16"/>
              </w:rPr>
              <w:br/>
              <w:t>The results and date of the RHC, ECHO and 6 MWT as applicable must be included in the patient's medical record. Where a RHC cannot be performed on clinical grounds, the written confirmation of the reasons why must also be included in the patient's medical record.</w:t>
            </w:r>
            <w:r w:rsidRPr="00802FC7">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802FC7">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73291D" w:rsidRPr="00406361" w:rsidRDefault="0073291D" w:rsidP="00ED1AE1">
            <w:pPr>
              <w:spacing w:line="240" w:lineRule="auto"/>
              <w:rPr>
                <w:rFonts w:ascii="Arial" w:eastAsia="SimSun" w:hAnsi="Arial" w:cs="Arial"/>
                <w:sz w:val="16"/>
                <w:szCs w:val="16"/>
              </w:rPr>
            </w:pPr>
            <w:r w:rsidRPr="00802FC7">
              <w:rPr>
                <w:rFonts w:ascii="Arial" w:eastAsia="SimSun" w:hAnsi="Arial" w:cs="Arial"/>
                <w:sz w:val="16"/>
                <w:szCs w:val="16"/>
              </w:rPr>
              <w:t>Compliance with Authority Required procedures</w:t>
            </w:r>
          </w:p>
        </w:tc>
      </w:tr>
      <w:tr w:rsidR="00592D6B" w:rsidRPr="00E106BD" w:rsidDel="00C8725D" w:rsidTr="008929EB">
        <w:tblPrEx>
          <w:tblLook w:val="01E0" w:firstRow="1" w:lastRow="1" w:firstColumn="1" w:lastColumn="1" w:noHBand="0" w:noVBand="0"/>
        </w:tblPrEx>
        <w:tc>
          <w:tcPr>
            <w:tcW w:w="1729" w:type="dxa"/>
            <w:shd w:val="clear" w:color="auto" w:fill="auto"/>
            <w:tcMar>
              <w:top w:w="28" w:type="dxa"/>
              <w:left w:w="28" w:type="dxa"/>
            </w:tcMar>
          </w:tcPr>
          <w:p w:rsidR="00592D6B" w:rsidRPr="00E106BD" w:rsidDel="00C8725D" w:rsidRDefault="00592D6B" w:rsidP="00881477">
            <w:pPr>
              <w:spacing w:line="240" w:lineRule="auto"/>
              <w:rPr>
                <w:rFonts w:ascii="Arial" w:eastAsia="SimSun" w:hAnsi="Arial" w:cs="Arial"/>
                <w:sz w:val="16"/>
                <w:szCs w:val="16"/>
                <w:lang w:eastAsia="zh-CN"/>
              </w:rPr>
            </w:pPr>
            <w:bookmarkStart w:id="195" w:name="CU_367620287"/>
            <w:bookmarkStart w:id="196" w:name="CU_368625538"/>
            <w:bookmarkStart w:id="197" w:name="CU_369631414"/>
            <w:bookmarkStart w:id="198" w:name="CU_370635780"/>
            <w:bookmarkStart w:id="199" w:name="CU_373642694"/>
            <w:bookmarkStart w:id="200" w:name="CU_374643449"/>
            <w:bookmarkStart w:id="201" w:name="CU_375647086"/>
            <w:bookmarkEnd w:id="195"/>
            <w:bookmarkEnd w:id="196"/>
            <w:bookmarkEnd w:id="197"/>
            <w:bookmarkEnd w:id="198"/>
            <w:bookmarkEnd w:id="199"/>
            <w:bookmarkEnd w:id="200"/>
            <w:bookmarkEnd w:id="201"/>
            <w:r w:rsidRPr="00E106BD">
              <w:rPr>
                <w:rFonts w:ascii="Arial" w:eastAsia="SimSun" w:hAnsi="Arial" w:cs="Arial"/>
                <w:sz w:val="16"/>
                <w:szCs w:val="16"/>
                <w:lang w:eastAsia="zh-CN"/>
              </w:rPr>
              <w:t>Mannitol</w:t>
            </w:r>
          </w:p>
        </w:tc>
        <w:tc>
          <w:tcPr>
            <w:tcW w:w="709" w:type="dxa"/>
            <w:shd w:val="clear" w:color="auto" w:fill="auto"/>
            <w:tcMar>
              <w:top w:w="28" w:type="dxa"/>
              <w:left w:w="28" w:type="dxa"/>
            </w:tcMar>
          </w:tcPr>
          <w:p w:rsidR="00592D6B" w:rsidRPr="00E106BD" w:rsidDel="00C8725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C7362</w:t>
            </w:r>
          </w:p>
        </w:tc>
        <w:tc>
          <w:tcPr>
            <w:tcW w:w="709" w:type="dxa"/>
            <w:shd w:val="clear" w:color="auto" w:fill="auto"/>
            <w:tcMar>
              <w:top w:w="28" w:type="dxa"/>
              <w:left w:w="28" w:type="dxa"/>
            </w:tcMar>
          </w:tcPr>
          <w:p w:rsidR="00592D6B" w:rsidRPr="00E106BD" w:rsidDel="00C8725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as monotherapy; AND</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intolerant or inadequately responsive to dornase alfa.</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6 years of age or older.</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been assessed for bronchial hyperresponsiveness as per the TGA approved Product Information initiation dose assessment for this drug, prior to therapy with this drug, with a negative result.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assessed at a cystic fibrosis clinic/centre which is under the control of specialist respiratory physicians with experience and expertise in the management of cystic fibrosis or by a specialist physician or paediatrician in consultation with such a unit.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Prior to therapy with this drug, a baseline measurement of forced expiratory volume in 1 second (FEV1) must be undertaken during a stable period of the disease.</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Initial therapy is limited to 3 months treatment with mannitol at a dose of 400 mg twice daily.</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To be eligible for continued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following 3 months of initial treatment: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the patient must demonstrate no deterioration in FEV1 compared to baseline; AND</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the patient or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family (in the case of paediatric patients) and the treating physician(s) must report a benefit in the clinical status of the patient.</w:t>
            </w:r>
          </w:p>
          <w:p w:rsidR="00592D6B" w:rsidRPr="00E106BD" w:rsidDel="00C8725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Further reassessments must be undertaken and documented at six</w:t>
            </w:r>
            <w:r>
              <w:rPr>
                <w:rFonts w:ascii="Arial" w:eastAsia="SimSun" w:hAnsi="Arial" w:cs="Arial"/>
                <w:sz w:val="16"/>
                <w:szCs w:val="16"/>
                <w:lang w:eastAsia="zh-CN"/>
              </w:rPr>
              <w:noBreakHyphen/>
            </w:r>
            <w:r w:rsidRPr="00E106BD">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2552" w:type="dxa"/>
            <w:shd w:val="clear" w:color="auto" w:fill="auto"/>
            <w:tcMar>
              <w:top w:w="28" w:type="dxa"/>
              <w:left w:w="28" w:type="dxa"/>
              <w:right w:w="57" w:type="dxa"/>
            </w:tcMar>
          </w:tcPr>
          <w:p w:rsidR="00592D6B" w:rsidRPr="00E106BD" w:rsidDel="00C8725D" w:rsidRDefault="00592D6B" w:rsidP="00315E3E">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7362</w:t>
            </w:r>
          </w:p>
        </w:tc>
      </w:tr>
      <w:tr w:rsidR="00592D6B" w:rsidRPr="00E106BD" w:rsidDel="00C8725D" w:rsidTr="008929EB">
        <w:tblPrEx>
          <w:tblLook w:val="01E0" w:firstRow="1" w:lastRow="1" w:firstColumn="1" w:lastColumn="1" w:noHBand="0" w:noVBand="0"/>
        </w:tblPrEx>
        <w:tc>
          <w:tcPr>
            <w:tcW w:w="1729" w:type="dxa"/>
            <w:shd w:val="clear" w:color="auto" w:fill="auto"/>
            <w:tcMar>
              <w:top w:w="28" w:type="dxa"/>
              <w:left w:w="28" w:type="dxa"/>
            </w:tcMar>
          </w:tcPr>
          <w:p w:rsidR="00592D6B" w:rsidRPr="00E106BD" w:rsidDel="00C8725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Del="00C8725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C7367</w:t>
            </w:r>
          </w:p>
        </w:tc>
        <w:tc>
          <w:tcPr>
            <w:tcW w:w="709" w:type="dxa"/>
            <w:shd w:val="clear" w:color="auto" w:fill="auto"/>
            <w:tcMar>
              <w:top w:w="28" w:type="dxa"/>
              <w:left w:w="28" w:type="dxa"/>
            </w:tcMar>
          </w:tcPr>
          <w:p w:rsidR="00592D6B" w:rsidRPr="00E106BD" w:rsidDel="00C8725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dornase alfa; AND</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inadequately responsive to dornase alfa; AND</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trialled hypertonic saline for this condition.</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6 years of age or older.</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been assessed for bronchial hyperresponsiveness as per the TGA approved Product Information initiation dose assessment for this drug, prior to therapy with this drug, with a negative result.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assessed at a cystic fibrosis clinic/centre which is under the control of specialist respiratory physicians with experience and expertise in the management of cystic fibrosis or by a specialist physician or paediatrician in consultation with such a unit.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Prior to therapy with this drug, a baseline measurement of forced expiratory volume in 1 second (FEV1) must be undertaken during a stable period of the disease.</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Initial therapy is limited to 3 months treatment with mannitol at a dose of 400 mg twice daily.</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To be eligible for continued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following 3 months of initial treatment: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the patient must demonstrate no deterioration in FEV1 compared to baseline; AND</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the patient or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family (in the case of paediatric patients) and the treating physician(s) must report a benefit in the clinical status of the patient.</w:t>
            </w:r>
          </w:p>
          <w:p w:rsidR="00592D6B" w:rsidRPr="00E106BD" w:rsidDel="00C8725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Further reassessments must be undertaken and documented at six</w:t>
            </w:r>
            <w:r>
              <w:rPr>
                <w:rFonts w:ascii="Arial" w:eastAsia="SimSun" w:hAnsi="Arial" w:cs="Arial"/>
                <w:sz w:val="16"/>
                <w:szCs w:val="16"/>
                <w:lang w:eastAsia="zh-CN"/>
              </w:rPr>
              <w:noBreakHyphen/>
            </w:r>
            <w:r w:rsidRPr="00E106BD">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2552" w:type="dxa"/>
            <w:shd w:val="clear" w:color="auto" w:fill="auto"/>
            <w:tcMar>
              <w:top w:w="28" w:type="dxa"/>
              <w:left w:w="28" w:type="dxa"/>
              <w:right w:w="57" w:type="dxa"/>
            </w:tcMar>
          </w:tcPr>
          <w:p w:rsidR="00592D6B" w:rsidRPr="00E106BD" w:rsidDel="00C8725D" w:rsidRDefault="00592D6B" w:rsidP="00315E3E">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7367</w:t>
            </w:r>
          </w:p>
        </w:tc>
      </w:tr>
      <w:tr w:rsidR="00592D6B" w:rsidRPr="00E106BD" w:rsidDel="00C8725D" w:rsidTr="008929EB">
        <w:tblPrEx>
          <w:tblLook w:val="01E0" w:firstRow="1" w:lastRow="1" w:firstColumn="1" w:lastColumn="1" w:noHBand="0" w:noVBand="0"/>
        </w:tblPrEx>
        <w:tc>
          <w:tcPr>
            <w:tcW w:w="1729" w:type="dxa"/>
            <w:shd w:val="clear" w:color="auto" w:fill="auto"/>
            <w:tcMar>
              <w:top w:w="28" w:type="dxa"/>
              <w:left w:w="28" w:type="dxa"/>
            </w:tcMar>
          </w:tcPr>
          <w:p w:rsidR="00592D6B" w:rsidRPr="00E106BD" w:rsidDel="00C8725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C9527</w:t>
            </w:r>
          </w:p>
        </w:tc>
        <w:tc>
          <w:tcPr>
            <w:tcW w:w="709" w:type="dxa"/>
            <w:shd w:val="clear" w:color="auto" w:fill="auto"/>
            <w:tcMar>
              <w:top w:w="28" w:type="dxa"/>
              <w:left w:w="28" w:type="dxa"/>
            </w:tcMar>
          </w:tcPr>
          <w:p w:rsidR="00592D6B" w:rsidRPr="00E106BD" w:rsidDel="00C8725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The treatment must be as monotherapy; AND</w:t>
            </w:r>
            <w:r w:rsidRPr="00E106BD">
              <w:rPr>
                <w:rFonts w:ascii="Arial" w:eastAsia="SimSun" w:hAnsi="Arial" w:cs="Arial"/>
                <w:sz w:val="16"/>
                <w:szCs w:val="16"/>
                <w:lang w:eastAsia="zh-CN"/>
              </w:rPr>
              <w:br/>
              <w:t>Patient must be intolerant or inadequately responsive to dornase alfa.</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 must have been assessed for bronchial hyperresponsiveness as per the TGA approved Product Information initiation dose assessment for this drug, prior to therapy with this drug, with a negative result.</w:t>
            </w:r>
            <w:r w:rsidRPr="00E106BD">
              <w:rPr>
                <w:rFonts w:ascii="Arial" w:eastAsia="SimSun" w:hAnsi="Arial" w:cs="Arial"/>
                <w:sz w:val="16"/>
                <w:szCs w:val="16"/>
                <w:lang w:eastAsia="zh-CN"/>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eastAsia="SimSun" w:hAnsi="Arial" w:cs="Arial"/>
                <w:sz w:val="16"/>
                <w:szCs w:val="16"/>
                <w:lang w:eastAsia="zh-CN"/>
              </w:rPr>
              <w:br/>
              <w:t>Prior to therapy with this drug, a baseline measurement of forced expiratory volume in 1 second (FEV1) must be undertaken during a stable period of the disease.</w:t>
            </w:r>
            <w:r w:rsidRPr="00E106BD">
              <w:rPr>
                <w:rFonts w:ascii="Arial" w:eastAsia="SimSun" w:hAnsi="Arial" w:cs="Arial"/>
                <w:sz w:val="16"/>
                <w:szCs w:val="16"/>
                <w:lang w:eastAsia="zh-CN"/>
              </w:rPr>
              <w:br/>
              <w:t>Initial therapy is limited to 3 months treatment with mannitol at a dose of 400 mg twice daily.</w:t>
            </w:r>
            <w:r w:rsidRPr="00E106BD">
              <w:rPr>
                <w:rFonts w:ascii="Arial" w:eastAsia="SimSun" w:hAnsi="Arial" w:cs="Arial"/>
                <w:sz w:val="16"/>
                <w:szCs w:val="16"/>
                <w:lang w:eastAsia="zh-CN"/>
              </w:rPr>
              <w:br/>
              <w:t>To be eligible for continued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following 3 months of initial treatment:</w:t>
            </w:r>
            <w:r w:rsidRPr="00E106BD">
              <w:rPr>
                <w:rFonts w:ascii="Arial" w:eastAsia="SimSun" w:hAnsi="Arial" w:cs="Arial"/>
                <w:sz w:val="16"/>
                <w:szCs w:val="16"/>
                <w:lang w:eastAsia="zh-CN"/>
              </w:rPr>
              <w:br/>
              <w:t>(1) the patient must demonstrate no deterioration in FEV1 compared to baseline; AND</w:t>
            </w:r>
            <w:r w:rsidRPr="00E106BD">
              <w:rPr>
                <w:rFonts w:ascii="Arial" w:eastAsia="SimSun" w:hAnsi="Arial" w:cs="Arial"/>
                <w:sz w:val="16"/>
                <w:szCs w:val="16"/>
                <w:lang w:eastAsia="zh-CN"/>
              </w:rPr>
              <w:br/>
              <w:t>(2) the patient or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family (in the case of paediatric patients) and the treating physician(s) must report a benefit in the clinical status of the patient.</w:t>
            </w:r>
            <w:r w:rsidRPr="00E106BD">
              <w:rPr>
                <w:rFonts w:ascii="Arial" w:eastAsia="SimSun" w:hAnsi="Arial" w:cs="Arial"/>
                <w:sz w:val="16"/>
                <w:szCs w:val="16"/>
                <w:lang w:eastAsia="zh-CN"/>
              </w:rPr>
              <w:br/>
              <w:t>Further reassessments must be undertaken and documented at six</w:t>
            </w:r>
            <w:r>
              <w:rPr>
                <w:rFonts w:ascii="Arial" w:eastAsia="SimSun" w:hAnsi="Arial" w:cs="Arial"/>
                <w:sz w:val="16"/>
                <w:szCs w:val="16"/>
                <w:lang w:eastAsia="zh-CN"/>
              </w:rPr>
              <w:noBreakHyphen/>
            </w:r>
            <w:r w:rsidRPr="00E106BD">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2552" w:type="dxa"/>
            <w:shd w:val="clear" w:color="auto" w:fill="auto"/>
            <w:tcMar>
              <w:top w:w="28" w:type="dxa"/>
              <w:left w:w="28" w:type="dxa"/>
              <w:right w:w="57" w:type="dxa"/>
            </w:tcMar>
          </w:tcPr>
          <w:p w:rsidR="00592D6B" w:rsidRPr="00E106BD" w:rsidRDefault="00592D6B" w:rsidP="00315E3E">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9527</w:t>
            </w:r>
          </w:p>
        </w:tc>
      </w:tr>
      <w:tr w:rsidR="00592D6B" w:rsidRPr="00E106BD" w:rsidDel="00C8725D" w:rsidTr="008929EB">
        <w:tblPrEx>
          <w:tblLook w:val="01E0" w:firstRow="1" w:lastRow="1" w:firstColumn="1" w:lastColumn="1" w:noHBand="0" w:noVBand="0"/>
        </w:tblPrEx>
        <w:tc>
          <w:tcPr>
            <w:tcW w:w="1729" w:type="dxa"/>
            <w:shd w:val="clear" w:color="auto" w:fill="auto"/>
            <w:tcMar>
              <w:top w:w="28" w:type="dxa"/>
              <w:left w:w="28" w:type="dxa"/>
            </w:tcMar>
          </w:tcPr>
          <w:p w:rsidR="00592D6B" w:rsidRPr="00E106BD" w:rsidDel="00C8725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C9593</w:t>
            </w:r>
          </w:p>
        </w:tc>
        <w:tc>
          <w:tcPr>
            <w:tcW w:w="709" w:type="dxa"/>
            <w:shd w:val="clear" w:color="auto" w:fill="auto"/>
            <w:tcMar>
              <w:top w:w="28" w:type="dxa"/>
              <w:left w:w="28" w:type="dxa"/>
            </w:tcMar>
          </w:tcPr>
          <w:p w:rsidR="00592D6B" w:rsidRPr="00E106BD" w:rsidDel="00C8725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The treatment must be in combination with dornase alfa; AND</w:t>
            </w:r>
            <w:r w:rsidRPr="00E106BD">
              <w:rPr>
                <w:rFonts w:ascii="Arial" w:eastAsia="SimSun" w:hAnsi="Arial" w:cs="Arial"/>
                <w:sz w:val="16"/>
                <w:szCs w:val="16"/>
                <w:lang w:eastAsia="zh-CN"/>
              </w:rPr>
              <w:br/>
              <w:t>Patient must be inadequately responsive to dornase alfa; AND</w:t>
            </w:r>
            <w:r w:rsidRPr="00E106BD">
              <w:rPr>
                <w:rFonts w:ascii="Arial" w:eastAsia="SimSun" w:hAnsi="Arial" w:cs="Arial"/>
                <w:sz w:val="16"/>
                <w:szCs w:val="16"/>
                <w:lang w:eastAsia="zh-CN"/>
              </w:rPr>
              <w:br/>
              <w:t>Patient must have trialled hypertonic saline for this condition.</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 must have been assessed for bronchial hyperresponsiveness as per the TGA approved Product Information initiation dose assessment for this drug, prior to therapy with this drug, with a negative result.</w:t>
            </w:r>
            <w:r w:rsidRPr="00E106BD">
              <w:rPr>
                <w:rFonts w:ascii="Arial" w:eastAsia="SimSun" w:hAnsi="Arial" w:cs="Arial"/>
                <w:sz w:val="16"/>
                <w:szCs w:val="16"/>
                <w:lang w:eastAsia="zh-CN"/>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eastAsia="SimSun" w:hAnsi="Arial" w:cs="Arial"/>
                <w:sz w:val="16"/>
                <w:szCs w:val="16"/>
                <w:lang w:eastAsia="zh-CN"/>
              </w:rPr>
              <w:br/>
              <w:t>Prior to therapy with this drug, a baseline measurement of forced expiratory volume in 1 second (FEV1) must be undertaken during a stable period of the disease.</w:t>
            </w:r>
            <w:r w:rsidRPr="00E106BD">
              <w:rPr>
                <w:rFonts w:ascii="Arial" w:eastAsia="SimSun" w:hAnsi="Arial" w:cs="Arial"/>
                <w:sz w:val="16"/>
                <w:szCs w:val="16"/>
                <w:lang w:eastAsia="zh-CN"/>
              </w:rPr>
              <w:br/>
              <w:t>Initial therapy is limited to 3 months treatment with mannitol at a dose of 400 mg twice daily.</w:t>
            </w:r>
            <w:r w:rsidRPr="00E106BD">
              <w:rPr>
                <w:rFonts w:ascii="Arial" w:eastAsia="SimSun" w:hAnsi="Arial" w:cs="Arial"/>
                <w:sz w:val="16"/>
                <w:szCs w:val="16"/>
                <w:lang w:eastAsia="zh-CN"/>
              </w:rPr>
              <w:br/>
              <w:t>To be eligible for continued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following 3 months of initial treatment:</w:t>
            </w:r>
            <w:r w:rsidRPr="00E106BD">
              <w:rPr>
                <w:rFonts w:ascii="Arial" w:eastAsia="SimSun" w:hAnsi="Arial" w:cs="Arial"/>
                <w:sz w:val="16"/>
                <w:szCs w:val="16"/>
                <w:lang w:eastAsia="zh-CN"/>
              </w:rPr>
              <w:br/>
              <w:t>(1) the patient must demonstrate no deterioration in FEV1 compared to baseline; AND</w:t>
            </w:r>
            <w:r w:rsidRPr="00E106BD">
              <w:rPr>
                <w:rFonts w:ascii="Arial" w:eastAsia="SimSun" w:hAnsi="Arial" w:cs="Arial"/>
                <w:sz w:val="16"/>
                <w:szCs w:val="16"/>
                <w:lang w:eastAsia="zh-CN"/>
              </w:rPr>
              <w:br/>
              <w:t>(2) the patient or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family (in the case of paediatric patients) and the treating physician(s) must report a benefit in the clinical status of the patient.</w:t>
            </w:r>
            <w:r w:rsidRPr="00E106BD">
              <w:rPr>
                <w:rFonts w:ascii="Arial" w:eastAsia="SimSun" w:hAnsi="Arial" w:cs="Arial"/>
                <w:sz w:val="16"/>
                <w:szCs w:val="16"/>
                <w:lang w:eastAsia="zh-CN"/>
              </w:rPr>
              <w:br/>
              <w:t>Further reassessments must be undertaken and documented at six</w:t>
            </w:r>
            <w:r>
              <w:rPr>
                <w:rFonts w:ascii="Arial" w:eastAsia="SimSun" w:hAnsi="Arial" w:cs="Arial"/>
                <w:sz w:val="16"/>
                <w:szCs w:val="16"/>
                <w:lang w:eastAsia="zh-CN"/>
              </w:rPr>
              <w:noBreakHyphen/>
            </w:r>
            <w:r w:rsidRPr="00E106BD">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2552" w:type="dxa"/>
            <w:shd w:val="clear" w:color="auto" w:fill="auto"/>
            <w:tcMar>
              <w:top w:w="28" w:type="dxa"/>
              <w:left w:w="28" w:type="dxa"/>
              <w:right w:w="57" w:type="dxa"/>
            </w:tcMar>
          </w:tcPr>
          <w:p w:rsidR="00592D6B" w:rsidRPr="00E106BD" w:rsidRDefault="00592D6B"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9593</w:t>
            </w:r>
          </w:p>
        </w:tc>
      </w:tr>
      <w:tr w:rsidR="00592D6B" w:rsidRPr="00E106BD" w:rsidDel="00C92AAE" w:rsidTr="008929EB">
        <w:tblPrEx>
          <w:tblLook w:val="01E0" w:firstRow="1" w:lastRow="1" w:firstColumn="1" w:lastColumn="1" w:noHBand="0" w:noVBand="0"/>
        </w:tblPrEx>
        <w:tc>
          <w:tcPr>
            <w:tcW w:w="1729" w:type="dxa"/>
            <w:tcMar>
              <w:top w:w="28" w:type="dxa"/>
              <w:left w:w="28" w:type="dxa"/>
            </w:tcMar>
          </w:tcPr>
          <w:p w:rsidR="00592D6B" w:rsidRPr="00E106BD" w:rsidDel="00C92AAE"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Maraviroc</w:t>
            </w:r>
          </w:p>
        </w:tc>
        <w:tc>
          <w:tcPr>
            <w:tcW w:w="709" w:type="dxa"/>
            <w:tcMar>
              <w:top w:w="28" w:type="dxa"/>
              <w:left w:w="28" w:type="dxa"/>
            </w:tcMar>
          </w:tcPr>
          <w:p w:rsidR="00592D6B" w:rsidRPr="00E106BD" w:rsidDel="00C92AAE"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C5008</w:t>
            </w:r>
          </w:p>
        </w:tc>
        <w:tc>
          <w:tcPr>
            <w:tcW w:w="709" w:type="dxa"/>
            <w:tcMar>
              <w:top w:w="28" w:type="dxa"/>
              <w:left w:w="28" w:type="dxa"/>
            </w:tcMar>
          </w:tcPr>
          <w:p w:rsidR="00592D6B" w:rsidRPr="00E106BD" w:rsidDel="00C92AAE"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Del="00C92AAE"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Patient must be infected with CCR5</w:t>
            </w:r>
            <w:r>
              <w:rPr>
                <w:rFonts w:ascii="Arial" w:eastAsia="SimSun" w:hAnsi="Arial" w:cs="Arial"/>
                <w:sz w:val="16"/>
                <w:szCs w:val="16"/>
                <w:lang w:eastAsia="zh-CN"/>
              </w:rPr>
              <w:noBreakHyphen/>
            </w:r>
            <w:r w:rsidRPr="00E106BD">
              <w:rPr>
                <w:rFonts w:ascii="Arial" w:eastAsia="SimSun" w:hAnsi="Arial" w:cs="Arial"/>
                <w:sz w:val="16"/>
                <w:szCs w:val="16"/>
                <w:lang w:eastAsia="zh-CN"/>
              </w:rPr>
              <w:t>tropic HIV</w:t>
            </w:r>
            <w:r>
              <w:rPr>
                <w:rFonts w:ascii="Arial" w:eastAsia="SimSun" w:hAnsi="Arial" w:cs="Arial"/>
                <w:sz w:val="16"/>
                <w:szCs w:val="16"/>
                <w:lang w:eastAsia="zh-CN"/>
              </w:rPr>
              <w:noBreakHyphen/>
            </w:r>
            <w:r w:rsidRPr="00E106BD">
              <w:rPr>
                <w:rFonts w:ascii="Arial" w:eastAsia="SimSun" w:hAnsi="Arial" w:cs="Arial"/>
                <w:sz w:val="16"/>
                <w:szCs w:val="16"/>
                <w:lang w:eastAsia="zh-CN"/>
              </w:rPr>
              <w:t>1, AND</w:t>
            </w:r>
            <w:r w:rsidRPr="00E106BD">
              <w:rPr>
                <w:rFonts w:ascii="Arial" w:eastAsia="SimSun" w:hAnsi="Arial" w:cs="Arial"/>
                <w:sz w:val="16"/>
                <w:szCs w:val="16"/>
                <w:lang w:eastAsia="zh-CN"/>
              </w:rPr>
              <w:br/>
              <w:t>The treatment must be in addition to optimised background therapy, AND</w:t>
            </w:r>
            <w:r w:rsidRPr="00E106BD">
              <w:rPr>
                <w:rFonts w:ascii="Arial" w:eastAsia="SimSun" w:hAnsi="Arial" w:cs="Arial"/>
                <w:sz w:val="16"/>
                <w:szCs w:val="16"/>
                <w:lang w:eastAsia="zh-CN"/>
              </w:rPr>
              <w:br/>
              <w:t>The treatment must be in combination with other antiretroviral agents, AND</w:t>
            </w:r>
            <w:r w:rsidRPr="00E106BD">
              <w:rPr>
                <w:rFonts w:ascii="Arial" w:eastAsia="SimSun" w:hAnsi="Arial" w:cs="Arial"/>
                <w:sz w:val="16"/>
                <w:szCs w:val="16"/>
                <w:lang w:eastAsia="zh-CN"/>
              </w:rPr>
              <w:br/>
              <w:t>Patient must have experienced virological failure or clinical failure or genotypic resistance after each of at least 3 different antiretroviral regimens that have included one drug from at least 3 different antiretroviral classes.</w:t>
            </w:r>
            <w:r w:rsidRPr="00E106BD">
              <w:rPr>
                <w:rFonts w:ascii="Arial" w:eastAsia="SimSun" w:hAnsi="Arial" w:cs="Arial"/>
                <w:sz w:val="16"/>
                <w:szCs w:val="16"/>
                <w:lang w:eastAsia="zh-CN"/>
              </w:rPr>
              <w:br/>
              <w:t>Virological failure is defined as a viral load greater than 400 copies per mL on two consecutive occasions, while clinical failure is linked to emerging signs and symptoms of progressing HIV infection or treatment</w:t>
            </w:r>
            <w:r>
              <w:rPr>
                <w:rFonts w:ascii="Arial" w:eastAsia="SimSun" w:hAnsi="Arial" w:cs="Arial"/>
                <w:sz w:val="16"/>
                <w:szCs w:val="16"/>
                <w:lang w:eastAsia="zh-CN"/>
              </w:rPr>
              <w:noBreakHyphen/>
            </w:r>
            <w:r w:rsidRPr="00E106BD">
              <w:rPr>
                <w:rFonts w:ascii="Arial" w:eastAsia="SimSun" w:hAnsi="Arial" w:cs="Arial"/>
                <w:sz w:val="16"/>
                <w:szCs w:val="16"/>
                <w:lang w:eastAsia="zh-CN"/>
              </w:rPr>
              <w:t>limiting toxicity.</w:t>
            </w:r>
            <w:r w:rsidRPr="00E106BD">
              <w:rPr>
                <w:rFonts w:ascii="Arial" w:eastAsia="SimSun" w:hAnsi="Arial" w:cs="Arial"/>
                <w:sz w:val="16"/>
                <w:szCs w:val="16"/>
                <w:lang w:eastAsia="zh-CN"/>
              </w:rPr>
              <w:br/>
              <w:t>A tropism assay to determine CCR5 only strain status must be performed prior to initiation. Individuals with CXCR4 tropism demonstrated at any time point are not eligible.</w:t>
            </w:r>
          </w:p>
        </w:tc>
        <w:tc>
          <w:tcPr>
            <w:tcW w:w="2552" w:type="dxa"/>
            <w:tcMar>
              <w:top w:w="28" w:type="dxa"/>
              <w:left w:w="28" w:type="dxa"/>
              <w:right w:w="57" w:type="dxa"/>
            </w:tcMar>
          </w:tcPr>
          <w:p w:rsidR="00592D6B" w:rsidRPr="00E106BD" w:rsidDel="00C92AAE" w:rsidRDefault="00592D6B"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5008</w:t>
            </w:r>
          </w:p>
        </w:tc>
      </w:tr>
      <w:tr w:rsidR="00592D6B" w:rsidRPr="00E106BD" w:rsidDel="0015259E" w:rsidTr="008929EB">
        <w:tblPrEx>
          <w:tblLook w:val="01E0" w:firstRow="1" w:lastRow="1" w:firstColumn="1" w:lastColumn="1" w:noHBand="0" w:noVBand="0"/>
        </w:tblPrEx>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Mepolizumab</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C9885</w:t>
            </w:r>
          </w:p>
        </w:tc>
        <w:tc>
          <w:tcPr>
            <w:tcW w:w="709" w:type="dxa"/>
            <w:tcMar>
              <w:top w:w="28" w:type="dxa"/>
              <w:left w:w="28" w:type="dxa"/>
            </w:tcMar>
          </w:tcPr>
          <w:p w:rsidR="00592D6B" w:rsidRPr="00E106BD" w:rsidDel="0015259E" w:rsidRDefault="00592D6B" w:rsidP="00881477">
            <w:pPr>
              <w:spacing w:line="240" w:lineRule="auto"/>
              <w:rPr>
                <w:rFonts w:ascii="Arial" w:eastAsia="SimSun" w:hAnsi="Arial" w:cs="Arial"/>
                <w:sz w:val="16"/>
                <w:szCs w:val="16"/>
                <w:lang w:eastAsia="zh-CN"/>
              </w:rPr>
            </w:pPr>
            <w:r w:rsidRPr="00E106BD">
              <w:rPr>
                <w:rFonts w:ascii="Arial" w:hAnsi="Arial" w:cs="Arial"/>
                <w:iCs/>
                <w:sz w:val="16"/>
                <w:szCs w:val="16"/>
              </w:rPr>
              <w:t>P9885</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eosinophilic asthma</w:t>
            </w:r>
            <w:r w:rsidRPr="00E106BD">
              <w:rPr>
                <w:rFonts w:ascii="Arial" w:eastAsia="SimSun" w:hAnsi="Arial" w:cs="Arial"/>
                <w:sz w:val="16"/>
                <w:szCs w:val="16"/>
                <w:lang w:eastAsia="zh-CN"/>
              </w:rPr>
              <w:br/>
              <w:t>Balance of supply</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received insufficient therapy with this drug under the Initial 1 (new patients or recommencement of treatment in a new treatment cycle) restriction to complete 32 weeks treatment; OR</w:t>
            </w:r>
            <w:r w:rsidRPr="00E106BD">
              <w:rPr>
                <w:rFonts w:ascii="Arial" w:eastAsia="SimSun" w:hAnsi="Arial" w:cs="Arial"/>
                <w:sz w:val="16"/>
                <w:szCs w:val="16"/>
                <w:lang w:eastAsia="zh-CN"/>
              </w:rPr>
              <w:br/>
              <w:t>Patient must have received insufficient therapy with this drug under the Initial 2 (change of treatment) restriction to complete 32 weeks treatment; OR</w:t>
            </w:r>
            <w:r w:rsidRPr="00E106BD">
              <w:rPr>
                <w:rFonts w:ascii="Arial" w:eastAsia="SimSun" w:hAnsi="Arial" w:cs="Arial"/>
                <w:sz w:val="16"/>
                <w:szCs w:val="16"/>
                <w:lang w:eastAsia="zh-CN"/>
              </w:rPr>
              <w:br/>
              <w:t>Patient must have received insufficient therapy with this drug under the Continuing treatment restriction to complete 24 weeks treatment; AND</w:t>
            </w:r>
            <w:r w:rsidRPr="00E106BD">
              <w:rPr>
                <w:rFonts w:ascii="Arial" w:eastAsia="SimSun" w:hAnsi="Arial" w:cs="Arial"/>
                <w:sz w:val="16"/>
                <w:szCs w:val="16"/>
                <w:lang w:eastAsia="zh-CN"/>
              </w:rPr>
              <w:br/>
              <w:t>The treatment must not provide more than the balance of up to 32 weeks of treatment if the most recent authority approval was made under an Initial treatment restriction; OR</w:t>
            </w:r>
            <w:r w:rsidRPr="00E106BD">
              <w:rPr>
                <w:rFonts w:ascii="Arial" w:eastAsia="SimSun" w:hAnsi="Arial" w:cs="Arial"/>
                <w:sz w:val="16"/>
                <w:szCs w:val="16"/>
                <w:lang w:eastAsia="zh-CN"/>
              </w:rPr>
              <w:br/>
              <w:t>The treatment must not provide more than the balance of up to 24 weeks of treatment if the most recent authority approval was made under the Continuing treatment restriction.</w:t>
            </w:r>
          </w:p>
        </w:tc>
        <w:tc>
          <w:tcPr>
            <w:tcW w:w="2552" w:type="dxa"/>
            <w:tcMar>
              <w:top w:w="28" w:type="dxa"/>
              <w:left w:w="28" w:type="dxa"/>
              <w:right w:w="57" w:type="dxa"/>
            </w:tcMar>
          </w:tcPr>
          <w:p w:rsidR="00592D6B" w:rsidRPr="00E106BD" w:rsidRDefault="00592D6B">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592D6B" w:rsidRPr="00E106BD" w:rsidDel="00FE20B2"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C10221</w:t>
            </w:r>
          </w:p>
        </w:tc>
        <w:tc>
          <w:tcPr>
            <w:tcW w:w="70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lang w:eastAsia="en-AU"/>
              </w:rPr>
              <w:t>P10221</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eosinophilic asthma</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patients; or Recommencement of treatment in a new treatment cycle following a break in PBS subsidised biological medicine therapy)</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under the care of the same physician for at least 6 months; OR</w:t>
            </w:r>
            <w:r w:rsidRPr="00E106BD">
              <w:rPr>
                <w:rFonts w:ascii="Arial" w:eastAsia="SimSun" w:hAnsi="Arial" w:cs="Arial"/>
                <w:sz w:val="16"/>
                <w:szCs w:val="16"/>
                <w:lang w:eastAsia="zh-CN"/>
              </w:rPr>
              <w:br/>
              <w:t>Patient must have been diagnosed by a multidisciplinary severe asthma clinic team; AND</w:t>
            </w:r>
            <w:r w:rsidRPr="00E106BD">
              <w:rPr>
                <w:rFonts w:ascii="Arial" w:eastAsia="SimSun" w:hAnsi="Arial" w:cs="Arial"/>
                <w:sz w:val="16"/>
                <w:szCs w:val="16"/>
                <w:lang w:eastAsia="zh-CN"/>
              </w:rPr>
              <w:br/>
              <w:t>Patient must not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OR</w:t>
            </w:r>
            <w:r w:rsidRPr="00E106BD">
              <w:rPr>
                <w:rFonts w:ascii="Arial" w:eastAsia="SimSun" w:hAnsi="Arial" w:cs="Arial"/>
                <w:sz w:val="16"/>
                <w:szCs w:val="16"/>
                <w:lang w:eastAsia="zh-CN"/>
              </w:rPr>
              <w:br/>
              <w:t>Patient must have had a break in treatment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severe asthma; AND</w:t>
            </w:r>
            <w:r w:rsidRPr="00E106BD">
              <w:rPr>
                <w:rFonts w:ascii="Arial" w:eastAsia="SimSun" w:hAnsi="Arial" w:cs="Arial"/>
                <w:sz w:val="16"/>
                <w:szCs w:val="16"/>
                <w:lang w:eastAsia="zh-CN"/>
              </w:rPr>
              <w:b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E106BD">
              <w:rPr>
                <w:rFonts w:ascii="Arial" w:eastAsia="SimSun" w:hAnsi="Arial" w:cs="Arial"/>
                <w:sz w:val="16"/>
                <w:szCs w:val="16"/>
                <w:lang w:eastAsia="zh-CN"/>
              </w:rPr>
              <w:br/>
              <w:t>Patient must have a diagnosis of asthma from at least two physicians experienced in the management of patients with severe asthma; AND</w:t>
            </w:r>
            <w:r w:rsidRPr="00E106BD">
              <w:rPr>
                <w:rFonts w:ascii="Arial" w:eastAsia="SimSun" w:hAnsi="Arial" w:cs="Arial"/>
                <w:sz w:val="16"/>
                <w:szCs w:val="16"/>
                <w:lang w:eastAsia="zh-CN"/>
              </w:rPr>
              <w:br/>
              <w:t>Patient must have a duration of asthma of at least 1 year; AND</w:t>
            </w:r>
            <w:r w:rsidRPr="00E106BD">
              <w:rPr>
                <w:rFonts w:ascii="Arial" w:eastAsia="SimSun" w:hAnsi="Arial" w:cs="Arial"/>
                <w:sz w:val="16"/>
                <w:szCs w:val="16"/>
                <w:lang w:eastAsia="zh-CN"/>
              </w:rPr>
              <w:br/>
              <w:t>Patient must have blood eosinophil count greater than or equal to 300 cells per microlitre in the last 12 months; OR</w:t>
            </w:r>
            <w:r w:rsidRPr="00E106BD">
              <w:rPr>
                <w:rFonts w:ascii="Arial" w:eastAsia="SimSun" w:hAnsi="Arial" w:cs="Arial"/>
                <w:sz w:val="16"/>
                <w:szCs w:val="16"/>
                <w:lang w:eastAsia="zh-CN"/>
              </w:rPr>
              <w:br/>
              <w:t>Patient must have blood eosinophil count greater than or equal to 150 cells per microlitre while receiving treatment with oral corticosteroids in the last 12 months; AND</w:t>
            </w:r>
            <w:r w:rsidRPr="00E106BD">
              <w:rPr>
                <w:rFonts w:ascii="Arial" w:eastAsia="SimSun" w:hAnsi="Arial" w:cs="Arial"/>
                <w:sz w:val="16"/>
                <w:szCs w:val="16"/>
                <w:lang w:eastAsia="zh-CN"/>
              </w:rPr>
              <w:br/>
              <w:t>Patient must have failed to achieve adequate control with optimised asthma therapy, despite formal assessment of and adherence to correct inhaler technique, which has been documented; AND</w:t>
            </w:r>
            <w:r w:rsidRPr="00E106BD">
              <w:rPr>
                <w:rFonts w:ascii="Arial" w:eastAsia="SimSun" w:hAnsi="Arial" w:cs="Arial"/>
                <w:sz w:val="16"/>
                <w:szCs w:val="16"/>
                <w:lang w:eastAsia="zh-CN"/>
              </w:rPr>
              <w:br/>
              <w:t>Patient must not receive more than 32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Optimised asthma therapy includes:</w:t>
            </w:r>
            <w:r w:rsidRPr="00E106BD">
              <w:rPr>
                <w:rFonts w:ascii="Arial" w:eastAsia="SimSun" w:hAnsi="Arial" w:cs="Arial"/>
                <w:sz w:val="16"/>
                <w:szCs w:val="16"/>
                <w:lang w:eastAsia="zh-CN"/>
              </w:rPr>
              <w:br/>
              <w:t>(i) Adherence to maximal inhaled therapy, including high dose inhaled corticosteroid (ICS) plus long</w:t>
            </w:r>
            <w:r>
              <w:rPr>
                <w:rFonts w:ascii="Arial" w:eastAsia="SimSun" w:hAnsi="Arial" w:cs="Arial"/>
                <w:sz w:val="16"/>
                <w:szCs w:val="16"/>
                <w:lang w:eastAsia="zh-CN"/>
              </w:rPr>
              <w:noBreakHyphen/>
            </w:r>
            <w:r w:rsidRPr="00E106BD">
              <w:rPr>
                <w:rFonts w:ascii="Arial" w:eastAsia="SimSun" w:hAnsi="Arial" w:cs="Arial"/>
                <w:sz w:val="16"/>
                <w:szCs w:val="16"/>
                <w:lang w:eastAsia="zh-CN"/>
              </w:rPr>
              <w:t>acting beta</w:t>
            </w:r>
            <w:r>
              <w:rPr>
                <w:rFonts w:ascii="Arial" w:eastAsia="SimSun" w:hAnsi="Arial" w:cs="Arial"/>
                <w:sz w:val="16"/>
                <w:szCs w:val="16"/>
                <w:lang w:eastAsia="zh-CN"/>
              </w:rPr>
              <w:noBreakHyphen/>
            </w:r>
            <w:r w:rsidRPr="00E106BD">
              <w:rPr>
                <w:rFonts w:ascii="Arial" w:eastAsia="SimSun" w:hAnsi="Arial" w:cs="Arial"/>
                <w:sz w:val="16"/>
                <w:szCs w:val="16"/>
                <w:lang w:eastAsia="zh-CN"/>
              </w:rPr>
              <w:t>2 agonist (LABA) therapy for at least 12 months, unless contraindicated or not tolerated;</w:t>
            </w:r>
            <w:r w:rsidRPr="00E106BD">
              <w:rPr>
                <w:rFonts w:ascii="Arial" w:eastAsia="SimSun" w:hAnsi="Arial" w:cs="Arial"/>
                <w:sz w:val="16"/>
                <w:szCs w:val="16"/>
                <w:lang w:eastAsia="zh-CN"/>
              </w:rPr>
              <w:br/>
              <w:t>AND</w:t>
            </w:r>
            <w:r w:rsidRPr="00E106BD">
              <w:rPr>
                <w:rFonts w:ascii="Arial" w:eastAsia="SimSun" w:hAnsi="Arial" w:cs="Arial"/>
                <w:sz w:val="16"/>
                <w:szCs w:val="16"/>
                <w:lang w:eastAsia="zh-CN"/>
              </w:rPr>
              <w:br/>
              <w:t>(ii) treatment with oral corticosteroids, either daily oral corticosteroids for at least 6 weeks, OR a cumulative dose of oral corticosteroids of at least 500 mg prednisolone equivalent in the previous 12 months, unless contraindicated or not tolerated.</w:t>
            </w:r>
            <w:r w:rsidRPr="00E106BD">
              <w:rPr>
                <w:rFonts w:ascii="Arial" w:eastAsia="SimSun" w:hAnsi="Arial" w:cs="Arial"/>
                <w:sz w:val="16"/>
                <w:szCs w:val="16"/>
                <w:lang w:eastAsia="zh-CN"/>
              </w:rPr>
              <w:br/>
              <w:t>If the requirement for treatment with optimised asthma therapy cannot be met because of contraindications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and/or intolerances of a severity necessitating permanent treatment withdrawal, details of the contraindication and/or intolerance must be provided in the Authority application.</w:t>
            </w:r>
            <w:r w:rsidRPr="00E106BD">
              <w:rPr>
                <w:rFonts w:ascii="Arial" w:eastAsia="SimSun" w:hAnsi="Arial" w:cs="Arial"/>
                <w:sz w:val="16"/>
                <w:szCs w:val="16"/>
                <w:lang w:eastAsia="zh-CN"/>
              </w:rPr>
              <w:br/>
              <w:t>The following initiation criteria indicate failure to achieve adequate control and must be demonstrated in all patients at the time of the application:</w:t>
            </w:r>
            <w:r w:rsidRPr="00E106BD">
              <w:rPr>
                <w:rFonts w:ascii="Arial" w:eastAsia="SimSun" w:hAnsi="Arial" w:cs="Arial"/>
                <w:sz w:val="16"/>
                <w:szCs w:val="16"/>
                <w:lang w:eastAsia="zh-CN"/>
              </w:rPr>
              <w:br/>
              <w:t>(a) an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of at least 2.0, as assessed in the previous month, AND</w:t>
            </w:r>
            <w:r w:rsidRPr="00E106BD">
              <w:rPr>
                <w:rFonts w:ascii="Arial" w:eastAsia="SimSun" w:hAnsi="Arial" w:cs="Arial"/>
                <w:sz w:val="16"/>
                <w:szCs w:val="16"/>
                <w:lang w:eastAsia="zh-CN"/>
              </w:rPr>
              <w:b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E106BD">
              <w:rPr>
                <w:rFonts w:ascii="Arial" w:eastAsia="SimSun" w:hAnsi="Arial" w:cs="Arial"/>
                <w:sz w:val="16"/>
                <w:szCs w:val="16"/>
                <w:lang w:eastAsia="zh-CN"/>
              </w:rPr>
              <w:br/>
              <w:t>The Asthma Control Questionnaire (5 item version)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and the assessment of oral corticosteroid dose, should be made at around 28 weeks after the first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drug under this restriction so that there is adequate time for a response to be demonstrated and for the application for the first continuing therapy to be processed.</w:t>
            </w:r>
            <w:r w:rsidRPr="00E106BD">
              <w:rPr>
                <w:rFonts w:ascii="Arial" w:eastAsia="SimSun" w:hAnsi="Arial" w:cs="Arial"/>
                <w:sz w:val="16"/>
                <w:szCs w:val="16"/>
                <w:lang w:eastAsia="zh-CN"/>
              </w:rPr>
              <w:br/>
              <w:t>This assessment, which will be used to determine eligibility for the first continuing treatment, should be submitted within 4 weeks of the date of assessment, and no later than 2 weeks prior to the patient completing their current treatment course, to avoid an interruption to supply.</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the same treatment cycle.</w:t>
            </w:r>
            <w:r w:rsidRPr="00E106BD">
              <w:rPr>
                <w:rFonts w:ascii="Arial" w:eastAsia="SimSun" w:hAnsi="Arial" w:cs="Arial"/>
                <w:sz w:val="16"/>
                <w:szCs w:val="16"/>
                <w:lang w:eastAsia="zh-CN"/>
              </w:rPr>
              <w:br/>
              <w:t>A treatment break in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of at least 12 months must be observed in a patient who has either failed to achieve or sustain a response to treatment with 3 biological medicines within the same treatment cycle.</w:t>
            </w:r>
            <w:r w:rsidRPr="00E106BD">
              <w:rPr>
                <w:rFonts w:ascii="Arial" w:eastAsia="SimSun" w:hAnsi="Arial" w:cs="Arial"/>
                <w:sz w:val="16"/>
                <w:szCs w:val="16"/>
                <w:lang w:eastAsia="zh-CN"/>
              </w:rPr>
              <w:br/>
              <w:t>The length of the break in therapy is measured from the date the most recent treatment with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administered until the date of the first application for recommencement of treatment with a biological medicine under the new treatment cycle.</w:t>
            </w:r>
            <w:r w:rsidRPr="00E106BD">
              <w:rPr>
                <w:rFonts w:ascii="Arial" w:eastAsia="SimSun" w:hAnsi="Arial" w:cs="Arial"/>
                <w:sz w:val="16"/>
                <w:szCs w:val="16"/>
                <w:lang w:eastAsia="zh-CN"/>
              </w:rPr>
              <w:br/>
              <w:t>There is no limit to the number of treatment cycles that a patient may undertake in their lifetime.</w:t>
            </w:r>
            <w:r w:rsidRPr="00E106BD">
              <w:rPr>
                <w:rFonts w:ascii="Arial" w:eastAsia="SimSun" w:hAnsi="Arial" w:cs="Arial"/>
                <w:sz w:val="16"/>
                <w:szCs w:val="16"/>
                <w:lang w:eastAsia="zh-CN"/>
              </w:rPr>
              <w:br/>
              <w:t>At the time of the authority application, medical practitioners should request up to 7 repeats to provide for an initial course of mepolizumab sufficient for up to 32 weeks of therapy.</w:t>
            </w:r>
            <w:r w:rsidRPr="00E106BD">
              <w:rPr>
                <w:rFonts w:ascii="Arial" w:eastAsia="SimSun" w:hAnsi="Arial" w:cs="Arial"/>
                <w:sz w:val="16"/>
                <w:szCs w:val="16"/>
                <w:lang w:eastAsia="zh-CN"/>
              </w:rPr>
              <w:br/>
              <w:t>A multidisciplinary severe asthma clinic team comprises of:</w:t>
            </w:r>
            <w:r w:rsidRPr="00E106BD">
              <w:rPr>
                <w:rFonts w:ascii="Arial" w:eastAsia="SimSun" w:hAnsi="Arial" w:cs="Arial"/>
                <w:sz w:val="16"/>
                <w:szCs w:val="16"/>
                <w:lang w:eastAsia="zh-CN"/>
              </w:rPr>
              <w:br/>
              <w:t>A respiratory physician; and</w:t>
            </w:r>
            <w:r w:rsidRPr="00E106BD">
              <w:rPr>
                <w:rFonts w:ascii="Arial" w:eastAsia="SimSun" w:hAnsi="Arial" w:cs="Arial"/>
                <w:sz w:val="16"/>
                <w:szCs w:val="16"/>
                <w:lang w:eastAsia="zh-CN"/>
              </w:rPr>
              <w:br/>
              <w:t>A pharmacist, nurse or asthma educator.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Eosinophilic Asthma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which includes the following:</w:t>
            </w:r>
            <w:r w:rsidRPr="00E106BD">
              <w:rPr>
                <w:rFonts w:ascii="Arial" w:eastAsia="SimSun" w:hAnsi="Arial" w:cs="Arial"/>
                <w:sz w:val="16"/>
                <w:szCs w:val="16"/>
                <w:lang w:eastAsia="zh-CN"/>
              </w:rPr>
              <w:br/>
              <w:t>(i) details of prior optimised asthma drug therapy (date of commencement and duration of therapy); and</w:t>
            </w:r>
            <w:r w:rsidRPr="00E106BD">
              <w:rPr>
                <w:rFonts w:ascii="Arial" w:eastAsia="SimSun" w:hAnsi="Arial" w:cs="Arial"/>
                <w:sz w:val="16"/>
                <w:szCs w:val="16"/>
                <w:lang w:eastAsia="zh-CN"/>
              </w:rPr>
              <w:br/>
              <w:t>(ii) details of severe exacerbation/s experienced in the past 12 months while receiving optimised asthma therapy (date and treatment); and</w:t>
            </w:r>
            <w:r w:rsidRPr="00E106BD">
              <w:rPr>
                <w:rFonts w:ascii="Arial" w:eastAsia="SimSun" w:hAnsi="Arial" w:cs="Arial"/>
                <w:sz w:val="16"/>
                <w:szCs w:val="16"/>
                <w:lang w:eastAsia="zh-CN"/>
              </w:rPr>
              <w:br/>
              <w:t>(iii) the eosinophil count and date; and</w:t>
            </w:r>
            <w:r w:rsidRPr="00E106BD">
              <w:rPr>
                <w:rFonts w:ascii="Arial" w:eastAsia="SimSun" w:hAnsi="Arial" w:cs="Arial"/>
                <w:sz w:val="16"/>
                <w:szCs w:val="16"/>
                <w:lang w:eastAsia="zh-CN"/>
              </w:rPr>
              <w:br/>
              <w:t>(iv)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w:t>
            </w:r>
          </w:p>
        </w:tc>
        <w:tc>
          <w:tcPr>
            <w:tcW w:w="2552" w:type="dxa"/>
            <w:tcMar>
              <w:top w:w="28" w:type="dxa"/>
              <w:left w:w="28" w:type="dxa"/>
              <w:right w:w="57" w:type="dxa"/>
            </w:tcMar>
          </w:tcPr>
          <w:p w:rsidR="00592D6B" w:rsidRPr="00E106BD" w:rsidRDefault="00592D6B" w:rsidP="00D76748">
            <w:pPr>
              <w:keepNext/>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592D6B" w:rsidRPr="00E106BD" w:rsidDel="00FE20B2"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C10222</w:t>
            </w:r>
          </w:p>
        </w:tc>
        <w:tc>
          <w:tcPr>
            <w:tcW w:w="70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lang w:eastAsia="en-AU"/>
              </w:rPr>
              <w:t>P10222</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eosinophilic asthma</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of treatment)</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under the care of the same physician for at least 6 months; OR</w:t>
            </w:r>
            <w:r w:rsidRPr="00E106BD">
              <w:rPr>
                <w:rFonts w:ascii="Arial" w:eastAsia="SimSun" w:hAnsi="Arial" w:cs="Arial"/>
                <w:sz w:val="16"/>
                <w:szCs w:val="16"/>
                <w:lang w:eastAsia="zh-CN"/>
              </w:rPr>
              <w:br/>
              <w:t>Patient must have been diagnosed by a multidisciplinary severe asthma clinic team; AND</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in this treatment cycle; AND</w:t>
            </w:r>
            <w:r w:rsidRPr="00E106BD">
              <w:rPr>
                <w:rFonts w:ascii="Arial" w:eastAsia="SimSun" w:hAnsi="Arial" w:cs="Arial"/>
                <w:sz w:val="16"/>
                <w:szCs w:val="16"/>
                <w:lang w:eastAsia="zh-CN"/>
              </w:rPr>
              <w:br/>
              <w:t>Patient must not have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severe asthma during the current treatment cycle; AND</w:t>
            </w:r>
            <w:r w:rsidRPr="00E106BD">
              <w:rPr>
                <w:rFonts w:ascii="Arial" w:eastAsia="SimSun" w:hAnsi="Arial" w:cs="Arial"/>
                <w:sz w:val="16"/>
                <w:szCs w:val="16"/>
                <w:lang w:eastAsia="zh-CN"/>
              </w:rPr>
              <w:br/>
              <w:t>Patient must have had a blood eosinophil count greater than or equal to 300 cells per microlitre and that is no older than 12 months immediately prior to commencing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severe asthma; OR</w:t>
            </w:r>
            <w:r w:rsidRPr="00E106BD">
              <w:rPr>
                <w:rFonts w:ascii="Arial" w:eastAsia="SimSun" w:hAnsi="Arial" w:cs="Arial"/>
                <w:sz w:val="16"/>
                <w:szCs w:val="16"/>
                <w:lang w:eastAsia="zh-CN"/>
              </w:rPr>
              <w:br/>
              <w:t>Patient must have had a blood eosinophil count greater than or equal to 150 cells per microlitre while receiving treatment with oral corticosteroids and that is no older than 12 months immediately prior to commencing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severe asthma; AND</w:t>
            </w:r>
            <w:r w:rsidRPr="00E106BD">
              <w:rPr>
                <w:rFonts w:ascii="Arial" w:eastAsia="SimSun" w:hAnsi="Arial" w:cs="Arial"/>
                <w:sz w:val="16"/>
                <w:szCs w:val="16"/>
                <w:lang w:eastAsia="zh-CN"/>
              </w:rPr>
              <w:br/>
              <w:t>Patient must not receive more than 32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Eosinophilic Asthma (mepolizumab/benralizumab)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item version) score (where a new baseline is being submitted or where the patient has responded to prior treatment); and</w:t>
            </w:r>
            <w:r w:rsidRPr="00E106BD">
              <w:rPr>
                <w:rFonts w:ascii="Arial" w:eastAsia="SimSun" w:hAnsi="Arial" w:cs="Arial"/>
                <w:sz w:val="16"/>
                <w:szCs w:val="16"/>
                <w:lang w:eastAsia="zh-CN"/>
              </w:rPr>
              <w:br/>
              <w:t>(ii) the details of prior biological medicine treatment including the details of date and duration of treatment; and</w:t>
            </w:r>
            <w:r w:rsidRPr="00E106BD">
              <w:rPr>
                <w:rFonts w:ascii="Arial" w:eastAsia="SimSun" w:hAnsi="Arial" w:cs="Arial"/>
                <w:sz w:val="16"/>
                <w:szCs w:val="16"/>
                <w:lang w:eastAsia="zh-CN"/>
              </w:rPr>
              <w:br/>
              <w:t>(iii) eosinophil count and date; and</w:t>
            </w:r>
            <w:r w:rsidRPr="00E106BD">
              <w:rPr>
                <w:rFonts w:ascii="Arial" w:eastAsia="SimSun" w:hAnsi="Arial" w:cs="Arial"/>
                <w:sz w:val="16"/>
                <w:szCs w:val="16"/>
                <w:lang w:eastAsia="zh-CN"/>
              </w:rPr>
              <w:br/>
              <w:t>(iv) the dose of the maintenance oral corticosteroid (where the response criteria or baseline is based on corticosteroid dose); and</w:t>
            </w:r>
            <w:r w:rsidRPr="00E106BD">
              <w:rPr>
                <w:rFonts w:ascii="Arial" w:eastAsia="SimSun" w:hAnsi="Arial" w:cs="Arial"/>
                <w:sz w:val="16"/>
                <w:szCs w:val="16"/>
                <w:lang w:eastAsia="zh-CN"/>
              </w:rPr>
              <w:br/>
              <w:t>(v) the reason for switching therapy (e.g. failure of prior therapy, partial response to prior therapy, adverse event to prior therapy).</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severe asthma who wishes to change therapy to this biological medicine, must be accompanied by the results of an ACQ</w:t>
            </w:r>
            <w:r>
              <w:rPr>
                <w:rFonts w:ascii="Arial" w:eastAsia="SimSun" w:hAnsi="Arial" w:cs="Arial"/>
                <w:sz w:val="16"/>
                <w:szCs w:val="16"/>
                <w:lang w:eastAsia="zh-CN"/>
              </w:rPr>
              <w:noBreakHyphen/>
            </w:r>
            <w:r w:rsidRPr="00E106BD">
              <w:rPr>
                <w:rFonts w:ascii="Arial" w:eastAsia="SimSun" w:hAnsi="Arial" w:cs="Arial"/>
                <w:sz w:val="16"/>
                <w:szCs w:val="16"/>
                <w:lang w:eastAsia="zh-CN"/>
              </w:rPr>
              <w:t>5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The assessment must have been made not more than 4 weeks after the last dose of biological medicine. Where a response assessment was not undertaken, the patient will be deemed to have failed to respond to treatment with that previous biological medicine.</w:t>
            </w:r>
            <w:r w:rsidRPr="00E106BD">
              <w:rPr>
                <w:rFonts w:ascii="Arial" w:eastAsia="SimSun" w:hAnsi="Arial" w:cs="Arial"/>
                <w:sz w:val="16"/>
                <w:szCs w:val="16"/>
                <w:lang w:eastAsia="zh-CN"/>
              </w:rPr>
              <w:br/>
              <w:t>An ACQ</w:t>
            </w:r>
            <w:r>
              <w:rPr>
                <w:rFonts w:ascii="Arial" w:eastAsia="SimSun" w:hAnsi="Arial" w:cs="Arial"/>
                <w:sz w:val="16"/>
                <w:szCs w:val="16"/>
                <w:lang w:eastAsia="zh-CN"/>
              </w:rPr>
              <w:noBreakHyphen/>
            </w:r>
            <w:r w:rsidRPr="00E106BD">
              <w:rPr>
                <w:rFonts w:ascii="Arial" w:eastAsia="SimSun" w:hAnsi="Arial" w:cs="Arial"/>
                <w:sz w:val="16"/>
                <w:szCs w:val="16"/>
                <w:lang w:eastAsia="zh-CN"/>
              </w:rPr>
              <w:t>5 assessment of the patient may be made at the time of application for treatment (to establish a new baseline score), but should be made again around 28 weeks after the first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biological medicine under this restriction so that there is adequate time for a response to be demonstrated and for the application for the first continuing therapy to be processed.</w:t>
            </w:r>
            <w:r w:rsidRPr="00E106BD">
              <w:rPr>
                <w:rFonts w:ascii="Arial" w:eastAsia="SimSun" w:hAnsi="Arial" w:cs="Arial"/>
                <w:sz w:val="16"/>
                <w:szCs w:val="16"/>
                <w:lang w:eastAsia="zh-CN"/>
              </w:rPr>
              <w:br/>
              <w:t>This assessment at around 28 weeks,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biological medicine.</w:t>
            </w:r>
            <w:r w:rsidRPr="00E106BD">
              <w:rPr>
                <w:rFonts w:ascii="Arial" w:eastAsia="SimSun" w:hAnsi="Arial" w:cs="Arial"/>
                <w:sz w:val="16"/>
                <w:szCs w:val="16"/>
                <w:lang w:eastAsia="zh-CN"/>
              </w:rPr>
              <w:br/>
              <w:t>At the time of the authority application, medical practitioners should request up to 7 repeats to provide for an initial course sufficient for up to 32 weeks of therapy.</w:t>
            </w:r>
            <w:r w:rsidRPr="00E106BD">
              <w:rPr>
                <w:rFonts w:ascii="Arial" w:eastAsia="SimSun" w:hAnsi="Arial" w:cs="Arial"/>
                <w:sz w:val="16"/>
                <w:szCs w:val="16"/>
                <w:lang w:eastAsia="zh-CN"/>
              </w:rPr>
              <w:br/>
              <w:t>A multidisciplinary severe asthma clinic team comprises of:</w:t>
            </w:r>
            <w:r w:rsidRPr="00E106BD">
              <w:rPr>
                <w:rFonts w:ascii="Arial" w:eastAsia="SimSun" w:hAnsi="Arial" w:cs="Arial"/>
                <w:sz w:val="16"/>
                <w:szCs w:val="16"/>
                <w:lang w:eastAsia="zh-CN"/>
              </w:rPr>
              <w:br/>
              <w:t>A respiratory physician; and</w:t>
            </w:r>
            <w:r w:rsidRPr="00E106BD">
              <w:rPr>
                <w:rFonts w:ascii="Arial" w:eastAsia="SimSun" w:hAnsi="Arial" w:cs="Arial"/>
                <w:sz w:val="16"/>
                <w:szCs w:val="16"/>
                <w:lang w:eastAsia="zh-CN"/>
              </w:rPr>
              <w:br/>
              <w:t>A pharmacist, nurse or asthma educator.</w:t>
            </w:r>
          </w:p>
        </w:tc>
        <w:tc>
          <w:tcPr>
            <w:tcW w:w="2552" w:type="dxa"/>
            <w:tcMar>
              <w:top w:w="28" w:type="dxa"/>
              <w:left w:w="28" w:type="dxa"/>
              <w:right w:w="57" w:type="dxa"/>
            </w:tcMar>
          </w:tcPr>
          <w:p w:rsidR="00592D6B" w:rsidRPr="00E106BD" w:rsidRDefault="00592D6B" w:rsidP="00D76748">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592D6B" w:rsidRPr="00E106BD" w:rsidDel="00FE20B2"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C10280</w:t>
            </w:r>
          </w:p>
        </w:tc>
        <w:tc>
          <w:tcPr>
            <w:tcW w:w="70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lang w:eastAsia="en-AU"/>
              </w:rPr>
              <w:t>P10280</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eosinophilic asthma</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have demonstrated or sustained an adequate response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An adequate response to this biological medicine is defined as:</w:t>
            </w:r>
            <w:r w:rsidRPr="00E106BD">
              <w:rPr>
                <w:rFonts w:ascii="Arial" w:eastAsia="SimSun" w:hAnsi="Arial" w:cs="Arial"/>
                <w:sz w:val="16"/>
                <w:szCs w:val="16"/>
                <w:lang w:eastAsia="zh-CN"/>
              </w:rPr>
              <w:br/>
              <w:t>(a) a reduction in the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of at least 0.5 from baseline,</w:t>
            </w:r>
            <w:r w:rsidRPr="00E106BD">
              <w:rPr>
                <w:rFonts w:ascii="Arial" w:eastAsia="SimSun" w:hAnsi="Arial" w:cs="Arial"/>
                <w:sz w:val="16"/>
                <w:szCs w:val="16"/>
                <w:lang w:eastAsia="zh-CN"/>
              </w:rPr>
              <w:br/>
              <w:t>OR</w:t>
            </w:r>
            <w:r w:rsidRPr="00E106BD">
              <w:rPr>
                <w:rFonts w:ascii="Arial" w:eastAsia="SimSun" w:hAnsi="Arial" w:cs="Arial"/>
                <w:sz w:val="16"/>
                <w:szCs w:val="16"/>
                <w:lang w:eastAsia="zh-CN"/>
              </w:rPr>
              <w:br/>
              <w:t>(b) maintenance oral corticosteroid dose reduced by at least 25% from baseline, and no deterioration in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from baseline or an increase in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from baseline less than or equal to 0.5.</w:t>
            </w:r>
            <w:r w:rsidRPr="00E106BD">
              <w:rPr>
                <w:rFonts w:ascii="Arial" w:eastAsia="SimSun" w:hAnsi="Arial" w:cs="Arial"/>
                <w:sz w:val="16"/>
                <w:szCs w:val="16"/>
                <w:lang w:eastAsia="zh-CN"/>
              </w:rPr>
              <w:br/>
              <w:t>All applications for second and subsequent continuing treatments with this drug must include a measurement of response to the prior course of therapy. The Asthma Control Questionnaire (5 item version)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the prior course of treatment or the assessment of oral corticosteroid dose, should be made at around 20 weeks after the first dose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drug under this restriction so that there is adequate time for a response to be demonstrated and for the application for continuing therapy to be processed.</w:t>
            </w:r>
            <w:r w:rsidRPr="00E106BD">
              <w:rPr>
                <w:rFonts w:ascii="Arial" w:eastAsia="SimSun" w:hAnsi="Arial" w:cs="Arial"/>
                <w:sz w:val="16"/>
                <w:szCs w:val="16"/>
                <w:lang w:eastAsia="zh-CN"/>
              </w:rPr>
              <w:br/>
              <w:t>The assessment should, where possible, be completed by the same physician who initiated treatment with this drug.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E106BD">
              <w:rPr>
                <w:rFonts w:ascii="Arial" w:eastAsia="SimSun" w:hAnsi="Arial" w:cs="Arial"/>
                <w:sz w:val="16"/>
                <w:szCs w:val="16"/>
                <w:lang w:eastAsia="zh-CN"/>
              </w:rPr>
              <w:br/>
              <w:t>Where treatment was ceased for clinical reasons despite the patient experiencing improvement, an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treatment made at the time of treatment cessation or retrospectively will be considered to determine whether the patient demonstrated or sustained an adequate response to treatment.</w:t>
            </w:r>
            <w:r w:rsidRPr="00E106BD">
              <w:rPr>
                <w:rFonts w:ascii="Arial" w:eastAsia="SimSun" w:hAnsi="Arial" w:cs="Arial"/>
                <w:sz w:val="16"/>
                <w:szCs w:val="16"/>
                <w:lang w:eastAsia="zh-CN"/>
              </w:rPr>
              <w:br/>
              <w:t>A patient who fails to respond to treatment with this biological medicine for uncontrolled severe asthma will not be eligible to receive further PBS subsidised treatment with this biological medicine for severe asthma within the current treatment cycle.</w:t>
            </w:r>
            <w:r w:rsidRPr="00E106BD">
              <w:rPr>
                <w:rFonts w:ascii="Arial" w:eastAsia="SimSun" w:hAnsi="Arial" w:cs="Arial"/>
                <w:sz w:val="16"/>
                <w:szCs w:val="16"/>
                <w:lang w:eastAsia="zh-CN"/>
              </w:rPr>
              <w:br/>
              <w:t>At the time of the authority application, medical practitioners should request the appropriate number of repeats to provide for a continuing course of this drug sufficient for up to 24 weeks of therapy.</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Eosinophilic Asthma Continuing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w:t>
            </w:r>
            <w:r w:rsidRPr="00E106BD">
              <w:rPr>
                <w:rFonts w:ascii="Arial" w:eastAsia="SimSun" w:hAnsi="Arial" w:cs="Arial"/>
                <w:sz w:val="16"/>
                <w:szCs w:val="16"/>
                <w:lang w:eastAsia="zh-CN"/>
              </w:rPr>
              <w:br/>
              <w:t>(i) details of maintenance oral corticosteroid dose; or</w:t>
            </w:r>
            <w:r w:rsidRPr="00E106BD">
              <w:rPr>
                <w:rFonts w:ascii="Arial" w:eastAsia="SimSun" w:hAnsi="Arial" w:cs="Arial"/>
                <w:sz w:val="16"/>
                <w:szCs w:val="16"/>
                <w:lang w:eastAsia="zh-CN"/>
              </w:rPr>
              <w:br/>
              <w:t>(ii) a completed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w:t>
            </w:r>
          </w:p>
        </w:tc>
        <w:tc>
          <w:tcPr>
            <w:tcW w:w="2552" w:type="dxa"/>
            <w:tcMar>
              <w:top w:w="28" w:type="dxa"/>
              <w:left w:w="28" w:type="dxa"/>
              <w:right w:w="57" w:type="dxa"/>
            </w:tcMar>
          </w:tcPr>
          <w:p w:rsidR="00592D6B" w:rsidRPr="00E106BD" w:rsidRDefault="00592D6B" w:rsidP="00D76748">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592D6B" w:rsidRPr="00E106BD" w:rsidDel="00FE20B2"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037848">
              <w:rPr>
                <w:rFonts w:ascii="Arial" w:hAnsi="Arial" w:cs="Arial"/>
                <w:sz w:val="16"/>
                <w:szCs w:val="16"/>
              </w:rPr>
              <w:t>C10483</w:t>
            </w:r>
          </w:p>
        </w:tc>
        <w:tc>
          <w:tcPr>
            <w:tcW w:w="709" w:type="dxa"/>
            <w:tcMar>
              <w:top w:w="28" w:type="dxa"/>
              <w:left w:w="28" w:type="dxa"/>
            </w:tcMar>
          </w:tcPr>
          <w:p w:rsidR="00592D6B" w:rsidRPr="00E106BD" w:rsidRDefault="00592D6B" w:rsidP="00881477">
            <w:pPr>
              <w:spacing w:line="240" w:lineRule="auto"/>
              <w:rPr>
                <w:rFonts w:ascii="Arial" w:hAnsi="Arial" w:cs="Arial"/>
                <w:sz w:val="16"/>
                <w:szCs w:val="16"/>
                <w:lang w:eastAsia="en-AU"/>
              </w:rPr>
            </w:pPr>
            <w:r w:rsidRPr="00037848">
              <w:rPr>
                <w:rFonts w:ascii="Arial" w:hAnsi="Arial" w:cs="Arial"/>
                <w:sz w:val="16"/>
                <w:szCs w:val="16"/>
              </w:rPr>
              <w:t>P10483</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037848">
              <w:rPr>
                <w:rFonts w:ascii="Arial" w:hAnsi="Arial" w:cs="Arial"/>
                <w:sz w:val="16"/>
                <w:szCs w:val="16"/>
              </w:rPr>
              <w:t>Uncontrolled severe eosinophilic asthma</w:t>
            </w:r>
            <w:r w:rsidRPr="00037848">
              <w:rPr>
                <w:rFonts w:ascii="Arial" w:hAnsi="Arial" w:cs="Arial"/>
                <w:sz w:val="16"/>
                <w:szCs w:val="16"/>
              </w:rPr>
              <w:br/>
              <w:t>Grandfather treatment - use in a patient initiated with non-PBS subsidised pre-filled syringe or pen device</w:t>
            </w:r>
            <w:r w:rsidRPr="00037848">
              <w:rPr>
                <w:rFonts w:ascii="Arial" w:hAnsi="Arial" w:cs="Arial"/>
                <w:sz w:val="16"/>
                <w:szCs w:val="16"/>
              </w:rPr>
              <w:br/>
              <w:t>Patient must have received non-PBS-subsidised treatment with this biological medicine</w:t>
            </w:r>
            <w:r w:rsidR="00A653CA">
              <w:rPr>
                <w:rFonts w:ascii="Arial" w:hAnsi="Arial" w:cs="Arial"/>
                <w:sz w:val="16"/>
                <w:szCs w:val="16"/>
              </w:rPr>
              <w:t>’</w:t>
            </w:r>
            <w:r w:rsidRPr="00037848">
              <w:rPr>
                <w:rFonts w:ascii="Arial" w:hAnsi="Arial" w:cs="Arial"/>
                <w:sz w:val="16"/>
                <w:szCs w:val="16"/>
              </w:rPr>
              <w:t>s pre-filled syringe or pen device for this PBS-indication prior to 1 June 2020; AND</w:t>
            </w:r>
            <w:r w:rsidRPr="00037848">
              <w:rPr>
                <w:rFonts w:ascii="Arial" w:hAnsi="Arial" w:cs="Arial"/>
                <w:sz w:val="16"/>
                <w:szCs w:val="16"/>
              </w:rPr>
              <w:br/>
              <w:t>Patient must have demonstrated or sustained an adequate response to treatment with this biological medicine if the patient has received at least the week 28 dose of this biological medicine; AND</w:t>
            </w:r>
            <w:r w:rsidRPr="00037848">
              <w:rPr>
                <w:rFonts w:ascii="Arial" w:hAnsi="Arial" w:cs="Arial"/>
                <w:sz w:val="16"/>
                <w:szCs w:val="16"/>
              </w:rPr>
              <w:br/>
              <w:t>Patient must be receiving treatment with this drug for this condition at the time of application; AND</w:t>
            </w:r>
            <w:r w:rsidRPr="00037848">
              <w:rPr>
                <w:rFonts w:ascii="Arial" w:hAnsi="Arial" w:cs="Arial"/>
                <w:sz w:val="16"/>
                <w:szCs w:val="16"/>
              </w:rPr>
              <w:br/>
              <w:t>Patient must be under the care of the same physician for at least 6 months; OR</w:t>
            </w:r>
            <w:r w:rsidRPr="00037848">
              <w:rPr>
                <w:rFonts w:ascii="Arial" w:hAnsi="Arial" w:cs="Arial"/>
                <w:sz w:val="16"/>
                <w:szCs w:val="16"/>
              </w:rPr>
              <w:br/>
              <w:t>Patient must have been diagnosed with severe asthma by a multidisciplinary severe asthma clinic team; AND</w:t>
            </w:r>
            <w:r w:rsidRPr="00037848">
              <w:rPr>
                <w:rFonts w:ascii="Arial" w:hAnsi="Arial" w:cs="Arial"/>
                <w:sz w:val="16"/>
                <w:szCs w:val="16"/>
              </w:rPr>
              <w:br/>
              <w:t>Patient must have had, prior to commencement of this drug,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037848">
              <w:rPr>
                <w:rFonts w:ascii="Arial" w:hAnsi="Arial" w:cs="Arial"/>
                <w:sz w:val="16"/>
                <w:szCs w:val="16"/>
              </w:rPr>
              <w:br/>
              <w:t>Patient must have had, prior to commencement of this drug, a diagnosis of asthma from at least two physicians experienced in the management of patients with severe asthma; AND</w:t>
            </w:r>
            <w:r w:rsidRPr="00037848">
              <w:rPr>
                <w:rFonts w:ascii="Arial" w:hAnsi="Arial" w:cs="Arial"/>
                <w:sz w:val="16"/>
                <w:szCs w:val="16"/>
              </w:rPr>
              <w:br/>
              <w:t>Patient must have had a blood eosinophil count greater than or equal to 300 cells per microlitre prior to commencement of a biological medicine treatment for severe asthma; OR</w:t>
            </w:r>
            <w:r w:rsidRPr="00037848">
              <w:rPr>
                <w:rFonts w:ascii="Arial" w:hAnsi="Arial" w:cs="Arial"/>
                <w:sz w:val="16"/>
                <w:szCs w:val="16"/>
              </w:rPr>
              <w:br/>
              <w:t>Patient must have had a blood eosinophil count greater than or equal to 150 cells per microlitre while receiving treatment with oral corticosteroids prior to commencement of a biological medicine treatment for severe asthma; AND</w:t>
            </w:r>
            <w:r w:rsidRPr="00037848">
              <w:rPr>
                <w:rFonts w:ascii="Arial" w:hAnsi="Arial" w:cs="Arial"/>
                <w:sz w:val="16"/>
                <w:szCs w:val="16"/>
              </w:rPr>
              <w:br/>
              <w:t>Patient must have had a duration of asthma of at least 1 year prior to commencement of this biological medicine; AND</w:t>
            </w:r>
            <w:r w:rsidRPr="00037848">
              <w:rPr>
                <w:rFonts w:ascii="Arial" w:hAnsi="Arial" w:cs="Arial"/>
                <w:sz w:val="16"/>
                <w:szCs w:val="16"/>
              </w:rPr>
              <w:br/>
              <w:t>Patient must have failed to achieve adequate control with optimised asthma therapy prior to commencement of this biological medicine despite formal assessment of and adherence to correct inhaler technique, which has been documented; AND</w:t>
            </w:r>
            <w:r w:rsidRPr="00037848">
              <w:rPr>
                <w:rFonts w:ascii="Arial" w:hAnsi="Arial" w:cs="Arial"/>
                <w:sz w:val="16"/>
                <w:szCs w:val="16"/>
              </w:rPr>
              <w:br/>
              <w:t>The treatment must not be used in combination with and within 4 weeks of another PBS-subsidised biological medicine prescribed for severe asthma.</w:t>
            </w:r>
            <w:r w:rsidRPr="00037848">
              <w:rPr>
                <w:rFonts w:ascii="Arial" w:hAnsi="Arial" w:cs="Arial"/>
                <w:sz w:val="16"/>
                <w:szCs w:val="16"/>
              </w:rPr>
              <w:br/>
              <w:t>Must be treated by a respiratory physician, clinical immunologist, allergist or general physician experienced in the management of patients with severe asthma.</w:t>
            </w:r>
            <w:r w:rsidRPr="00037848">
              <w:rPr>
                <w:rFonts w:ascii="Arial" w:hAnsi="Arial" w:cs="Arial"/>
                <w:sz w:val="16"/>
                <w:szCs w:val="16"/>
              </w:rPr>
              <w:br/>
              <w:t>Patient must be aged 12 years or older.</w:t>
            </w:r>
            <w:r w:rsidRPr="00037848">
              <w:rPr>
                <w:rFonts w:ascii="Arial" w:hAnsi="Arial" w:cs="Arial"/>
                <w:sz w:val="16"/>
                <w:szCs w:val="16"/>
              </w:rPr>
              <w:br/>
              <w:t>Optimised asthma therapy includes:</w:t>
            </w:r>
            <w:r w:rsidRPr="00037848">
              <w:rPr>
                <w:rFonts w:ascii="Arial" w:hAnsi="Arial" w:cs="Arial"/>
                <w:sz w:val="16"/>
                <w:szCs w:val="16"/>
              </w:rPr>
              <w:br/>
              <w:t>(i) Adherence to maximal inhaled therapy, including high dose inhaled corticosteroid (ICS) plus long-acting beta-2 agonist (LABA) therapy for at least 12 months, unless contraindicated or not tolerated;</w:t>
            </w:r>
            <w:r w:rsidRPr="00037848">
              <w:rPr>
                <w:rFonts w:ascii="Arial" w:hAnsi="Arial" w:cs="Arial"/>
                <w:sz w:val="16"/>
                <w:szCs w:val="16"/>
              </w:rPr>
              <w:br/>
              <w:t>AND</w:t>
            </w:r>
            <w:r w:rsidRPr="00037848">
              <w:rPr>
                <w:rFonts w:ascii="Arial" w:hAnsi="Arial" w:cs="Arial"/>
                <w:sz w:val="16"/>
                <w:szCs w:val="16"/>
              </w:rPr>
              <w:br/>
              <w:t>(ii) treatment with oral corticosteroids, either daily oral corticosteroids for at least 6 weeks, OR a cumulative dose of oral corticosteroids of at least 500 mg prednisolone equivalent in the 12 months prior to commencing treatment with a biological medicine for severe asthma, unless contraindicated or not tolerated.</w:t>
            </w:r>
            <w:r w:rsidRPr="00037848">
              <w:rPr>
                <w:rFonts w:ascii="Arial" w:hAnsi="Arial" w:cs="Arial"/>
                <w:sz w:val="16"/>
                <w:szCs w:val="16"/>
              </w:rPr>
              <w:br/>
              <w:t>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 (if not already provided).</w:t>
            </w:r>
            <w:r w:rsidRPr="00037848">
              <w:rPr>
                <w:rFonts w:ascii="Arial" w:hAnsi="Arial" w:cs="Arial"/>
                <w:sz w:val="16"/>
                <w:szCs w:val="16"/>
              </w:rPr>
              <w:br/>
              <w:t>The following initiation criteria indicate failure to achieve adequate control with optimised asthma therapy and must be declared to have been met at the time of the application:</w:t>
            </w:r>
            <w:r w:rsidRPr="00037848">
              <w:rPr>
                <w:rFonts w:ascii="Arial" w:hAnsi="Arial" w:cs="Arial"/>
                <w:sz w:val="16"/>
                <w:szCs w:val="16"/>
              </w:rPr>
              <w:br/>
              <w:t>(a) an Asthma Control Questionnaire (ACQ-5) score of at least 2.0 prior to commencement with a biological medicine for severe asthma; AND</w:t>
            </w:r>
            <w:r w:rsidRPr="00037848">
              <w:rPr>
                <w:rFonts w:ascii="Arial" w:hAnsi="Arial" w:cs="Arial"/>
                <w:sz w:val="16"/>
                <w:szCs w:val="16"/>
              </w:rPr>
              <w:br/>
              <w:t>(b) while receiving optimised asthma therapy in the 12 months prior to commencing treatment with a biological medicine for severe asthma,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037848">
              <w:rPr>
                <w:rFonts w:ascii="Arial" w:hAnsi="Arial" w:cs="Arial"/>
                <w:sz w:val="16"/>
                <w:szCs w:val="16"/>
              </w:rPr>
              <w:br/>
              <w:t>An Asthma Control Questionnaire (5 item version) assessment and/or an assessment of a reduction in the patient</w:t>
            </w:r>
            <w:r w:rsidR="00A653CA">
              <w:rPr>
                <w:rFonts w:ascii="Arial" w:hAnsi="Arial" w:cs="Arial"/>
                <w:sz w:val="16"/>
                <w:szCs w:val="16"/>
              </w:rPr>
              <w:t>’</w:t>
            </w:r>
            <w:r w:rsidRPr="00037848">
              <w:rPr>
                <w:rFonts w:ascii="Arial" w:hAnsi="Arial" w:cs="Arial"/>
                <w:sz w:val="16"/>
                <w:szCs w:val="16"/>
              </w:rPr>
              <w:t>s maintenance oral corticosteroid dose to determine whether the patient has achieved or sustained an adequate response to non-PBS-subsidised treatment, must be conducted immediately (no later than 4 weeks after the last dose of non-PBS-subsidised treatment) prior to this application if the treatment duration has been 28 weeks or greater.</w:t>
            </w:r>
            <w:r w:rsidRPr="00037848">
              <w:rPr>
                <w:rFonts w:ascii="Arial" w:hAnsi="Arial" w:cs="Arial"/>
                <w:sz w:val="16"/>
                <w:szCs w:val="16"/>
              </w:rPr>
              <w:br/>
              <w:t>If a patient fails to demonstrate a response to treatment with this drug they will not be eligible to receive further PBS-subsidised treatment with this drug for this condition within the same treatment cycle.</w:t>
            </w:r>
            <w:r w:rsidRPr="00037848">
              <w:rPr>
                <w:rFonts w:ascii="Arial" w:hAnsi="Arial" w:cs="Arial"/>
                <w:sz w:val="16"/>
                <w:szCs w:val="16"/>
              </w:rPr>
              <w:br/>
              <w:t>A treatment break in PBS-subsidised biological medicine therapy of at least 12 months must be observed in a patient who has either failed to achieve or sustain a response to treatment with 3 biological medicines within the same treatment cycle.</w:t>
            </w:r>
            <w:r w:rsidRPr="00037848">
              <w:rPr>
                <w:rFonts w:ascii="Arial" w:hAnsi="Arial" w:cs="Arial"/>
                <w:sz w:val="16"/>
                <w:szCs w:val="16"/>
              </w:rPr>
              <w:br/>
              <w:t>The length of the break in therapy is measured from the date the most recent treatment with a PBS-subsidised biological medicine was administered until the date of the first application for recommencement of treatment with a biological medicine under the new treatment cycle.</w:t>
            </w:r>
            <w:r w:rsidRPr="00037848">
              <w:rPr>
                <w:rFonts w:ascii="Arial" w:hAnsi="Arial" w:cs="Arial"/>
                <w:sz w:val="16"/>
                <w:szCs w:val="16"/>
              </w:rPr>
              <w:br/>
              <w:t>There is no limit to the number of treatment cycles that a patient may undertake in their lifetime.</w:t>
            </w:r>
            <w:r w:rsidRPr="00037848">
              <w:rPr>
                <w:rFonts w:ascii="Arial" w:hAnsi="Arial" w:cs="Arial"/>
                <w:sz w:val="16"/>
                <w:szCs w:val="16"/>
              </w:rPr>
              <w:br/>
              <w:t>A multidisciplinary severe asthma clinic team comprises of:</w:t>
            </w:r>
            <w:r w:rsidRPr="00037848">
              <w:rPr>
                <w:rFonts w:ascii="Arial" w:hAnsi="Arial" w:cs="Arial"/>
                <w:sz w:val="16"/>
                <w:szCs w:val="16"/>
              </w:rPr>
              <w:br/>
              <w:t>A respiratory physician; and</w:t>
            </w:r>
            <w:r w:rsidRPr="00037848">
              <w:rPr>
                <w:rFonts w:ascii="Arial" w:hAnsi="Arial" w:cs="Arial"/>
                <w:sz w:val="16"/>
                <w:szCs w:val="16"/>
              </w:rPr>
              <w:br/>
              <w:t>A pharmacist, nurse or asthma educator.</w:t>
            </w:r>
            <w:r w:rsidRPr="00037848">
              <w:rPr>
                <w:rFonts w:ascii="Arial" w:hAnsi="Arial" w:cs="Arial"/>
                <w:sz w:val="16"/>
                <w:szCs w:val="16"/>
              </w:rPr>
              <w:br/>
              <w:t>An adequate response to this biological medicine is defined as:</w:t>
            </w:r>
            <w:r w:rsidRPr="00037848">
              <w:rPr>
                <w:rFonts w:ascii="Arial" w:hAnsi="Arial" w:cs="Arial"/>
                <w:sz w:val="16"/>
                <w:szCs w:val="16"/>
              </w:rPr>
              <w:br/>
              <w:t>(a) a reduction in the Asthma Control Questionnaire (ACQ-5) score of at least 0.5 from baseline,</w:t>
            </w:r>
            <w:r w:rsidRPr="00037848">
              <w:rPr>
                <w:rFonts w:ascii="Arial" w:hAnsi="Arial" w:cs="Arial"/>
                <w:sz w:val="16"/>
                <w:szCs w:val="16"/>
              </w:rPr>
              <w:br/>
              <w:t>OR</w:t>
            </w:r>
            <w:r w:rsidRPr="00037848">
              <w:rPr>
                <w:rFonts w:ascii="Arial" w:hAnsi="Arial" w:cs="Arial"/>
                <w:sz w:val="16"/>
                <w:szCs w:val="16"/>
              </w:rPr>
              <w:br/>
              <w:t>(b) maintenance oral corticosteroid dose reduced by at least 25% from baseline, and no deterioration in ACQ-5 score from baseline or an increase in ACQ-5 score from baseline less than or equal to 0.5.</w:t>
            </w:r>
            <w:r w:rsidRPr="00037848">
              <w:rPr>
                <w:rFonts w:ascii="Arial" w:hAnsi="Arial" w:cs="Arial"/>
                <w:sz w:val="16"/>
                <w:szCs w:val="16"/>
              </w:rPr>
              <w:br/>
              <w:t>A Grandfathered patient may qualify for PBS-subsidised treatment under this restriction once only. For continuing PBS-subsidised treatment, a Grandfathered patient must qualify under the continuing treatment criteria.</w:t>
            </w:r>
            <w:r w:rsidRPr="00037848">
              <w:rPr>
                <w:rFonts w:ascii="Arial" w:hAnsi="Arial" w:cs="Arial"/>
                <w:sz w:val="16"/>
                <w:szCs w:val="16"/>
              </w:rPr>
              <w:br/>
              <w:t>The authority application must be made in writing and must include:</w:t>
            </w:r>
            <w:r w:rsidRPr="00037848">
              <w:rPr>
                <w:rFonts w:ascii="Arial" w:hAnsi="Arial" w:cs="Arial"/>
                <w:sz w:val="16"/>
                <w:szCs w:val="16"/>
              </w:rPr>
              <w:br/>
              <w:t>(a) a completed authority prescription form; and</w:t>
            </w:r>
            <w:r w:rsidRPr="00037848">
              <w:rPr>
                <w:rFonts w:ascii="Arial" w:hAnsi="Arial" w:cs="Arial"/>
                <w:sz w:val="16"/>
                <w:szCs w:val="16"/>
              </w:rPr>
              <w:br/>
              <w:t>(b) a completed Severe Eosinophilic Asthma Grandfather PBS Authority Application - Supporting Information Form which seeks details of the following (if not already provided):</w:t>
            </w:r>
            <w:r w:rsidRPr="00037848">
              <w:rPr>
                <w:rFonts w:ascii="Arial" w:hAnsi="Arial" w:cs="Arial"/>
                <w:sz w:val="16"/>
                <w:szCs w:val="16"/>
              </w:rPr>
              <w:br/>
              <w:t>(i) prior optimised asthma drug therapy (date of commencement and duration of therapy); and</w:t>
            </w:r>
            <w:r w:rsidRPr="00037848">
              <w:rPr>
                <w:rFonts w:ascii="Arial" w:hAnsi="Arial" w:cs="Arial"/>
                <w:sz w:val="16"/>
                <w:szCs w:val="16"/>
              </w:rPr>
              <w:br/>
              <w:t>(ii) eosinophil pathology report (eosinophil counts and dates); and</w:t>
            </w:r>
            <w:r w:rsidRPr="00037848">
              <w:rPr>
                <w:rFonts w:ascii="Arial" w:hAnsi="Arial" w:cs="Arial"/>
                <w:sz w:val="16"/>
                <w:szCs w:val="16"/>
              </w:rPr>
              <w:br/>
              <w:t>(iii) ACQ-5 scores including the date of assessment of the patient</w:t>
            </w:r>
            <w:r w:rsidR="00A653CA">
              <w:rPr>
                <w:rFonts w:ascii="Arial" w:hAnsi="Arial" w:cs="Arial"/>
                <w:sz w:val="16"/>
                <w:szCs w:val="16"/>
              </w:rPr>
              <w:t>’</w:t>
            </w:r>
            <w:r w:rsidRPr="00037848">
              <w:rPr>
                <w:rFonts w:ascii="Arial" w:hAnsi="Arial" w:cs="Arial"/>
                <w:sz w:val="16"/>
                <w:szCs w:val="16"/>
              </w:rPr>
              <w:t>s symptoms, or details of the maintenance oral corticosteroid dose.</w:t>
            </w:r>
          </w:p>
        </w:tc>
        <w:tc>
          <w:tcPr>
            <w:tcW w:w="2552" w:type="dxa"/>
            <w:tcMar>
              <w:top w:w="28" w:type="dxa"/>
              <w:left w:w="28" w:type="dxa"/>
              <w:right w:w="57" w:type="dxa"/>
            </w:tcMar>
          </w:tcPr>
          <w:p w:rsidR="00592D6B" w:rsidRPr="00E106BD" w:rsidRDefault="00592D6B" w:rsidP="00D76748">
            <w:pPr>
              <w:keepNext/>
              <w:spacing w:line="240" w:lineRule="auto"/>
              <w:rPr>
                <w:rFonts w:ascii="Arial" w:eastAsia="SimSun" w:hAnsi="Arial" w:cs="Arial"/>
                <w:sz w:val="16"/>
                <w:szCs w:val="16"/>
                <w:lang w:eastAsia="zh-CN"/>
              </w:rPr>
            </w:pPr>
            <w:r w:rsidRPr="00037848">
              <w:rPr>
                <w:rFonts w:ascii="Arial" w:hAnsi="Arial" w:cs="Arial"/>
                <w:sz w:val="16"/>
                <w:szCs w:val="16"/>
              </w:rPr>
              <w:t>Compliance with Written Authority Required procedures</w:t>
            </w:r>
          </w:p>
        </w:tc>
      </w:tr>
      <w:tr w:rsidR="00592D6B" w:rsidRPr="00E106BD" w:rsidDel="00FE20B2"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037848">
              <w:rPr>
                <w:rFonts w:ascii="Arial" w:hAnsi="Arial" w:cs="Arial"/>
                <w:sz w:val="16"/>
                <w:szCs w:val="16"/>
              </w:rPr>
              <w:t>C10484</w:t>
            </w:r>
          </w:p>
        </w:tc>
        <w:tc>
          <w:tcPr>
            <w:tcW w:w="709" w:type="dxa"/>
            <w:tcMar>
              <w:top w:w="28" w:type="dxa"/>
              <w:left w:w="28" w:type="dxa"/>
            </w:tcMar>
          </w:tcPr>
          <w:p w:rsidR="00592D6B" w:rsidRPr="00E106BD" w:rsidRDefault="00592D6B" w:rsidP="00881477">
            <w:pPr>
              <w:spacing w:line="240" w:lineRule="auto"/>
              <w:rPr>
                <w:rFonts w:ascii="Arial" w:hAnsi="Arial" w:cs="Arial"/>
                <w:sz w:val="16"/>
                <w:szCs w:val="16"/>
                <w:lang w:eastAsia="en-AU"/>
              </w:rPr>
            </w:pPr>
            <w:r w:rsidRPr="00037848">
              <w:rPr>
                <w:rFonts w:ascii="Arial" w:hAnsi="Arial" w:cs="Arial"/>
                <w:sz w:val="16"/>
                <w:szCs w:val="16"/>
              </w:rPr>
              <w:t>P10484</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037848">
              <w:rPr>
                <w:rFonts w:ascii="Arial" w:hAnsi="Arial" w:cs="Arial"/>
                <w:sz w:val="16"/>
                <w:szCs w:val="16"/>
              </w:rPr>
              <w:t>Uncontrolled severe eosinophilic asthma</w:t>
            </w:r>
            <w:r w:rsidRPr="00037848">
              <w:rPr>
                <w:rFonts w:ascii="Arial" w:hAnsi="Arial" w:cs="Arial"/>
                <w:sz w:val="16"/>
                <w:szCs w:val="16"/>
              </w:rPr>
              <w:br/>
              <w:t>Grandfather treatment - use in a patient initiated with non-PBS-subsidised pre-filled syringe or pen device</w:t>
            </w:r>
            <w:r w:rsidRPr="00037848">
              <w:rPr>
                <w:rFonts w:ascii="Arial" w:hAnsi="Arial" w:cs="Arial"/>
                <w:sz w:val="16"/>
                <w:szCs w:val="16"/>
              </w:rPr>
              <w:br/>
              <w:t>Patient must have received non-PBS-subsidised treatment with this biological medicine</w:t>
            </w:r>
            <w:r w:rsidR="00A653CA">
              <w:rPr>
                <w:rFonts w:ascii="Arial" w:hAnsi="Arial" w:cs="Arial"/>
                <w:sz w:val="16"/>
                <w:szCs w:val="16"/>
              </w:rPr>
              <w:t>’</w:t>
            </w:r>
            <w:r w:rsidRPr="00037848">
              <w:rPr>
                <w:rFonts w:ascii="Arial" w:hAnsi="Arial" w:cs="Arial"/>
                <w:sz w:val="16"/>
                <w:szCs w:val="16"/>
              </w:rPr>
              <w:t>s pre-filled syringe or pen device for this PBS-indication prior to 1 June 2020; AND</w:t>
            </w:r>
            <w:r w:rsidRPr="00037848">
              <w:rPr>
                <w:rFonts w:ascii="Arial" w:hAnsi="Arial" w:cs="Arial"/>
                <w:sz w:val="16"/>
                <w:szCs w:val="16"/>
              </w:rPr>
              <w:br/>
              <w:t>Patient must have demonstrated or sustained an adequate response to treatment with this biological medicine if the patient has received at least the week 28 dose of this biological medicine; AND</w:t>
            </w:r>
            <w:r w:rsidRPr="00037848">
              <w:rPr>
                <w:rFonts w:ascii="Arial" w:hAnsi="Arial" w:cs="Arial"/>
                <w:sz w:val="16"/>
                <w:szCs w:val="16"/>
              </w:rPr>
              <w:br/>
              <w:t>Patient must be receiving treatment with this drug for this condition at the time of application; AND</w:t>
            </w:r>
            <w:r w:rsidRPr="00037848">
              <w:rPr>
                <w:rFonts w:ascii="Arial" w:hAnsi="Arial" w:cs="Arial"/>
                <w:sz w:val="16"/>
                <w:szCs w:val="16"/>
              </w:rPr>
              <w:br/>
              <w:t>Patient must be under the care of the same physician for at least 6 months; OR</w:t>
            </w:r>
            <w:r w:rsidRPr="00037848">
              <w:rPr>
                <w:rFonts w:ascii="Arial" w:hAnsi="Arial" w:cs="Arial"/>
                <w:sz w:val="16"/>
                <w:szCs w:val="16"/>
              </w:rPr>
              <w:br/>
              <w:t>Patient must have been diagnosed with severe asthma by a multidisciplinary severe asthma clinic team; AND</w:t>
            </w:r>
            <w:r w:rsidRPr="00037848">
              <w:rPr>
                <w:rFonts w:ascii="Arial" w:hAnsi="Arial" w:cs="Arial"/>
                <w:sz w:val="16"/>
                <w:szCs w:val="16"/>
              </w:rPr>
              <w:br/>
              <w:t>Patient must have had, prior to commencement of this drug,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037848">
              <w:rPr>
                <w:rFonts w:ascii="Arial" w:hAnsi="Arial" w:cs="Arial"/>
                <w:sz w:val="16"/>
                <w:szCs w:val="16"/>
              </w:rPr>
              <w:br/>
              <w:t>Patient must have had, prior to commencement of this drug, a diagnosis of asthma from at least two physicians experienced in the management of patients with severe asthma; AND</w:t>
            </w:r>
            <w:r w:rsidRPr="00037848">
              <w:rPr>
                <w:rFonts w:ascii="Arial" w:hAnsi="Arial" w:cs="Arial"/>
                <w:sz w:val="16"/>
                <w:szCs w:val="16"/>
              </w:rPr>
              <w:br/>
              <w:t>Patient must have had a blood eosinophil count greater than or equal to 300 cells per microlitre prior to commencement of a biological medicine treatment for severe asthma; OR</w:t>
            </w:r>
            <w:r w:rsidRPr="00037848">
              <w:rPr>
                <w:rFonts w:ascii="Arial" w:hAnsi="Arial" w:cs="Arial"/>
                <w:sz w:val="16"/>
                <w:szCs w:val="16"/>
              </w:rPr>
              <w:br/>
              <w:t>Patient must have had a blood eosinophil count greater than or equal to 150 cells per microlitre while receiving treatment with oral corticosteroids prior to commencement of a biological medicine treatment for severe asthma; AND</w:t>
            </w:r>
            <w:r w:rsidRPr="00037848">
              <w:rPr>
                <w:rFonts w:ascii="Arial" w:hAnsi="Arial" w:cs="Arial"/>
                <w:sz w:val="16"/>
                <w:szCs w:val="16"/>
              </w:rPr>
              <w:br/>
              <w:t>Patient must have had a duration of asthma of at least 1 year prior to commencement of this biological medicine; AND</w:t>
            </w:r>
            <w:r w:rsidRPr="00037848">
              <w:rPr>
                <w:rFonts w:ascii="Arial" w:hAnsi="Arial" w:cs="Arial"/>
                <w:sz w:val="16"/>
                <w:szCs w:val="16"/>
              </w:rPr>
              <w:br/>
              <w:t>Patient must have failed to achieve adequate control with optimised asthma therapy prior to commencement of this biological medicine despite formal assessment of and adherence to correct inhaler technique, which has been documented; AND</w:t>
            </w:r>
            <w:r w:rsidRPr="00037848">
              <w:rPr>
                <w:rFonts w:ascii="Arial" w:hAnsi="Arial" w:cs="Arial"/>
                <w:sz w:val="16"/>
                <w:szCs w:val="16"/>
              </w:rPr>
              <w:br/>
              <w:t>The treatment must not be used in combination with and within 4 weeks of another PBS-subsidised biological medicine prescribed for severe asthma.</w:t>
            </w:r>
            <w:r w:rsidRPr="00037848">
              <w:rPr>
                <w:rFonts w:ascii="Arial" w:hAnsi="Arial" w:cs="Arial"/>
                <w:sz w:val="16"/>
                <w:szCs w:val="16"/>
              </w:rPr>
              <w:br/>
              <w:t>Must be treated by a respiratory physician, clinical immunologist, allergist or general physician experienced in the management of patients with severe asthma.</w:t>
            </w:r>
            <w:r w:rsidRPr="00037848">
              <w:rPr>
                <w:rFonts w:ascii="Arial" w:hAnsi="Arial" w:cs="Arial"/>
                <w:sz w:val="16"/>
                <w:szCs w:val="16"/>
              </w:rPr>
              <w:br/>
              <w:t>Patient must be aged 12 years or older.</w:t>
            </w:r>
            <w:r w:rsidRPr="00037848">
              <w:rPr>
                <w:rFonts w:ascii="Arial" w:hAnsi="Arial" w:cs="Arial"/>
                <w:sz w:val="16"/>
                <w:szCs w:val="16"/>
              </w:rPr>
              <w:br/>
              <w:t>Optimised asthma therapy includes:</w:t>
            </w:r>
            <w:r w:rsidRPr="00037848">
              <w:rPr>
                <w:rFonts w:ascii="Arial" w:hAnsi="Arial" w:cs="Arial"/>
                <w:sz w:val="16"/>
                <w:szCs w:val="16"/>
              </w:rPr>
              <w:br/>
              <w:t>(i) Adherence to maximal inhaled therapy, including high dose inhaled corticosteroid (ICS) plus long-acting beta-2 agonist (LABA) therapy for at least 12 months, unless contraindicated or not tolerated;</w:t>
            </w:r>
            <w:r w:rsidRPr="00037848">
              <w:rPr>
                <w:rFonts w:ascii="Arial" w:hAnsi="Arial" w:cs="Arial"/>
                <w:sz w:val="16"/>
                <w:szCs w:val="16"/>
              </w:rPr>
              <w:br/>
              <w:t>AND</w:t>
            </w:r>
            <w:r w:rsidRPr="00037848">
              <w:rPr>
                <w:rFonts w:ascii="Arial" w:hAnsi="Arial" w:cs="Arial"/>
                <w:sz w:val="16"/>
                <w:szCs w:val="16"/>
              </w:rPr>
              <w:br/>
              <w:t>(ii) treatment with oral corticosteroids, either daily oral corticosteroids for at least 6 weeks, OR a cumulative dose of oral corticosteroids of at least 500 mg prednisolone equivalent in the 12 months prior to commencing treatment with a biological medicine for severe asthma, unless contraindicated or not tolerated.</w:t>
            </w:r>
            <w:r w:rsidRPr="00037848">
              <w:rPr>
                <w:rFonts w:ascii="Arial" w:hAnsi="Arial" w:cs="Arial"/>
                <w:sz w:val="16"/>
                <w:szCs w:val="16"/>
              </w:rPr>
              <w:br/>
              <w:t>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 (if not already provided).</w:t>
            </w:r>
            <w:r w:rsidRPr="00037848">
              <w:rPr>
                <w:rFonts w:ascii="Arial" w:hAnsi="Arial" w:cs="Arial"/>
                <w:sz w:val="16"/>
                <w:szCs w:val="16"/>
              </w:rPr>
              <w:br/>
              <w:t>The following initiation criteria indicate failure to achieve adequate control with optimised asthma therapy and must be declared to have been met at the time of the application:</w:t>
            </w:r>
            <w:r w:rsidRPr="00037848">
              <w:rPr>
                <w:rFonts w:ascii="Arial" w:hAnsi="Arial" w:cs="Arial"/>
                <w:sz w:val="16"/>
                <w:szCs w:val="16"/>
              </w:rPr>
              <w:br/>
              <w:t>(a) an Asthma Control Questionnaire (ACQ-5) score of at least 2.0 prior to commencement with a biological medicine for severe asthma; AND</w:t>
            </w:r>
            <w:r w:rsidRPr="00037848">
              <w:rPr>
                <w:rFonts w:ascii="Arial" w:hAnsi="Arial" w:cs="Arial"/>
                <w:sz w:val="16"/>
                <w:szCs w:val="16"/>
              </w:rPr>
              <w:br/>
              <w:t>(b) while receiving optimised asthma therapy in the 12 months prior to commencing treatment with a biological medicine for severe asthma,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037848">
              <w:rPr>
                <w:rFonts w:ascii="Arial" w:hAnsi="Arial" w:cs="Arial"/>
                <w:sz w:val="16"/>
                <w:szCs w:val="16"/>
              </w:rPr>
              <w:br/>
              <w:t>An Asthma Control Questionnaire (5 item version) assessment and/or an assessment of a reduction in the patient</w:t>
            </w:r>
            <w:r w:rsidR="00A653CA">
              <w:rPr>
                <w:rFonts w:ascii="Arial" w:hAnsi="Arial" w:cs="Arial"/>
                <w:sz w:val="16"/>
                <w:szCs w:val="16"/>
              </w:rPr>
              <w:t>’</w:t>
            </w:r>
            <w:r w:rsidRPr="00037848">
              <w:rPr>
                <w:rFonts w:ascii="Arial" w:hAnsi="Arial" w:cs="Arial"/>
                <w:sz w:val="16"/>
                <w:szCs w:val="16"/>
              </w:rPr>
              <w:t>s maintenance oral corticosteroid dose to determine whether the patient has achieved or sustained an adequate response to non-PBS-subsidised treatment, must be conducted immediately (no later than 4 weeks after the last dose of non-PBS-subsidised treatment) prior to this application if the treatment duration has been 28 weeks or greater.</w:t>
            </w:r>
            <w:r w:rsidRPr="00037848">
              <w:rPr>
                <w:rFonts w:ascii="Arial" w:hAnsi="Arial" w:cs="Arial"/>
                <w:sz w:val="16"/>
                <w:szCs w:val="16"/>
              </w:rPr>
              <w:br/>
              <w:t>If a patient fails to demonstrate a response to treatment with this drug they will not be eligible to receive further PBS-subsidised treatment with this drug for this condition within the same treatment cycle.</w:t>
            </w:r>
            <w:r w:rsidRPr="00037848">
              <w:rPr>
                <w:rFonts w:ascii="Arial" w:hAnsi="Arial" w:cs="Arial"/>
                <w:sz w:val="16"/>
                <w:szCs w:val="16"/>
              </w:rPr>
              <w:br/>
              <w:t>A treatment break in PBS-subsidised biological medicine therapy of at least 12 months must be observed in a patient who has either failed to achieve or sustain a response to treatment with 3 biological medicines within the same treatment cycle.</w:t>
            </w:r>
            <w:r w:rsidRPr="00037848">
              <w:rPr>
                <w:rFonts w:ascii="Arial" w:hAnsi="Arial" w:cs="Arial"/>
                <w:sz w:val="16"/>
                <w:szCs w:val="16"/>
              </w:rPr>
              <w:br/>
              <w:t>The length of the break in therapy is measured from the date the most recent treatment with a PBS-subsidised biological medicine was administered until the date of the first application for recommencement of treatment with a biological medicine under the new treatment cycle.</w:t>
            </w:r>
            <w:r w:rsidRPr="00037848">
              <w:rPr>
                <w:rFonts w:ascii="Arial" w:hAnsi="Arial" w:cs="Arial"/>
                <w:sz w:val="16"/>
                <w:szCs w:val="16"/>
              </w:rPr>
              <w:br/>
              <w:t>There is no limit to the number of treatment cycles that a patient may undertake in their lifetime.</w:t>
            </w:r>
            <w:r w:rsidRPr="00037848">
              <w:rPr>
                <w:rFonts w:ascii="Arial" w:hAnsi="Arial" w:cs="Arial"/>
                <w:sz w:val="16"/>
                <w:szCs w:val="16"/>
              </w:rPr>
              <w:br/>
              <w:t>A multidisciplinary severe asthma clinic team comprises of:</w:t>
            </w:r>
            <w:r w:rsidRPr="00037848">
              <w:rPr>
                <w:rFonts w:ascii="Arial" w:hAnsi="Arial" w:cs="Arial"/>
                <w:sz w:val="16"/>
                <w:szCs w:val="16"/>
              </w:rPr>
              <w:br/>
              <w:t>A respiratory physician; and</w:t>
            </w:r>
            <w:r w:rsidRPr="00037848">
              <w:rPr>
                <w:rFonts w:ascii="Arial" w:hAnsi="Arial" w:cs="Arial"/>
                <w:sz w:val="16"/>
                <w:szCs w:val="16"/>
              </w:rPr>
              <w:br/>
              <w:t>A pharmacist, nurse or asthma educator.</w:t>
            </w:r>
            <w:r w:rsidRPr="00037848">
              <w:rPr>
                <w:rFonts w:ascii="Arial" w:hAnsi="Arial" w:cs="Arial"/>
                <w:sz w:val="16"/>
                <w:szCs w:val="16"/>
              </w:rPr>
              <w:br/>
              <w:t>An adequate response to this biological medicine is defined as:</w:t>
            </w:r>
            <w:r w:rsidRPr="00037848">
              <w:rPr>
                <w:rFonts w:ascii="Arial" w:hAnsi="Arial" w:cs="Arial"/>
                <w:sz w:val="16"/>
                <w:szCs w:val="16"/>
              </w:rPr>
              <w:br/>
              <w:t>(a) a reduction in the Asthma Control Questionnaire (ACQ-5) score of at least 0.5 from baseline,</w:t>
            </w:r>
            <w:r w:rsidRPr="00037848">
              <w:rPr>
                <w:rFonts w:ascii="Arial" w:hAnsi="Arial" w:cs="Arial"/>
                <w:sz w:val="16"/>
                <w:szCs w:val="16"/>
              </w:rPr>
              <w:br/>
              <w:t>OR</w:t>
            </w:r>
            <w:r w:rsidRPr="00037848">
              <w:rPr>
                <w:rFonts w:ascii="Arial" w:hAnsi="Arial" w:cs="Arial"/>
                <w:sz w:val="16"/>
                <w:szCs w:val="16"/>
              </w:rPr>
              <w:br/>
              <w:t>(b) maintenance oral corticosteroid dose reduced by at least 25% from baseline, and no deterioration in ACQ-5 score from baseline or an increase in ACQ-5 score from baseline less than or equal to 0.5.</w:t>
            </w:r>
            <w:r w:rsidRPr="00037848">
              <w:rPr>
                <w:rFonts w:ascii="Arial" w:hAnsi="Arial" w:cs="Arial"/>
                <w:sz w:val="16"/>
                <w:szCs w:val="16"/>
              </w:rPr>
              <w:br/>
              <w:t>A Grandfathered patient may qualify for PBS-subsidised treatment under this restriction once only. For continuing PBS-subsidised treatment, a Grandfathered patient must qualify under the continuing treatment criteria.</w:t>
            </w:r>
            <w:r w:rsidRPr="00037848">
              <w:rPr>
                <w:rFonts w:ascii="Arial" w:hAnsi="Arial" w:cs="Arial"/>
                <w:sz w:val="16"/>
                <w:szCs w:val="16"/>
              </w:rPr>
              <w:br/>
              <w:t>The authority application must be made in writing and must include:</w:t>
            </w:r>
            <w:r w:rsidRPr="00037848">
              <w:rPr>
                <w:rFonts w:ascii="Arial" w:hAnsi="Arial" w:cs="Arial"/>
                <w:sz w:val="16"/>
                <w:szCs w:val="16"/>
              </w:rPr>
              <w:br/>
              <w:t>(a) a completed authority prescription form; and</w:t>
            </w:r>
            <w:r w:rsidRPr="00037848">
              <w:rPr>
                <w:rFonts w:ascii="Arial" w:hAnsi="Arial" w:cs="Arial"/>
                <w:sz w:val="16"/>
                <w:szCs w:val="16"/>
              </w:rPr>
              <w:br/>
              <w:t>(b) a completed Severe Eosinophilic Asthma Grandfather PBS Authority Application - Supporting Information Form which seeks details of the following (if not already provided):</w:t>
            </w:r>
            <w:r w:rsidRPr="00037848">
              <w:rPr>
                <w:rFonts w:ascii="Arial" w:hAnsi="Arial" w:cs="Arial"/>
                <w:sz w:val="16"/>
                <w:szCs w:val="16"/>
              </w:rPr>
              <w:br/>
              <w:t>(i) prior optimised asthma drug therapy (date of commencement and duration of therapy); and</w:t>
            </w:r>
            <w:r w:rsidRPr="00037848">
              <w:rPr>
                <w:rFonts w:ascii="Arial" w:hAnsi="Arial" w:cs="Arial"/>
                <w:sz w:val="16"/>
                <w:szCs w:val="16"/>
              </w:rPr>
              <w:br/>
              <w:t>(ii) eosinophil pathology report (eosinophil counts and dates); and</w:t>
            </w:r>
            <w:r w:rsidRPr="00037848">
              <w:rPr>
                <w:rFonts w:ascii="Arial" w:hAnsi="Arial" w:cs="Arial"/>
                <w:sz w:val="16"/>
                <w:szCs w:val="16"/>
              </w:rPr>
              <w:br/>
              <w:t>(iii) ACQ-5 scores including the date of assessment of the patient</w:t>
            </w:r>
            <w:r w:rsidR="00A653CA">
              <w:rPr>
                <w:rFonts w:ascii="Arial" w:hAnsi="Arial" w:cs="Arial"/>
                <w:sz w:val="16"/>
                <w:szCs w:val="16"/>
              </w:rPr>
              <w:t>’</w:t>
            </w:r>
            <w:r w:rsidRPr="00037848">
              <w:rPr>
                <w:rFonts w:ascii="Arial" w:hAnsi="Arial" w:cs="Arial"/>
                <w:sz w:val="16"/>
                <w:szCs w:val="16"/>
              </w:rPr>
              <w:t>s symptoms, or details of the maintenance oral corticosteroid dose.</w:t>
            </w:r>
          </w:p>
        </w:tc>
        <w:tc>
          <w:tcPr>
            <w:tcW w:w="2552" w:type="dxa"/>
            <w:tcMar>
              <w:top w:w="28" w:type="dxa"/>
              <w:left w:w="28" w:type="dxa"/>
              <w:right w:w="57" w:type="dxa"/>
            </w:tcMar>
          </w:tcPr>
          <w:p w:rsidR="00592D6B" w:rsidRPr="00E106BD" w:rsidRDefault="00592D6B" w:rsidP="00D76748">
            <w:pPr>
              <w:keepNext/>
              <w:spacing w:line="240" w:lineRule="auto"/>
              <w:rPr>
                <w:rFonts w:ascii="Arial" w:eastAsia="SimSun" w:hAnsi="Arial" w:cs="Arial"/>
                <w:sz w:val="16"/>
                <w:szCs w:val="16"/>
                <w:lang w:eastAsia="zh-CN"/>
              </w:rPr>
            </w:pPr>
            <w:r w:rsidRPr="00037848">
              <w:rPr>
                <w:rFonts w:ascii="Arial" w:hAnsi="Arial" w:cs="Arial"/>
                <w:sz w:val="16"/>
                <w:szCs w:val="16"/>
              </w:rPr>
              <w:t>Compliance with Written Authority Required procedures</w:t>
            </w:r>
          </w:p>
        </w:tc>
      </w:tr>
      <w:tr w:rsidR="00592D6B" w:rsidRPr="00E106BD" w:rsidDel="00FE20B2" w:rsidTr="008929EB">
        <w:trPr>
          <w:cantSplit/>
        </w:trPr>
        <w:tc>
          <w:tcPr>
            <w:tcW w:w="172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Methoxy polyethylene glycol</w:t>
            </w:r>
            <w:r>
              <w:rPr>
                <w:rFonts w:ascii="Arial" w:eastAsia="SimSun" w:hAnsi="Arial" w:cs="Arial"/>
                <w:sz w:val="16"/>
                <w:szCs w:val="16"/>
                <w:lang w:eastAsia="zh-CN"/>
              </w:rPr>
              <w:noBreakHyphen/>
            </w:r>
            <w:r w:rsidRPr="00E106BD">
              <w:rPr>
                <w:rFonts w:ascii="Arial" w:eastAsia="SimSun" w:hAnsi="Arial" w:cs="Arial"/>
                <w:sz w:val="16"/>
                <w:szCs w:val="16"/>
                <w:lang w:eastAsia="zh-CN"/>
              </w:rPr>
              <w:t>epoetin beta</w:t>
            </w:r>
          </w:p>
        </w:tc>
        <w:tc>
          <w:tcPr>
            <w:tcW w:w="70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C6294</w:t>
            </w:r>
          </w:p>
        </w:tc>
        <w:tc>
          <w:tcPr>
            <w:tcW w:w="70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Anaemia associated with intrinsic renal disease</w:t>
            </w:r>
            <w:r w:rsidRPr="00E106BD">
              <w:rPr>
                <w:rFonts w:ascii="Arial" w:eastAsia="SimSun" w:hAnsi="Arial" w:cs="Arial"/>
                <w:sz w:val="16"/>
                <w:szCs w:val="16"/>
                <w:lang w:eastAsia="zh-CN"/>
              </w:rPr>
              <w:br/>
              <w:t>Patient must require transfusion; AND</w:t>
            </w:r>
            <w:r w:rsidRPr="00E106BD">
              <w:rPr>
                <w:rFonts w:ascii="Arial" w:eastAsia="SimSun" w:hAnsi="Arial" w:cs="Arial"/>
                <w:sz w:val="16"/>
                <w:szCs w:val="16"/>
                <w:lang w:eastAsia="zh-CN"/>
              </w:rPr>
              <w:br/>
              <w:t>Patient must have a haemoglobin level of less than 100 g per L; AND</w:t>
            </w:r>
            <w:r w:rsidRPr="00E106BD">
              <w:rPr>
                <w:rFonts w:ascii="Arial" w:eastAsia="SimSun" w:hAnsi="Arial" w:cs="Arial"/>
                <w:sz w:val="16"/>
                <w:szCs w:val="16"/>
                <w:lang w:eastAsia="zh-CN"/>
              </w:rPr>
              <w:br/>
              <w:t>Patient must have intrinsic renal disease, as assessed by a nephrologist.</w:t>
            </w:r>
          </w:p>
        </w:tc>
        <w:tc>
          <w:tcPr>
            <w:tcW w:w="2552" w:type="dxa"/>
            <w:tcMar>
              <w:top w:w="28" w:type="dxa"/>
              <w:left w:w="28" w:type="dxa"/>
              <w:right w:w="57" w:type="dxa"/>
            </w:tcMar>
          </w:tcPr>
          <w:p w:rsidR="00592D6B" w:rsidRPr="00E106BD" w:rsidDel="00FE20B2" w:rsidRDefault="00592D6B" w:rsidP="00D76748">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6294</w:t>
            </w:r>
          </w:p>
        </w:tc>
      </w:tr>
      <w:tr w:rsidR="00592D6B" w:rsidRPr="00E106BD" w:rsidDel="00FE20B2" w:rsidTr="008929EB">
        <w:trPr>
          <w:cantSplit/>
        </w:trPr>
        <w:tc>
          <w:tcPr>
            <w:tcW w:w="172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C9688</w:t>
            </w:r>
          </w:p>
        </w:tc>
        <w:tc>
          <w:tcPr>
            <w:tcW w:w="70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Anaemia associated with intrinsic renal disease</w:t>
            </w:r>
            <w:r w:rsidRPr="00E106BD">
              <w:rPr>
                <w:rFonts w:ascii="Arial" w:eastAsia="SimSun" w:hAnsi="Arial" w:cs="Arial"/>
                <w:sz w:val="16"/>
                <w:szCs w:val="16"/>
                <w:lang w:eastAsia="zh-CN"/>
              </w:rPr>
              <w:br/>
              <w:t>Patient must require transfusion; AND</w:t>
            </w:r>
            <w:r w:rsidRPr="00E106BD">
              <w:rPr>
                <w:rFonts w:ascii="Arial" w:eastAsia="SimSun" w:hAnsi="Arial" w:cs="Arial"/>
                <w:sz w:val="16"/>
                <w:szCs w:val="16"/>
                <w:lang w:eastAsia="zh-CN"/>
              </w:rPr>
              <w:br/>
              <w:t>Patient must have a haemoglobin level of less than 100 g per L; AND</w:t>
            </w:r>
            <w:r w:rsidRPr="00E106BD">
              <w:rPr>
                <w:rFonts w:ascii="Arial" w:eastAsia="SimSun" w:hAnsi="Arial" w:cs="Arial"/>
                <w:sz w:val="16"/>
                <w:szCs w:val="16"/>
                <w:lang w:eastAsia="zh-CN"/>
              </w:rPr>
              <w:br/>
              <w:t>Patient must have intrinsic renal disease, as assessed by a nephrologist.</w:t>
            </w:r>
          </w:p>
        </w:tc>
        <w:tc>
          <w:tcPr>
            <w:tcW w:w="2552" w:type="dxa"/>
            <w:tcMar>
              <w:top w:w="28" w:type="dxa"/>
              <w:left w:w="28" w:type="dxa"/>
              <w:right w:w="57" w:type="dxa"/>
            </w:tcMar>
          </w:tcPr>
          <w:p w:rsidR="00592D6B" w:rsidRPr="00E106BD" w:rsidRDefault="00592D6B" w:rsidP="00D76748">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9688</w:t>
            </w:r>
          </w:p>
        </w:tc>
      </w:tr>
      <w:tr w:rsidR="00592D6B" w:rsidRPr="00E106BD" w:rsidDel="00FE20B2" w:rsidTr="008929EB">
        <w:tc>
          <w:tcPr>
            <w:tcW w:w="172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Midostaurin</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C8138</w:t>
            </w:r>
          </w:p>
        </w:tc>
        <w:tc>
          <w:tcPr>
            <w:tcW w:w="70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P8138</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Acute Myeloid Leukaemia</w:t>
            </w:r>
            <w:r w:rsidRPr="00E106BD">
              <w:rPr>
                <w:rFonts w:ascii="Arial" w:hAnsi="Arial" w:cs="Arial"/>
                <w:sz w:val="16"/>
                <w:szCs w:val="16"/>
              </w:rPr>
              <w:br/>
              <w:t xml:space="preserve">Maintenance therapy </w:t>
            </w:r>
            <w:r>
              <w:rPr>
                <w:rFonts w:ascii="Arial" w:hAnsi="Arial" w:cs="Arial"/>
                <w:sz w:val="16"/>
                <w:szCs w:val="16"/>
              </w:rPr>
              <w:noBreakHyphen/>
            </w:r>
            <w:r w:rsidRPr="00E106BD">
              <w:rPr>
                <w:rFonts w:ascii="Arial" w:hAnsi="Arial" w:cs="Arial"/>
                <w:sz w:val="16"/>
                <w:szCs w:val="16"/>
              </w:rPr>
              <w:t xml:space="preserve"> 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initial maintenance or the initial maintenance grandfathering treatment restriction; AND</w:t>
            </w:r>
            <w:r w:rsidRPr="00E106BD">
              <w:rPr>
                <w:rFonts w:ascii="Arial" w:hAnsi="Arial" w:cs="Arial"/>
                <w:sz w:val="16"/>
                <w:szCs w:val="16"/>
              </w:rPr>
              <w:br/>
              <w:t>Patient must not have developed disease progression while receiving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be undergoing or have undergone a stem cell transplant.</w:t>
            </w:r>
            <w:r w:rsidRPr="00E106BD">
              <w:rPr>
                <w:rFonts w:ascii="Arial" w:hAnsi="Arial" w:cs="Arial"/>
                <w:sz w:val="16"/>
                <w:szCs w:val="16"/>
              </w:rPr>
              <w:br/>
              <w:t>A maximum of 9 cycles will be authorised under this restriction in a lifetime.</w:t>
            </w:r>
            <w:r w:rsidRPr="00E106BD">
              <w:rPr>
                <w:rFonts w:ascii="Arial" w:hAnsi="Arial" w:cs="Arial"/>
                <w:sz w:val="16"/>
                <w:szCs w:val="16"/>
              </w:rPr>
              <w:br/>
              <w:t>Progressive disease monitoring via a complete blood count must be taken at the end of each cycle.</w:t>
            </w:r>
            <w:r w:rsidRPr="00E106BD">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E106BD">
              <w:rPr>
                <w:rFonts w:ascii="Arial" w:hAnsi="Arial" w:cs="Arial"/>
                <w:sz w:val="16"/>
                <w:szCs w:val="16"/>
              </w:rPr>
              <w:br/>
              <w:t>Progressive disease is defined as the presence of any of the following:</w:t>
            </w:r>
            <w:r w:rsidRPr="00E106BD">
              <w:rPr>
                <w:rFonts w:ascii="Arial" w:hAnsi="Arial" w:cs="Arial"/>
                <w:sz w:val="16"/>
                <w:szCs w:val="16"/>
              </w:rPr>
              <w:br/>
              <w:t>Leukaemic cells in the CSF;</w:t>
            </w:r>
            <w:r w:rsidRPr="00E106BD">
              <w:rPr>
                <w:rFonts w:ascii="Arial" w:hAnsi="Arial" w:cs="Arial"/>
                <w:sz w:val="16"/>
                <w:szCs w:val="16"/>
              </w:rPr>
              <w:br/>
              <w:t>Re</w:t>
            </w:r>
            <w:r>
              <w:rPr>
                <w:rFonts w:ascii="Arial" w:hAnsi="Arial" w:cs="Arial"/>
                <w:sz w:val="16"/>
                <w:szCs w:val="16"/>
              </w:rPr>
              <w:noBreakHyphen/>
            </w:r>
            <w:r w:rsidRPr="00E106BD">
              <w:rPr>
                <w:rFonts w:ascii="Arial" w:hAnsi="Arial" w:cs="Arial"/>
                <w:sz w:val="16"/>
                <w:szCs w:val="16"/>
              </w:rPr>
              <w:t>appearance of circulating blast cells in the peripheral blood, not attributable to overshoot following recovery from myeloablative therapy;</w:t>
            </w:r>
            <w:r w:rsidRPr="00E106BD">
              <w:rPr>
                <w:rFonts w:ascii="Arial" w:hAnsi="Arial" w:cs="Arial"/>
                <w:sz w:val="16"/>
                <w:szCs w:val="16"/>
              </w:rPr>
              <w:br/>
              <w:t>Greater than 5 % blasts in the marrow not attributable to bone marrow regeneration or another cause;</w:t>
            </w:r>
            <w:r w:rsidRPr="00E106BD">
              <w:rPr>
                <w:rFonts w:ascii="Arial" w:hAnsi="Arial" w:cs="Arial"/>
                <w:sz w:val="16"/>
                <w:szCs w:val="16"/>
              </w:rPr>
              <w:br/>
              <w:t>Extramedullary leukaemia.</w:t>
            </w:r>
            <w:r w:rsidRPr="00E106BD">
              <w:rPr>
                <w:rFonts w:ascii="Arial" w:hAnsi="Arial" w:cs="Arial"/>
                <w:sz w:val="16"/>
                <w:szCs w:val="16"/>
              </w:rPr>
              <w:br/>
              <w:t>A patient who has progressive disease when treated with this drug is no longer eligible for PBS</w:t>
            </w:r>
            <w:r>
              <w:rPr>
                <w:rFonts w:ascii="Arial" w:hAnsi="Arial" w:cs="Arial"/>
                <w:sz w:val="16"/>
                <w:szCs w:val="16"/>
              </w:rPr>
              <w:noBreakHyphen/>
            </w:r>
            <w:r w:rsidRPr="00E106BD">
              <w:rPr>
                <w:rFonts w:ascii="Arial" w:hAnsi="Arial" w:cs="Arial"/>
                <w:sz w:val="16"/>
                <w:szCs w:val="16"/>
              </w:rPr>
              <w:t>subsidised treatment with this drug.</w:t>
            </w:r>
          </w:p>
        </w:tc>
        <w:tc>
          <w:tcPr>
            <w:tcW w:w="2552" w:type="dxa"/>
            <w:tcMar>
              <w:top w:w="28" w:type="dxa"/>
              <w:left w:w="28" w:type="dxa"/>
              <w:right w:w="57" w:type="dxa"/>
            </w:tcMar>
          </w:tcPr>
          <w:p w:rsidR="00592D6B" w:rsidRPr="00E106BD" w:rsidRDefault="00592D6B">
            <w:pPr>
              <w:keepNext/>
              <w:spacing w:line="240" w:lineRule="auto"/>
              <w:rPr>
                <w:rFonts w:ascii="Arial" w:eastAsia="SimSun" w:hAnsi="Arial" w:cs="Arial"/>
                <w:sz w:val="16"/>
                <w:szCs w:val="16"/>
                <w:lang w:eastAsia="zh-CN"/>
              </w:rPr>
            </w:pPr>
            <w:r w:rsidRPr="00E106BD">
              <w:rPr>
                <w:rFonts w:ascii="Arial" w:hAnsi="Arial" w:cs="Arial"/>
                <w:sz w:val="16"/>
                <w:szCs w:val="16"/>
              </w:rPr>
              <w:t>Compliance with Authority Required procedures</w:t>
            </w:r>
          </w:p>
        </w:tc>
      </w:tr>
      <w:tr w:rsidR="00592D6B" w:rsidRPr="00E106BD" w:rsidDel="00FE20B2" w:rsidTr="008929EB">
        <w:tc>
          <w:tcPr>
            <w:tcW w:w="172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C8177</w:t>
            </w:r>
          </w:p>
        </w:tc>
        <w:tc>
          <w:tcPr>
            <w:tcW w:w="70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P8177</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Acute Myeloid Leukaemia</w:t>
            </w:r>
            <w:r w:rsidRPr="00E106BD">
              <w:rPr>
                <w:rFonts w:ascii="Arial" w:hAnsi="Arial" w:cs="Arial"/>
                <w:sz w:val="16"/>
                <w:szCs w:val="16"/>
              </w:rPr>
              <w:br/>
              <w:t xml:space="preserve">Maintenance therapy </w:t>
            </w:r>
            <w:r>
              <w:rPr>
                <w:rFonts w:ascii="Arial" w:hAnsi="Arial" w:cs="Arial"/>
                <w:sz w:val="16"/>
                <w:szCs w:val="16"/>
              </w:rPr>
              <w:noBreakHyphen/>
            </w:r>
            <w:r w:rsidRPr="00E106BD">
              <w:rPr>
                <w:rFonts w:ascii="Arial" w:hAnsi="Arial" w:cs="Arial"/>
                <w:sz w:val="16"/>
                <w:szCs w:val="16"/>
              </w:rPr>
              <w:t xml:space="preserve"> Initial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developed disease progression while receiving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demonstrated complete remission after induction and consolidation chemotherapy in combination with midostaurin; AND</w:t>
            </w:r>
            <w:r w:rsidRPr="00E106BD">
              <w:rPr>
                <w:rFonts w:ascii="Arial" w:hAnsi="Arial" w:cs="Arial"/>
                <w:sz w:val="16"/>
                <w:szCs w:val="16"/>
              </w:rPr>
              <w:br/>
              <w:t>Patient must not be undergoing or have undergone a stem cell transplant; AND</w:t>
            </w:r>
            <w:r w:rsidRPr="00E106BD">
              <w:rPr>
                <w:rFonts w:ascii="Arial" w:hAnsi="Arial" w:cs="Arial"/>
                <w:sz w:val="16"/>
                <w:szCs w:val="16"/>
              </w:rPr>
              <w:br/>
              <w:t>The condition must have been internal tandem duplication (ITD) or tyrosine kinase domain (TKD) FMS tyrosine kinase 3 (FLT3) mutation positive before initiating this drug for this condition.</w:t>
            </w:r>
            <w:r w:rsidRPr="00E106BD">
              <w:rPr>
                <w:rFonts w:ascii="Arial" w:hAnsi="Arial" w:cs="Arial"/>
                <w:sz w:val="16"/>
                <w:szCs w:val="16"/>
              </w:rPr>
              <w:br/>
              <w:t>A maximum of 3 cycles will be authorised under this restriction in a lifetime.</w:t>
            </w:r>
            <w:r w:rsidRPr="00E106BD">
              <w:rPr>
                <w:rFonts w:ascii="Arial" w:hAnsi="Arial" w:cs="Arial"/>
                <w:sz w:val="16"/>
                <w:szCs w:val="16"/>
              </w:rPr>
              <w:br/>
              <w:t>Progressive disease monitoring via a complete blood count must be taken at the end of each cycle.</w:t>
            </w:r>
            <w:r w:rsidRPr="00E106BD">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E106BD">
              <w:rPr>
                <w:rFonts w:ascii="Arial" w:hAnsi="Arial" w:cs="Arial"/>
                <w:sz w:val="16"/>
                <w:szCs w:val="16"/>
              </w:rPr>
              <w:br/>
              <w:t>Progressive disease is defined as the presence of any of the following:</w:t>
            </w:r>
            <w:r w:rsidRPr="00E106BD">
              <w:rPr>
                <w:rFonts w:ascii="Arial" w:hAnsi="Arial" w:cs="Arial"/>
                <w:sz w:val="16"/>
                <w:szCs w:val="16"/>
              </w:rPr>
              <w:br/>
              <w:t>Leukaemic cells in the CSF;</w:t>
            </w:r>
            <w:r w:rsidRPr="00E106BD">
              <w:rPr>
                <w:rFonts w:ascii="Arial" w:hAnsi="Arial" w:cs="Arial"/>
                <w:sz w:val="16"/>
                <w:szCs w:val="16"/>
              </w:rPr>
              <w:br/>
              <w:t>Re</w:t>
            </w:r>
            <w:r>
              <w:rPr>
                <w:rFonts w:ascii="Arial" w:hAnsi="Arial" w:cs="Arial"/>
                <w:sz w:val="16"/>
                <w:szCs w:val="16"/>
              </w:rPr>
              <w:noBreakHyphen/>
            </w:r>
            <w:r w:rsidRPr="00E106BD">
              <w:rPr>
                <w:rFonts w:ascii="Arial" w:hAnsi="Arial" w:cs="Arial"/>
                <w:sz w:val="16"/>
                <w:szCs w:val="16"/>
              </w:rPr>
              <w:t>appearance of circulating blast cells in the peripheral blood, not attributable to overshoot following recovery from myeloablative therapy;</w:t>
            </w:r>
            <w:r w:rsidRPr="00E106BD">
              <w:rPr>
                <w:rFonts w:ascii="Arial" w:hAnsi="Arial" w:cs="Arial"/>
                <w:sz w:val="16"/>
                <w:szCs w:val="16"/>
              </w:rPr>
              <w:br/>
              <w:t>Greater than 5 % blasts in the marrow not attributable to bone marrow regeneration or another cause;</w:t>
            </w:r>
            <w:r w:rsidRPr="00E106BD">
              <w:rPr>
                <w:rFonts w:ascii="Arial" w:hAnsi="Arial" w:cs="Arial"/>
                <w:sz w:val="16"/>
                <w:szCs w:val="16"/>
              </w:rPr>
              <w:br/>
              <w:t>Extramedullary leukaemia.</w:t>
            </w:r>
            <w:r w:rsidRPr="00E106BD">
              <w:rPr>
                <w:rFonts w:ascii="Arial" w:hAnsi="Arial" w:cs="Arial"/>
                <w:sz w:val="16"/>
                <w:szCs w:val="16"/>
              </w:rPr>
              <w:br/>
              <w:t>A patient who has progressive disease when treated with this drug is no longer eligible for PBS</w:t>
            </w:r>
            <w:r>
              <w:rPr>
                <w:rFonts w:ascii="Arial" w:hAnsi="Arial" w:cs="Arial"/>
                <w:sz w:val="16"/>
                <w:szCs w:val="16"/>
              </w:rPr>
              <w:noBreakHyphen/>
            </w:r>
            <w:r w:rsidRPr="00E106BD">
              <w:rPr>
                <w:rFonts w:ascii="Arial" w:hAnsi="Arial" w:cs="Arial"/>
                <w:sz w:val="16"/>
                <w:szCs w:val="16"/>
              </w:rPr>
              <w:t>subsidised treatment with this drug.</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w:t>
            </w:r>
            <w:r w:rsidRPr="00E106BD">
              <w:rPr>
                <w:rFonts w:ascii="Arial" w:hAnsi="Arial" w:cs="Arial"/>
                <w:sz w:val="16"/>
                <w:szCs w:val="16"/>
              </w:rPr>
              <w:br/>
              <w:t xml:space="preserve">(2) a completed Acute myeloid leukaemia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(3) confirmation that the patient is not undergoing or has not undergone a stem cell transplant; and</w:t>
            </w:r>
            <w:r w:rsidRPr="00E106BD">
              <w:rPr>
                <w:rFonts w:ascii="Arial" w:hAnsi="Arial" w:cs="Arial"/>
                <w:sz w:val="16"/>
                <w:szCs w:val="16"/>
              </w:rPr>
              <w:br/>
              <w:t>(4) confirmation that the patient does not have progressive disease; and</w:t>
            </w:r>
            <w:r w:rsidRPr="00E106BD">
              <w:rPr>
                <w:rFonts w:ascii="Arial" w:hAnsi="Arial" w:cs="Arial"/>
                <w:sz w:val="16"/>
                <w:szCs w:val="16"/>
              </w:rPr>
              <w:br/>
              <w:t>(5) a copy of a recent bone marrow biopsy report demonstrating that the patient is in complete remission; and</w:t>
            </w:r>
            <w:r w:rsidRPr="00E106BD">
              <w:rPr>
                <w:rFonts w:ascii="Arial" w:hAnsi="Arial" w:cs="Arial"/>
                <w:sz w:val="16"/>
                <w:szCs w:val="16"/>
              </w:rPr>
              <w:br/>
              <w:t>(6) a copy of the pathology test demonstrating that the condition was FMS tyrosine kinase 3 (FLT3) (ITD or TKD) mutation positive prior to commencing midostaurin.</w:t>
            </w:r>
          </w:p>
        </w:tc>
        <w:tc>
          <w:tcPr>
            <w:tcW w:w="2552" w:type="dxa"/>
            <w:tcMar>
              <w:top w:w="28" w:type="dxa"/>
              <w:left w:w="28" w:type="dxa"/>
              <w:right w:w="57" w:type="dxa"/>
            </w:tcMar>
          </w:tcPr>
          <w:p w:rsidR="00592D6B" w:rsidRPr="00E106BD" w:rsidRDefault="00592D6B" w:rsidP="005F59FC">
            <w:pPr>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592D6B" w:rsidRPr="00E106BD" w:rsidDel="00FE20B2" w:rsidTr="008929EB">
        <w:tc>
          <w:tcPr>
            <w:tcW w:w="172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C8193</w:t>
            </w:r>
          </w:p>
        </w:tc>
        <w:tc>
          <w:tcPr>
            <w:tcW w:w="70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P8193</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Acute Myeloid Leukaemia</w:t>
            </w:r>
            <w:r w:rsidRPr="00E106BD">
              <w:rPr>
                <w:rFonts w:ascii="Arial" w:hAnsi="Arial" w:cs="Arial"/>
                <w:sz w:val="16"/>
                <w:szCs w:val="16"/>
              </w:rPr>
              <w:br/>
              <w:t>Induction / Consolidation therapy</w:t>
            </w:r>
            <w:r w:rsidRPr="00E106BD">
              <w:rPr>
                <w:rFonts w:ascii="Arial" w:hAnsi="Arial" w:cs="Arial"/>
                <w:sz w:val="16"/>
                <w:szCs w:val="16"/>
              </w:rPr>
              <w:br/>
              <w:t>Patient must not have received prior chemotherapy as induction therapy for this condition; OR</w:t>
            </w:r>
            <w:r w:rsidRPr="00E106BD">
              <w:rPr>
                <w:rFonts w:ascii="Arial" w:hAnsi="Arial" w:cs="Arial"/>
                <w:sz w:val="16"/>
                <w:szCs w:val="16"/>
              </w:rPr>
              <w:br/>
              <w:t>The treatment must be for consolidation treatment following induction treatment with midostaurin in combination with chemotherapy; AND</w:t>
            </w:r>
            <w:r w:rsidRPr="00E106BD">
              <w:rPr>
                <w:rFonts w:ascii="Arial" w:hAnsi="Arial" w:cs="Arial"/>
                <w:sz w:val="16"/>
                <w:szCs w:val="16"/>
              </w:rPr>
              <w:br/>
              <w:t>The condition must be internal tandem duplication (ITD) or tyrosine kinase domain (TKD) FMS tyrosine kinase 3 (FLT3) mutation positive before initiating this drug for this condition; AND</w:t>
            </w:r>
            <w:r w:rsidRPr="00E106BD">
              <w:rPr>
                <w:rFonts w:ascii="Arial" w:hAnsi="Arial" w:cs="Arial"/>
                <w:sz w:val="16"/>
                <w:szCs w:val="16"/>
              </w:rPr>
              <w:br/>
              <w:t>The condition must not be acute promyelocytic leukaemia; AND</w:t>
            </w:r>
            <w:r w:rsidRPr="00E106BD">
              <w:rPr>
                <w:rFonts w:ascii="Arial" w:hAnsi="Arial" w:cs="Arial"/>
                <w:sz w:val="16"/>
                <w:szCs w:val="16"/>
              </w:rPr>
              <w:br/>
              <w:t>The treatment must be in combination with standard intensive remission induction or consolidation chemotherapy for this condition.</w:t>
            </w:r>
            <w:r w:rsidRPr="00E106BD">
              <w:rPr>
                <w:rFonts w:ascii="Arial" w:hAnsi="Arial" w:cs="Arial"/>
                <w:sz w:val="16"/>
                <w:szCs w:val="16"/>
              </w:rPr>
              <w:br/>
              <w:t>A maximum of 6 cycles will be authorised under this restriction in a lifetime.</w:t>
            </w:r>
            <w:r w:rsidRPr="00E106BD">
              <w:rPr>
                <w:rFonts w:ascii="Arial" w:hAnsi="Arial" w:cs="Arial"/>
                <w:sz w:val="16"/>
                <w:szCs w:val="16"/>
              </w:rPr>
              <w:br/>
              <w:t>Standard intensive remission induction combination chemotherapy must include cytarabine and an anthracycline.</w:t>
            </w:r>
            <w:r w:rsidRPr="00E106BD">
              <w:rPr>
                <w:rFonts w:ascii="Arial" w:hAnsi="Arial" w:cs="Arial"/>
                <w:sz w:val="16"/>
                <w:szCs w:val="16"/>
              </w:rPr>
              <w:br/>
              <w:t>The FLT3 ITD or TKD mutation test result and date of testing must be provided at the time of application.</w:t>
            </w:r>
            <w:r w:rsidRPr="00E106BD">
              <w:rPr>
                <w:rFonts w:ascii="Arial" w:hAnsi="Arial" w:cs="Arial"/>
                <w:sz w:val="16"/>
                <w:szCs w:val="16"/>
              </w:rPr>
              <w:br/>
              <w:t>This drug is not PBS</w:t>
            </w:r>
            <w:r>
              <w:rPr>
                <w:rFonts w:ascii="Arial" w:hAnsi="Arial" w:cs="Arial"/>
                <w:sz w:val="16"/>
                <w:szCs w:val="16"/>
              </w:rPr>
              <w:noBreakHyphen/>
            </w:r>
            <w:r w:rsidRPr="00E106BD">
              <w:rPr>
                <w:rFonts w:ascii="Arial" w:hAnsi="Arial" w:cs="Arial"/>
                <w:sz w:val="16"/>
                <w:szCs w:val="16"/>
              </w:rPr>
              <w:t>subsidised if it is prescribed to an in</w:t>
            </w:r>
            <w:r>
              <w:rPr>
                <w:rFonts w:ascii="Arial" w:hAnsi="Arial" w:cs="Arial"/>
                <w:sz w:val="16"/>
                <w:szCs w:val="16"/>
              </w:rPr>
              <w:noBreakHyphen/>
            </w:r>
            <w:r w:rsidRPr="00E106BD">
              <w:rPr>
                <w:rFonts w:ascii="Arial" w:hAnsi="Arial" w:cs="Arial"/>
                <w:sz w:val="16"/>
                <w:szCs w:val="16"/>
              </w:rPr>
              <w:t>patient in a public hospital setting.</w:t>
            </w:r>
            <w:r w:rsidRPr="00E106BD">
              <w:rPr>
                <w:rFonts w:ascii="Arial" w:hAnsi="Arial" w:cs="Arial"/>
                <w:sz w:val="16"/>
                <w:szCs w:val="16"/>
              </w:rPr>
              <w:br/>
              <w:t>Progressive disease monitoring via a complete blood count must be taken at the end of each cycle.</w:t>
            </w:r>
            <w:r w:rsidRPr="00E106BD">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E106BD">
              <w:rPr>
                <w:rFonts w:ascii="Arial" w:hAnsi="Arial" w:cs="Arial"/>
                <w:sz w:val="16"/>
                <w:szCs w:val="16"/>
              </w:rPr>
              <w:br/>
              <w:t>Progressive disease is defined as the presence of any of the following:</w:t>
            </w:r>
            <w:r w:rsidRPr="00E106BD">
              <w:rPr>
                <w:rFonts w:ascii="Arial" w:hAnsi="Arial" w:cs="Arial"/>
                <w:sz w:val="16"/>
                <w:szCs w:val="16"/>
              </w:rPr>
              <w:br/>
              <w:t>Leukaemic cells in the CSF;</w:t>
            </w:r>
            <w:r w:rsidRPr="00E106BD">
              <w:rPr>
                <w:rFonts w:ascii="Arial" w:hAnsi="Arial" w:cs="Arial"/>
                <w:sz w:val="16"/>
                <w:szCs w:val="16"/>
              </w:rPr>
              <w:br/>
              <w:t>Re</w:t>
            </w:r>
            <w:r>
              <w:rPr>
                <w:rFonts w:ascii="Arial" w:hAnsi="Arial" w:cs="Arial"/>
                <w:sz w:val="16"/>
                <w:szCs w:val="16"/>
              </w:rPr>
              <w:noBreakHyphen/>
            </w:r>
            <w:r w:rsidRPr="00E106BD">
              <w:rPr>
                <w:rFonts w:ascii="Arial" w:hAnsi="Arial" w:cs="Arial"/>
                <w:sz w:val="16"/>
                <w:szCs w:val="16"/>
              </w:rPr>
              <w:t>appearance of circulating blast cells in the peripheral blood, not attributable to overshoot following recovery from myeloablative therapy;</w:t>
            </w:r>
            <w:r w:rsidRPr="00E106BD">
              <w:rPr>
                <w:rFonts w:ascii="Arial" w:hAnsi="Arial" w:cs="Arial"/>
                <w:sz w:val="16"/>
                <w:szCs w:val="16"/>
              </w:rPr>
              <w:br/>
              <w:t>Greater than 5 % blasts in the marrow not attributable to bone marrow regeneration or another cause;</w:t>
            </w:r>
            <w:r w:rsidRPr="00E106BD">
              <w:rPr>
                <w:rFonts w:ascii="Arial" w:hAnsi="Arial" w:cs="Arial"/>
                <w:sz w:val="16"/>
                <w:szCs w:val="16"/>
              </w:rPr>
              <w:br/>
              <w:t>Extramedullary leukaemia.</w:t>
            </w:r>
            <w:r w:rsidRPr="00E106BD">
              <w:rPr>
                <w:rFonts w:ascii="Arial" w:hAnsi="Arial" w:cs="Arial"/>
                <w:sz w:val="16"/>
                <w:szCs w:val="16"/>
              </w:rPr>
              <w:br/>
              <w:t>A patient who has progressive disease when treated with this drug is no longer eligible for PBS</w:t>
            </w:r>
            <w:r>
              <w:rPr>
                <w:rFonts w:ascii="Arial" w:hAnsi="Arial" w:cs="Arial"/>
                <w:sz w:val="16"/>
                <w:szCs w:val="16"/>
              </w:rPr>
              <w:noBreakHyphen/>
            </w:r>
            <w:r w:rsidRPr="00E106BD">
              <w:rPr>
                <w:rFonts w:ascii="Arial" w:hAnsi="Arial" w:cs="Arial"/>
                <w:sz w:val="16"/>
                <w:szCs w:val="16"/>
              </w:rPr>
              <w:t>subsidised treatment with this drug.</w:t>
            </w:r>
          </w:p>
        </w:tc>
        <w:tc>
          <w:tcPr>
            <w:tcW w:w="2552" w:type="dxa"/>
            <w:tcMar>
              <w:top w:w="28" w:type="dxa"/>
              <w:left w:w="28" w:type="dxa"/>
              <w:right w:w="57" w:type="dxa"/>
            </w:tcMar>
          </w:tcPr>
          <w:p w:rsidR="00592D6B" w:rsidRPr="00E106BD" w:rsidRDefault="00592D6B" w:rsidP="00DE57EA">
            <w:pPr>
              <w:spacing w:line="240" w:lineRule="auto"/>
              <w:rPr>
                <w:rFonts w:ascii="Arial" w:eastAsia="SimSun" w:hAnsi="Arial" w:cs="Arial"/>
                <w:sz w:val="16"/>
                <w:szCs w:val="16"/>
                <w:lang w:eastAsia="zh-CN"/>
              </w:rPr>
            </w:pPr>
            <w:r w:rsidRPr="00E106BD">
              <w:rPr>
                <w:rFonts w:ascii="Arial" w:hAnsi="Arial" w:cs="Arial"/>
                <w:sz w:val="16"/>
                <w:szCs w:val="16"/>
              </w:rPr>
              <w:t>Compliance with Authority Required procedures</w:t>
            </w:r>
          </w:p>
        </w:tc>
      </w:tr>
      <w:tr w:rsidR="00592D6B" w:rsidRPr="00E106BD" w:rsidDel="00FE20B2" w:rsidTr="008929EB">
        <w:tc>
          <w:tcPr>
            <w:tcW w:w="172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C8218</w:t>
            </w:r>
          </w:p>
        </w:tc>
        <w:tc>
          <w:tcPr>
            <w:tcW w:w="709" w:type="dxa"/>
            <w:tcMar>
              <w:top w:w="28" w:type="dxa"/>
              <w:left w:w="28" w:type="dxa"/>
            </w:tcMar>
          </w:tcPr>
          <w:p w:rsidR="00592D6B" w:rsidRPr="00E106BD" w:rsidDel="00FE20B2"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P8218</w:t>
            </w: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Acute Myeloid Leukaemia</w:t>
            </w:r>
            <w:r w:rsidRPr="00E106BD">
              <w:rPr>
                <w:rFonts w:ascii="Arial" w:hAnsi="Arial" w:cs="Arial"/>
                <w:sz w:val="16"/>
                <w:szCs w:val="16"/>
              </w:rPr>
              <w:br/>
              <w:t xml:space="preserve">Maintenance therapy </w:t>
            </w:r>
            <w:r>
              <w:rPr>
                <w:rFonts w:ascii="Arial" w:hAnsi="Arial" w:cs="Arial"/>
                <w:sz w:val="16"/>
                <w:szCs w:val="16"/>
              </w:rPr>
              <w:noBreakHyphen/>
            </w:r>
            <w:r w:rsidRPr="00E106BD">
              <w:rPr>
                <w:rFonts w:ascii="Arial" w:hAnsi="Arial" w:cs="Arial"/>
                <w:sz w:val="16"/>
                <w:szCs w:val="16"/>
              </w:rPr>
              <w:t xml:space="preserve"> Grandfathered treatment</w:t>
            </w:r>
            <w:r w:rsidRPr="00E106BD">
              <w:rPr>
                <w:rFonts w:ascii="Arial" w:hAnsi="Arial" w:cs="Arial"/>
                <w:sz w:val="16"/>
                <w:szCs w:val="16"/>
              </w:rPr>
              <w:br/>
              <w:t>Patient must have received non</w:t>
            </w:r>
            <w:r>
              <w:rPr>
                <w:rFonts w:ascii="Arial" w:hAnsi="Arial" w:cs="Arial"/>
                <w:sz w:val="16"/>
                <w:szCs w:val="16"/>
              </w:rPr>
              <w:noBreakHyphen/>
            </w:r>
            <w:r w:rsidRPr="00E106BD">
              <w:rPr>
                <w:rFonts w:ascii="Arial" w:hAnsi="Arial" w:cs="Arial"/>
                <w:sz w:val="16"/>
                <w:szCs w:val="16"/>
              </w:rPr>
              <w:t>PBS subsidised treatment with this drug for this condition prior to 1</w:t>
            </w:r>
            <w:r>
              <w:rPr>
                <w:rFonts w:ascii="Arial" w:hAnsi="Arial" w:cs="Arial"/>
                <w:sz w:val="16"/>
                <w:szCs w:val="16"/>
              </w:rPr>
              <w:t> </w:t>
            </w:r>
            <w:r w:rsidRPr="00E106BD">
              <w:rPr>
                <w:rFonts w:ascii="Arial" w:hAnsi="Arial" w:cs="Arial"/>
                <w:sz w:val="16"/>
                <w:szCs w:val="16"/>
              </w:rPr>
              <w:t>December 2018; AND</w:t>
            </w:r>
            <w:r w:rsidRPr="00E106BD">
              <w:rPr>
                <w:rFonts w:ascii="Arial" w:hAnsi="Arial" w:cs="Arial"/>
                <w:sz w:val="16"/>
                <w:szCs w:val="16"/>
              </w:rPr>
              <w:br/>
              <w:t>Patient must be receiving treatment with this drug for this condition at the time of application; AND</w:t>
            </w:r>
            <w:r w:rsidRPr="00E106BD">
              <w:rPr>
                <w:rFonts w:ascii="Arial" w:hAnsi="Arial" w:cs="Arial"/>
                <w:sz w:val="16"/>
                <w:szCs w:val="16"/>
              </w:rPr>
              <w:br/>
              <w:t>Patient must not have developed disease progression while receiving treatment with this drug for this condition; AND</w:t>
            </w:r>
            <w:r w:rsidRPr="00E106BD">
              <w:rPr>
                <w:rFonts w:ascii="Arial" w:hAnsi="Arial" w:cs="Arial"/>
                <w:sz w:val="16"/>
                <w:szCs w:val="16"/>
              </w:rPr>
              <w:br/>
              <w:t>Patient must have demonstrated complete remission after induction and consolidation chemotherapy in combination with midostaurin; AND</w:t>
            </w:r>
            <w:r w:rsidRPr="00E106BD">
              <w:rPr>
                <w:rFonts w:ascii="Arial" w:hAnsi="Arial" w:cs="Arial"/>
                <w:sz w:val="16"/>
                <w:szCs w:val="16"/>
              </w:rPr>
              <w:br/>
              <w:t>Patient must not be undergoing or have undergone a stem cell transplant; AND</w:t>
            </w:r>
            <w:r w:rsidRPr="00E106BD">
              <w:rPr>
                <w:rFonts w:ascii="Arial" w:hAnsi="Arial" w:cs="Arial"/>
                <w:sz w:val="16"/>
                <w:szCs w:val="16"/>
              </w:rPr>
              <w:br/>
              <w:t>The condition must have been internal tandem duplication (ITD) or tyrosine kinase domain (TKD) FMS tyrosine kinase 3 (FLT3) mutation positive before initiating this drug for this condition.</w:t>
            </w:r>
            <w:r w:rsidRPr="00E106BD">
              <w:rPr>
                <w:rFonts w:ascii="Arial" w:hAnsi="Arial" w:cs="Arial"/>
                <w:sz w:val="16"/>
                <w:szCs w:val="16"/>
              </w:rPr>
              <w:br/>
              <w:t>A maximum of 2 cycles will be authorised under this restriction in a lifetime.</w:t>
            </w:r>
            <w:r w:rsidRPr="00E106BD">
              <w:rPr>
                <w:rFonts w:ascii="Arial" w:hAnsi="Arial" w:cs="Arial"/>
                <w:sz w:val="16"/>
                <w:szCs w:val="16"/>
              </w:rPr>
              <w:br/>
              <w:t>A patient may qualify for PBS</w:t>
            </w:r>
            <w:r>
              <w:rPr>
                <w:rFonts w:ascii="Arial" w:hAnsi="Arial" w:cs="Arial"/>
                <w:sz w:val="16"/>
                <w:szCs w:val="16"/>
              </w:rPr>
              <w:noBreakHyphen/>
            </w:r>
            <w:r w:rsidRPr="00E106BD">
              <w:rPr>
                <w:rFonts w:ascii="Arial" w:hAnsi="Arial" w:cs="Arial"/>
                <w:sz w:val="16"/>
                <w:szCs w:val="16"/>
              </w:rPr>
              <w:t>subsidised treatment under this restriction once only.</w:t>
            </w:r>
            <w:r w:rsidRPr="00E106BD">
              <w:rPr>
                <w:rFonts w:ascii="Arial" w:hAnsi="Arial" w:cs="Arial"/>
                <w:sz w:val="16"/>
                <w:szCs w:val="16"/>
              </w:rPr>
              <w:br/>
              <w:t>For continuing PBS</w:t>
            </w:r>
            <w:r>
              <w:rPr>
                <w:rFonts w:ascii="Arial" w:hAnsi="Arial" w:cs="Arial"/>
                <w:sz w:val="16"/>
                <w:szCs w:val="16"/>
              </w:rPr>
              <w:noBreakHyphen/>
            </w:r>
            <w:r w:rsidRPr="00E106BD">
              <w:rPr>
                <w:rFonts w:ascii="Arial" w:hAnsi="Arial" w:cs="Arial"/>
                <w:sz w:val="16"/>
                <w:szCs w:val="16"/>
              </w:rPr>
              <w:t>subsidised treatment, a Grandfathered patient must qualify under the maintenance therapy continuing treatment criteria.</w:t>
            </w:r>
            <w:r w:rsidRPr="00E106BD">
              <w:rPr>
                <w:rFonts w:ascii="Arial" w:hAnsi="Arial" w:cs="Arial"/>
                <w:sz w:val="16"/>
                <w:szCs w:val="16"/>
              </w:rPr>
              <w:br/>
              <w:t>Progressive disease monitoring via a complete blood count must be taken at the end of each cycle.</w:t>
            </w:r>
            <w:r w:rsidRPr="00E106BD">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E106BD">
              <w:rPr>
                <w:rFonts w:ascii="Arial" w:hAnsi="Arial" w:cs="Arial"/>
                <w:sz w:val="16"/>
                <w:szCs w:val="16"/>
              </w:rPr>
              <w:br/>
              <w:t>Progressive disease is defined as the presence of any of the following:</w:t>
            </w:r>
            <w:r w:rsidRPr="00E106BD">
              <w:rPr>
                <w:rFonts w:ascii="Arial" w:hAnsi="Arial" w:cs="Arial"/>
                <w:sz w:val="16"/>
                <w:szCs w:val="16"/>
              </w:rPr>
              <w:br/>
              <w:t>Leukaemic cells in the CSF;</w:t>
            </w:r>
            <w:r w:rsidRPr="00E106BD">
              <w:rPr>
                <w:rFonts w:ascii="Arial" w:hAnsi="Arial" w:cs="Arial"/>
                <w:sz w:val="16"/>
                <w:szCs w:val="16"/>
              </w:rPr>
              <w:br/>
              <w:t>Re</w:t>
            </w:r>
            <w:r>
              <w:rPr>
                <w:rFonts w:ascii="Arial" w:hAnsi="Arial" w:cs="Arial"/>
                <w:sz w:val="16"/>
                <w:szCs w:val="16"/>
              </w:rPr>
              <w:noBreakHyphen/>
            </w:r>
            <w:r w:rsidRPr="00E106BD">
              <w:rPr>
                <w:rFonts w:ascii="Arial" w:hAnsi="Arial" w:cs="Arial"/>
                <w:sz w:val="16"/>
                <w:szCs w:val="16"/>
              </w:rPr>
              <w:t>appearance of circulating blast cells in the peripheral blood, not attributable to overshoot following recovery from myeloablative therapy;</w:t>
            </w:r>
            <w:r w:rsidRPr="00E106BD">
              <w:rPr>
                <w:rFonts w:ascii="Arial" w:hAnsi="Arial" w:cs="Arial"/>
                <w:sz w:val="16"/>
                <w:szCs w:val="16"/>
              </w:rPr>
              <w:br/>
              <w:t>Greater than 5 % blasts in the marrow not attributable to bone marrow regeneration or another cause;</w:t>
            </w:r>
            <w:r w:rsidRPr="00E106BD">
              <w:rPr>
                <w:rFonts w:ascii="Arial" w:hAnsi="Arial" w:cs="Arial"/>
                <w:sz w:val="16"/>
                <w:szCs w:val="16"/>
              </w:rPr>
              <w:br/>
              <w:t>Extramedullary leukaemia.</w:t>
            </w:r>
            <w:r w:rsidRPr="00E106BD">
              <w:rPr>
                <w:rFonts w:ascii="Arial" w:hAnsi="Arial" w:cs="Arial"/>
                <w:sz w:val="16"/>
                <w:szCs w:val="16"/>
              </w:rPr>
              <w:br/>
              <w:t>A patient who has progressive disease when treated with this drug is no longer eligible for PBS</w:t>
            </w:r>
            <w:r>
              <w:rPr>
                <w:rFonts w:ascii="Arial" w:hAnsi="Arial" w:cs="Arial"/>
                <w:sz w:val="16"/>
                <w:szCs w:val="16"/>
              </w:rPr>
              <w:noBreakHyphen/>
            </w:r>
            <w:r w:rsidRPr="00E106BD">
              <w:rPr>
                <w:rFonts w:ascii="Arial" w:hAnsi="Arial" w:cs="Arial"/>
                <w:sz w:val="16"/>
                <w:szCs w:val="16"/>
              </w:rPr>
              <w:t>subsidised treatment with this drug.</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w:t>
            </w:r>
            <w:r w:rsidRPr="00E106BD">
              <w:rPr>
                <w:rFonts w:ascii="Arial" w:hAnsi="Arial" w:cs="Arial"/>
                <w:sz w:val="16"/>
                <w:szCs w:val="16"/>
              </w:rPr>
              <w:br/>
              <w:t xml:space="preserve">(2) a completed Acute myeloid leukaemia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(3) confirmation that the patient is not undergoing or has not undergone a stem cell transplant; and</w:t>
            </w:r>
            <w:r w:rsidRPr="00E106BD">
              <w:rPr>
                <w:rFonts w:ascii="Arial" w:hAnsi="Arial" w:cs="Arial"/>
                <w:sz w:val="16"/>
                <w:szCs w:val="16"/>
              </w:rPr>
              <w:br/>
              <w:t>(4) confirmation that the patient does not have progressive disease; and</w:t>
            </w:r>
            <w:r w:rsidRPr="00E106BD">
              <w:rPr>
                <w:rFonts w:ascii="Arial" w:hAnsi="Arial" w:cs="Arial"/>
                <w:sz w:val="16"/>
                <w:szCs w:val="16"/>
              </w:rPr>
              <w:br/>
              <w:t>(5) a copy of a recent bone marrow biopsy report demonstrating that the patient is in complete remission; and</w:t>
            </w:r>
            <w:r w:rsidRPr="00E106BD">
              <w:rPr>
                <w:rFonts w:ascii="Arial" w:hAnsi="Arial" w:cs="Arial"/>
                <w:sz w:val="16"/>
                <w:szCs w:val="16"/>
              </w:rPr>
              <w:br/>
              <w:t>(6) a copy of the pathology test demonstrating that the condition was FMS tyrosine kinase 3 (FLT3) (ITD or TKD) mutation positive prior to commencing midostaurin.</w:t>
            </w:r>
          </w:p>
        </w:tc>
        <w:tc>
          <w:tcPr>
            <w:tcW w:w="2552" w:type="dxa"/>
            <w:tcMar>
              <w:top w:w="28" w:type="dxa"/>
              <w:left w:w="28" w:type="dxa"/>
              <w:right w:w="57" w:type="dxa"/>
            </w:tcMar>
          </w:tcPr>
          <w:p w:rsidR="00592D6B" w:rsidRPr="00E106BD" w:rsidRDefault="00592D6B" w:rsidP="005F59FC">
            <w:pPr>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592D6B" w:rsidRPr="00E106BD" w:rsidTr="008929EB">
        <w:trPr>
          <w:cantSplit/>
        </w:trPr>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bookmarkStart w:id="202" w:name="CU_382654271"/>
            <w:bookmarkEnd w:id="202"/>
            <w:r w:rsidRPr="00E106BD">
              <w:rPr>
                <w:rFonts w:ascii="Arial" w:eastAsia="SimSun" w:hAnsi="Arial" w:cs="Arial"/>
                <w:sz w:val="16"/>
                <w:szCs w:val="16"/>
                <w:lang w:eastAsia="zh-CN"/>
              </w:rPr>
              <w:t>Mycophenolic Acid</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C4084</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Prophylaxis of renal allograft rejection</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under the supervision and direction of a transplant unit.</w:t>
            </w:r>
          </w:p>
        </w:tc>
        <w:tc>
          <w:tcPr>
            <w:tcW w:w="2552" w:type="dxa"/>
            <w:tcMar>
              <w:top w:w="28" w:type="dxa"/>
              <w:left w:w="28" w:type="dxa"/>
              <w:right w:w="57" w:type="dxa"/>
            </w:tcMar>
          </w:tcPr>
          <w:p w:rsidR="00592D6B" w:rsidRPr="00E106BD" w:rsidRDefault="00592D6B"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 – Streamlined Authority Code 4084</w:t>
            </w:r>
          </w:p>
        </w:tc>
      </w:tr>
      <w:tr w:rsidR="00592D6B" w:rsidRPr="00E106BD" w:rsidTr="008929EB">
        <w:trPr>
          <w:cantSplit/>
        </w:trPr>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C4095</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WHO Class III, IV or V lupus nephritis</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proven by biopsy,</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Must be treated by a nephrologist or in consultation with a nephrologist.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name of the consulting nephrologist must be included in the patient medical records.</w:t>
            </w:r>
          </w:p>
        </w:tc>
        <w:tc>
          <w:tcPr>
            <w:tcW w:w="2552" w:type="dxa"/>
            <w:tcMar>
              <w:top w:w="28" w:type="dxa"/>
              <w:left w:w="28" w:type="dxa"/>
              <w:right w:w="57" w:type="dxa"/>
            </w:tcMar>
          </w:tcPr>
          <w:p w:rsidR="00592D6B" w:rsidRPr="00E106BD" w:rsidRDefault="00592D6B"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 – Streamlined Authority Code 4095</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bookmarkStart w:id="203" w:name="CU_387656136"/>
            <w:bookmarkEnd w:id="203"/>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C5554</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cardiac allograft rejection</w:t>
            </w:r>
            <w:r w:rsidRPr="00E106BD">
              <w:rPr>
                <w:rFonts w:ascii="Arial" w:eastAsia="SimSun" w:hAnsi="Arial" w:cs="Arial"/>
                <w:sz w:val="16"/>
                <w:szCs w:val="16"/>
                <w:lang w:eastAsia="zh-CN"/>
              </w:rPr>
              <w:br/>
              <w:t>Management (initiation, stabilisation and review of therapy)</w:t>
            </w:r>
            <w:r w:rsidRPr="00E106BD">
              <w:rPr>
                <w:rFonts w:ascii="Arial" w:eastAsia="SimSun" w:hAnsi="Arial" w:cs="Arial"/>
                <w:sz w:val="16"/>
                <w:szCs w:val="16"/>
                <w:lang w:eastAsia="zh-CN"/>
              </w:rPr>
              <w:br/>
              <w:t>Patient must be receiving this drug for prophylaxis of cardiac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5554</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C5600</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cardiac allograft rejection</w:t>
            </w:r>
            <w:r w:rsidRPr="00E106BD">
              <w:rPr>
                <w:rFonts w:ascii="Arial" w:eastAsia="SimSun" w:hAnsi="Arial" w:cs="Arial"/>
                <w:sz w:val="16"/>
                <w:szCs w:val="16"/>
                <w:lang w:eastAsia="zh-CN"/>
              </w:rPr>
              <w:br/>
              <w:t>Management (initiation, stabilisation and review of therapy)</w:t>
            </w:r>
            <w:r w:rsidRPr="00E106BD">
              <w:rPr>
                <w:rFonts w:ascii="Arial" w:eastAsia="SimSun" w:hAnsi="Arial" w:cs="Arial"/>
                <w:sz w:val="16"/>
                <w:szCs w:val="16"/>
                <w:lang w:eastAsia="zh-CN"/>
              </w:rPr>
              <w:br/>
              <w:t>Patient must be receiving this drug for prophylaxis of cardiac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5600</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C5653</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renal allograft rejection</w:t>
            </w:r>
            <w:r w:rsidRPr="00E106BD">
              <w:rPr>
                <w:rFonts w:ascii="Arial" w:eastAsia="SimSun" w:hAnsi="Arial" w:cs="Arial"/>
                <w:sz w:val="16"/>
                <w:szCs w:val="16"/>
                <w:lang w:eastAsia="zh-CN"/>
              </w:rPr>
              <w:br/>
              <w:t>Management (initiation, stabilisation and review of therapy)</w:t>
            </w:r>
            <w:r w:rsidRPr="00E106BD">
              <w:rPr>
                <w:rFonts w:ascii="Arial" w:eastAsia="SimSun" w:hAnsi="Arial" w:cs="Arial"/>
                <w:sz w:val="16"/>
                <w:szCs w:val="16"/>
                <w:lang w:eastAsia="zh-CN"/>
              </w:rPr>
              <w:br/>
              <w:t>Patient must be receiving this drug for prophylaxis of renal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5653</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C5795</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renal allograft rejection</w:t>
            </w:r>
            <w:r w:rsidRPr="00E106BD">
              <w:rPr>
                <w:rFonts w:ascii="Arial" w:eastAsia="SimSun" w:hAnsi="Arial" w:cs="Arial"/>
                <w:sz w:val="16"/>
                <w:szCs w:val="16"/>
                <w:lang w:eastAsia="zh-CN"/>
              </w:rPr>
              <w:br/>
              <w:t>Management (initiation, stabilisation and review of therapy)</w:t>
            </w:r>
            <w:r w:rsidRPr="00E106BD">
              <w:rPr>
                <w:rFonts w:ascii="Arial" w:eastAsia="SimSun" w:hAnsi="Arial" w:cs="Arial"/>
                <w:sz w:val="16"/>
                <w:szCs w:val="16"/>
                <w:lang w:eastAsia="zh-CN"/>
              </w:rPr>
              <w:br/>
              <w:t>Patient must be receiving this drug for prophylaxis of renal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5795</w:t>
            </w:r>
          </w:p>
        </w:tc>
      </w:tr>
      <w:tr w:rsidR="00592D6B" w:rsidRPr="00E106BD" w:rsidTr="008929EB">
        <w:tc>
          <w:tcPr>
            <w:tcW w:w="172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C9689</w:t>
            </w: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Management of renal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renal allograft rejection; AND</w:t>
            </w:r>
            <w:r w:rsidRPr="00E106BD">
              <w:rPr>
                <w:rFonts w:ascii="Arial" w:hAnsi="Arial" w:cs="Arial"/>
                <w:sz w:val="16"/>
                <w:szCs w:val="16"/>
              </w:rPr>
              <w:br/>
              <w:t>The treatment must be under the supervision and direction of a transplant unit.</w:t>
            </w:r>
          </w:p>
        </w:tc>
        <w:tc>
          <w:tcPr>
            <w:tcW w:w="2552" w:type="dxa"/>
            <w:shd w:val="clear" w:color="auto" w:fill="auto"/>
            <w:tcMar>
              <w:top w:w="28" w:type="dxa"/>
              <w:left w:w="28" w:type="dxa"/>
              <w:right w:w="57" w:type="dxa"/>
            </w:tcMar>
          </w:tcPr>
          <w:p w:rsidR="00592D6B" w:rsidRPr="00E106BD" w:rsidRDefault="00592D6B"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9689</w:t>
            </w:r>
          </w:p>
        </w:tc>
      </w:tr>
      <w:tr w:rsidR="00592D6B" w:rsidRPr="00E106BD" w:rsidTr="008929EB">
        <w:tc>
          <w:tcPr>
            <w:tcW w:w="172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C9690</w:t>
            </w: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Management of cardiac allograft rejection</w:t>
            </w:r>
            <w:r w:rsidRPr="00E106BD">
              <w:rPr>
                <w:rFonts w:ascii="Arial" w:hAnsi="Arial" w:cs="Arial"/>
                <w:sz w:val="16"/>
                <w:szCs w:val="16"/>
              </w:rPr>
              <w:br/>
              <w:t>Management (initiation, stabilisation and review of therapy )</w:t>
            </w:r>
            <w:r w:rsidRPr="00E106BD">
              <w:rPr>
                <w:rFonts w:ascii="Arial" w:hAnsi="Arial" w:cs="Arial"/>
                <w:sz w:val="16"/>
                <w:szCs w:val="16"/>
              </w:rPr>
              <w:br/>
              <w:t>Patient must be receiving this drug for prophylaxis of cardiac allograft rejection; AND</w:t>
            </w:r>
            <w:r w:rsidRPr="00E106BD">
              <w:rPr>
                <w:rFonts w:ascii="Arial" w:hAnsi="Arial" w:cs="Arial"/>
                <w:sz w:val="16"/>
                <w:szCs w:val="16"/>
              </w:rPr>
              <w:br/>
              <w:t>The treatment must be under the supervision and direction of a transplant unit.</w:t>
            </w:r>
          </w:p>
        </w:tc>
        <w:tc>
          <w:tcPr>
            <w:tcW w:w="2552" w:type="dxa"/>
            <w:shd w:val="clear" w:color="auto" w:fill="auto"/>
            <w:tcMar>
              <w:top w:w="28" w:type="dxa"/>
              <w:left w:w="28" w:type="dxa"/>
              <w:right w:w="57" w:type="dxa"/>
            </w:tcMar>
          </w:tcPr>
          <w:p w:rsidR="00592D6B" w:rsidRPr="00E106BD" w:rsidRDefault="00592D6B"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9690</w:t>
            </w:r>
          </w:p>
        </w:tc>
      </w:tr>
      <w:tr w:rsidR="00592D6B" w:rsidRPr="00E106BD" w:rsidTr="008929EB">
        <w:tc>
          <w:tcPr>
            <w:tcW w:w="172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C9691</w:t>
            </w: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Management of renal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renal allograft rejection; AND</w:t>
            </w:r>
            <w:r w:rsidRPr="00E106BD">
              <w:rPr>
                <w:rFonts w:ascii="Arial" w:hAnsi="Arial" w:cs="Arial"/>
                <w:sz w:val="16"/>
                <w:szCs w:val="16"/>
              </w:rPr>
              <w:br/>
              <w:t>The treatment must be under the supervision and direction of a transplant unit.</w:t>
            </w:r>
          </w:p>
        </w:tc>
        <w:tc>
          <w:tcPr>
            <w:tcW w:w="2552" w:type="dxa"/>
            <w:shd w:val="clear" w:color="auto" w:fill="auto"/>
            <w:tcMar>
              <w:top w:w="28" w:type="dxa"/>
              <w:left w:w="28" w:type="dxa"/>
              <w:right w:w="57" w:type="dxa"/>
            </w:tcMar>
          </w:tcPr>
          <w:p w:rsidR="00592D6B" w:rsidRPr="00E106BD" w:rsidRDefault="00592D6B"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9691</w:t>
            </w:r>
          </w:p>
        </w:tc>
      </w:tr>
      <w:tr w:rsidR="00592D6B" w:rsidRPr="00E106BD" w:rsidTr="008929EB">
        <w:tc>
          <w:tcPr>
            <w:tcW w:w="172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C9692</w:t>
            </w: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Prophylaxis of renal allograft rejection</w:t>
            </w:r>
            <w:r w:rsidRPr="00E106BD">
              <w:rPr>
                <w:rFonts w:ascii="Arial" w:hAnsi="Arial" w:cs="Arial"/>
                <w:sz w:val="16"/>
                <w:szCs w:val="16"/>
              </w:rPr>
              <w:br/>
              <w:t>Management</w:t>
            </w:r>
            <w:r w:rsidRPr="00E106BD">
              <w:rPr>
                <w:rFonts w:ascii="Arial" w:hAnsi="Arial" w:cs="Arial"/>
                <w:sz w:val="16"/>
                <w:szCs w:val="16"/>
              </w:rPr>
              <w:br/>
              <w:t>The treatment must be under the supervision and direction of a transplant unit.</w:t>
            </w:r>
          </w:p>
        </w:tc>
        <w:tc>
          <w:tcPr>
            <w:tcW w:w="2552" w:type="dxa"/>
            <w:shd w:val="clear" w:color="auto" w:fill="auto"/>
            <w:tcMar>
              <w:top w:w="28" w:type="dxa"/>
              <w:left w:w="28" w:type="dxa"/>
              <w:right w:w="57" w:type="dxa"/>
            </w:tcMar>
          </w:tcPr>
          <w:p w:rsidR="00592D6B" w:rsidRPr="00E106BD" w:rsidRDefault="00592D6B"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9692</w:t>
            </w:r>
          </w:p>
        </w:tc>
      </w:tr>
      <w:tr w:rsidR="00592D6B" w:rsidRPr="00E106BD" w:rsidTr="008929EB">
        <w:tc>
          <w:tcPr>
            <w:tcW w:w="172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C9693</w:t>
            </w: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Management of cardiac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cardiac allograft rejection; AND</w:t>
            </w:r>
            <w:r w:rsidRPr="00E106BD">
              <w:rPr>
                <w:rFonts w:ascii="Arial" w:hAnsi="Arial" w:cs="Arial"/>
                <w:sz w:val="16"/>
                <w:szCs w:val="16"/>
              </w:rPr>
              <w:br/>
              <w:t>The treatment must be under the supervision and direction of a transplant unit.</w:t>
            </w:r>
          </w:p>
        </w:tc>
        <w:tc>
          <w:tcPr>
            <w:tcW w:w="2552" w:type="dxa"/>
            <w:shd w:val="clear" w:color="auto" w:fill="auto"/>
            <w:tcMar>
              <w:top w:w="28" w:type="dxa"/>
              <w:left w:w="28" w:type="dxa"/>
              <w:right w:w="57" w:type="dxa"/>
            </w:tcMar>
          </w:tcPr>
          <w:p w:rsidR="00592D6B" w:rsidRPr="00E106BD" w:rsidRDefault="00592D6B"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9693</w:t>
            </w:r>
          </w:p>
        </w:tc>
      </w:tr>
      <w:tr w:rsidR="00592D6B" w:rsidRPr="00E106BD" w:rsidTr="008929EB">
        <w:tc>
          <w:tcPr>
            <w:tcW w:w="172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C9809</w:t>
            </w:r>
          </w:p>
        </w:tc>
        <w:tc>
          <w:tcPr>
            <w:tcW w:w="709"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592D6B" w:rsidRPr="00E106BD" w:rsidRDefault="00592D6B" w:rsidP="00881477">
            <w:pPr>
              <w:tabs>
                <w:tab w:val="left" w:pos="33"/>
              </w:tabs>
              <w:spacing w:line="240" w:lineRule="auto"/>
              <w:ind w:left="34"/>
              <w:rPr>
                <w:rFonts w:ascii="Arial" w:hAnsi="Arial" w:cs="Arial"/>
                <w:sz w:val="16"/>
                <w:szCs w:val="16"/>
              </w:rPr>
            </w:pPr>
            <w:r w:rsidRPr="00E106BD">
              <w:rPr>
                <w:rFonts w:ascii="Arial" w:hAnsi="Arial" w:cs="Arial"/>
                <w:sz w:val="16"/>
                <w:szCs w:val="16"/>
              </w:rPr>
              <w:t>WHO Class III, IV or V lupus nephritis</w:t>
            </w:r>
            <w:r w:rsidRPr="00E106BD">
              <w:rPr>
                <w:rFonts w:ascii="Arial" w:hAnsi="Arial" w:cs="Arial"/>
                <w:sz w:val="16"/>
                <w:szCs w:val="16"/>
              </w:rPr>
              <w:br/>
              <w:t>Management</w:t>
            </w:r>
            <w:r w:rsidRPr="00E106BD">
              <w:rPr>
                <w:rFonts w:ascii="Arial" w:hAnsi="Arial" w:cs="Arial"/>
                <w:sz w:val="16"/>
                <w:szCs w:val="16"/>
              </w:rPr>
              <w:br/>
              <w:t>The condition must be proven by biopsy.</w:t>
            </w:r>
            <w:r w:rsidRPr="00E106BD">
              <w:rPr>
                <w:rFonts w:ascii="Arial" w:hAnsi="Arial" w:cs="Arial"/>
                <w:sz w:val="16"/>
                <w:szCs w:val="16"/>
              </w:rPr>
              <w:br/>
              <w:t>Must be treated by a nephrologist or in consultation with a nephrologist.</w:t>
            </w:r>
            <w:r w:rsidRPr="00E106BD">
              <w:rPr>
                <w:rFonts w:ascii="Arial" w:hAnsi="Arial" w:cs="Arial"/>
                <w:sz w:val="16"/>
                <w:szCs w:val="16"/>
              </w:rPr>
              <w:br/>
              <w:t>The name of the consulting nephrologist must be included in the patient medical records.</w:t>
            </w:r>
          </w:p>
        </w:tc>
        <w:tc>
          <w:tcPr>
            <w:tcW w:w="2552" w:type="dxa"/>
            <w:shd w:val="clear" w:color="auto" w:fill="auto"/>
            <w:tcMar>
              <w:top w:w="28" w:type="dxa"/>
              <w:left w:w="28" w:type="dxa"/>
              <w:right w:w="57" w:type="dxa"/>
            </w:tcMar>
          </w:tcPr>
          <w:p w:rsidR="00592D6B" w:rsidRPr="00E106BD" w:rsidRDefault="00592D6B"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9809</w:t>
            </w:r>
          </w:p>
        </w:tc>
      </w:tr>
      <w:tr w:rsidR="00592D6B" w:rsidRPr="00E106BD" w:rsidDel="00E802BB" w:rsidTr="008929EB">
        <w:tc>
          <w:tcPr>
            <w:tcW w:w="1729" w:type="dxa"/>
            <w:tcMar>
              <w:top w:w="28" w:type="dxa"/>
              <w:left w:w="28" w:type="dxa"/>
            </w:tcMar>
          </w:tcPr>
          <w:p w:rsidR="00592D6B" w:rsidRPr="00E106BD" w:rsidDel="00E802BB" w:rsidRDefault="00592D6B" w:rsidP="00881477">
            <w:pPr>
              <w:spacing w:line="240" w:lineRule="auto"/>
              <w:rPr>
                <w:rFonts w:ascii="Arial" w:hAnsi="Arial" w:cs="Arial"/>
                <w:sz w:val="16"/>
                <w:szCs w:val="16"/>
              </w:rPr>
            </w:pPr>
            <w:r w:rsidRPr="00E106BD">
              <w:rPr>
                <w:rFonts w:ascii="Arial" w:eastAsia="SimSun" w:hAnsi="Arial" w:cs="Arial"/>
                <w:sz w:val="16"/>
                <w:szCs w:val="16"/>
                <w:lang w:eastAsia="zh-CN"/>
              </w:rPr>
              <w:t>Natalizumab</w:t>
            </w:r>
          </w:p>
        </w:tc>
        <w:tc>
          <w:tcPr>
            <w:tcW w:w="709" w:type="dxa"/>
            <w:tcMar>
              <w:top w:w="28" w:type="dxa"/>
              <w:left w:w="28" w:type="dxa"/>
            </w:tcMar>
          </w:tcPr>
          <w:p w:rsidR="00592D6B" w:rsidRPr="00E106BD" w:rsidDel="00E802BB" w:rsidRDefault="00592D6B" w:rsidP="00881477">
            <w:pPr>
              <w:spacing w:after="60" w:line="240" w:lineRule="auto"/>
              <w:rPr>
                <w:rFonts w:ascii="Arial" w:hAnsi="Arial" w:cs="Arial"/>
                <w:sz w:val="16"/>
                <w:szCs w:val="16"/>
              </w:rPr>
            </w:pPr>
            <w:r w:rsidRPr="00E106BD">
              <w:rPr>
                <w:rFonts w:ascii="Arial" w:hAnsi="Arial" w:cs="Arial"/>
                <w:sz w:val="16"/>
                <w:szCs w:val="16"/>
              </w:rPr>
              <w:t>C9744</w:t>
            </w:r>
          </w:p>
        </w:tc>
        <w:tc>
          <w:tcPr>
            <w:tcW w:w="709" w:type="dxa"/>
            <w:tcMar>
              <w:top w:w="28" w:type="dxa"/>
              <w:left w:w="28" w:type="dxa"/>
            </w:tcMar>
          </w:tcPr>
          <w:p w:rsidR="00592D6B" w:rsidRPr="00E106BD" w:rsidDel="00E802BB" w:rsidRDefault="00592D6B" w:rsidP="00881477">
            <w:pPr>
              <w:spacing w:after="60" w:line="240" w:lineRule="auto"/>
              <w:rPr>
                <w:rFonts w:ascii="Arial" w:hAnsi="Arial" w:cs="Arial"/>
                <w:sz w:val="16"/>
                <w:szCs w:val="16"/>
              </w:rPr>
            </w:pPr>
          </w:p>
        </w:tc>
        <w:tc>
          <w:tcPr>
            <w:tcW w:w="7654" w:type="dxa"/>
            <w:tcMar>
              <w:top w:w="28" w:type="dxa"/>
              <w:left w:w="28" w:type="dxa"/>
            </w:tcMar>
          </w:tcPr>
          <w:p w:rsidR="00592D6B" w:rsidRPr="00E106BD" w:rsidDel="00E802BB" w:rsidRDefault="00592D6B" w:rsidP="00881477">
            <w:pPr>
              <w:spacing w:after="60" w:line="240" w:lineRule="auto"/>
              <w:rPr>
                <w:rFonts w:ascii="Arial" w:hAnsi="Arial" w:cs="Arial"/>
                <w:sz w:val="16"/>
                <w:szCs w:val="16"/>
              </w:rPr>
            </w:pPr>
            <w:r w:rsidRPr="00E106BD">
              <w:rPr>
                <w:rFonts w:ascii="Arial" w:hAnsi="Arial" w:cs="Arial"/>
                <w:sz w:val="16"/>
                <w:szCs w:val="16"/>
              </w:rPr>
              <w:t>Clinically definite relapsing</w:t>
            </w:r>
            <w:r>
              <w:rPr>
                <w:rFonts w:ascii="Arial" w:hAnsi="Arial" w:cs="Arial"/>
                <w:sz w:val="16"/>
                <w:szCs w:val="16"/>
              </w:rPr>
              <w:noBreakHyphen/>
            </w:r>
            <w:r w:rsidRPr="00E106BD">
              <w:rPr>
                <w:rFonts w:ascii="Arial" w:hAnsi="Arial" w:cs="Arial"/>
                <w:sz w:val="16"/>
                <w:szCs w:val="16"/>
              </w:rPr>
              <w:t>remitting multiple sclerosis</w:t>
            </w:r>
            <w:r w:rsidRPr="00E106BD">
              <w:rPr>
                <w:rFonts w:ascii="Arial" w:hAnsi="Arial" w:cs="Arial"/>
                <w:sz w:val="16"/>
                <w:szCs w:val="16"/>
              </w:rPr>
              <w:br/>
              <w:t>Must be treated by a neurologist.</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The condition must be confirmed by magnetic resonance imaging of the brain and/or spinal cord; OR</w:t>
            </w:r>
            <w:r w:rsidRPr="00E106BD">
              <w:rPr>
                <w:rFonts w:ascii="Arial" w:hAnsi="Arial" w:cs="Arial"/>
                <w:sz w:val="16"/>
                <w:szCs w:val="16"/>
              </w:rPr>
              <w:br/>
              <w:t>Patient must be deemed unsuitable for magnetic resonance imaging due to the risk of physical (not psychological) injury to the patient.</w:t>
            </w:r>
            <w:r w:rsidRPr="00E106BD">
              <w:rPr>
                <w:rFonts w:ascii="Arial" w:hAnsi="Arial" w:cs="Arial"/>
                <w:sz w:val="16"/>
                <w:szCs w:val="16"/>
              </w:rPr>
              <w:br/>
              <w:t>The date of the magnetic resonance imaging scan must be included in the patient</w:t>
            </w:r>
            <w:r w:rsidR="00A653CA">
              <w:rPr>
                <w:rFonts w:ascii="Arial" w:hAnsi="Arial" w:cs="Arial"/>
                <w:sz w:val="16"/>
                <w:szCs w:val="16"/>
              </w:rPr>
              <w:t>’</w:t>
            </w:r>
            <w:r w:rsidRPr="00E106BD">
              <w:rPr>
                <w:rFonts w:ascii="Arial" w:hAnsi="Arial" w:cs="Arial"/>
                <w:sz w:val="16"/>
                <w:szCs w:val="16"/>
              </w:rPr>
              <w:t>s medical notes, unless written certification is provided, in the patient</w:t>
            </w:r>
            <w:r w:rsidR="00A653CA">
              <w:rPr>
                <w:rFonts w:ascii="Arial" w:hAnsi="Arial" w:cs="Arial"/>
                <w:sz w:val="16"/>
                <w:szCs w:val="16"/>
              </w:rPr>
              <w:t>’</w:t>
            </w:r>
            <w:r w:rsidRPr="00E106BD">
              <w:rPr>
                <w:rFonts w:ascii="Arial" w:hAnsi="Arial" w:cs="Arial"/>
                <w:sz w:val="16"/>
                <w:szCs w:val="16"/>
              </w:rPr>
              <w:t>s medical notes, by a radiologist that an MRI scan is contraindicated because of the risk of physical (not psychological) injury to the patient.</w:t>
            </w:r>
            <w:r w:rsidRPr="00E106BD">
              <w:rPr>
                <w:rFonts w:ascii="Arial" w:hAnsi="Arial" w:cs="Arial"/>
                <w:sz w:val="16"/>
                <w:szCs w:val="16"/>
              </w:rPr>
              <w:br/>
              <w:t>Treatment with this drug must cease if there is continuing progression of disability whilst the patient is being treated with this drug.</w:t>
            </w:r>
            <w:r w:rsidRPr="00E106BD">
              <w:rPr>
                <w:rFonts w:ascii="Arial" w:hAnsi="Arial" w:cs="Arial"/>
                <w:sz w:val="16"/>
                <w:szCs w:val="16"/>
              </w:rPr>
              <w:br/>
              <w:t>For continued treatment the patient must demonstrate compliance with, and an ability to tolerate, this drug.</w:t>
            </w:r>
            <w:r w:rsidRPr="00E106BD">
              <w:rPr>
                <w:rFonts w:ascii="Arial" w:hAnsi="Arial" w:cs="Arial"/>
                <w:sz w:val="16"/>
                <w:szCs w:val="16"/>
              </w:rPr>
              <w:br/>
              <w:t>Neurologists prescribing natalizumab under the PBS listing must be registered with the Tysabri Australian Prescribing Program.</w:t>
            </w:r>
          </w:p>
        </w:tc>
        <w:tc>
          <w:tcPr>
            <w:tcW w:w="2552" w:type="dxa"/>
            <w:tcMar>
              <w:top w:w="28" w:type="dxa"/>
              <w:left w:w="28" w:type="dxa"/>
              <w:right w:w="57" w:type="dxa"/>
            </w:tcMar>
          </w:tcPr>
          <w:p w:rsidR="00592D6B" w:rsidRPr="00E106BD" w:rsidDel="00E802BB" w:rsidRDefault="00592D6B" w:rsidP="00F30CCE">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9744</w:t>
            </w:r>
          </w:p>
        </w:tc>
      </w:tr>
      <w:tr w:rsidR="00592D6B" w:rsidRPr="00E106BD" w:rsidDel="00E802BB" w:rsidTr="008929EB">
        <w:tc>
          <w:tcPr>
            <w:tcW w:w="1729" w:type="dxa"/>
            <w:tcMar>
              <w:top w:w="28" w:type="dxa"/>
              <w:left w:w="28" w:type="dxa"/>
            </w:tcMar>
          </w:tcPr>
          <w:p w:rsidR="00592D6B" w:rsidRPr="00E106BD" w:rsidDel="00E802BB" w:rsidRDefault="00592D6B" w:rsidP="00881477">
            <w:pPr>
              <w:spacing w:after="60" w:line="240" w:lineRule="auto"/>
              <w:rPr>
                <w:rFonts w:ascii="Arial" w:hAnsi="Arial" w:cs="Arial"/>
                <w:sz w:val="16"/>
                <w:szCs w:val="16"/>
              </w:rPr>
            </w:pPr>
          </w:p>
        </w:tc>
        <w:tc>
          <w:tcPr>
            <w:tcW w:w="709" w:type="dxa"/>
            <w:tcMar>
              <w:top w:w="28" w:type="dxa"/>
              <w:left w:w="28" w:type="dxa"/>
            </w:tcMar>
          </w:tcPr>
          <w:p w:rsidR="00592D6B" w:rsidRPr="00E106BD" w:rsidDel="00E802BB" w:rsidRDefault="00592D6B" w:rsidP="00881477">
            <w:pPr>
              <w:spacing w:after="60" w:line="240" w:lineRule="auto"/>
              <w:rPr>
                <w:rFonts w:ascii="Arial" w:hAnsi="Arial" w:cs="Arial"/>
                <w:sz w:val="16"/>
                <w:szCs w:val="16"/>
              </w:rPr>
            </w:pPr>
            <w:r w:rsidRPr="00E106BD">
              <w:rPr>
                <w:rFonts w:ascii="Arial" w:hAnsi="Arial" w:cs="Arial"/>
                <w:sz w:val="16"/>
                <w:szCs w:val="16"/>
              </w:rPr>
              <w:t>C9818</w:t>
            </w:r>
          </w:p>
        </w:tc>
        <w:tc>
          <w:tcPr>
            <w:tcW w:w="709" w:type="dxa"/>
            <w:tcMar>
              <w:top w:w="28" w:type="dxa"/>
              <w:left w:w="28" w:type="dxa"/>
            </w:tcMar>
          </w:tcPr>
          <w:p w:rsidR="00592D6B" w:rsidRPr="00E106BD" w:rsidDel="00E802BB" w:rsidRDefault="00592D6B" w:rsidP="00881477">
            <w:pPr>
              <w:spacing w:after="60" w:line="240" w:lineRule="auto"/>
              <w:rPr>
                <w:rFonts w:ascii="Arial" w:hAnsi="Arial" w:cs="Arial"/>
                <w:sz w:val="16"/>
                <w:szCs w:val="16"/>
              </w:rPr>
            </w:pPr>
          </w:p>
        </w:tc>
        <w:tc>
          <w:tcPr>
            <w:tcW w:w="7654" w:type="dxa"/>
            <w:tcMar>
              <w:top w:w="28" w:type="dxa"/>
              <w:left w:w="28" w:type="dxa"/>
            </w:tcMar>
          </w:tcPr>
          <w:p w:rsidR="00592D6B" w:rsidRPr="00E106BD" w:rsidDel="00E802BB" w:rsidRDefault="00592D6B" w:rsidP="00881477">
            <w:pPr>
              <w:spacing w:after="60" w:line="240" w:lineRule="auto"/>
              <w:rPr>
                <w:rFonts w:ascii="Arial" w:hAnsi="Arial" w:cs="Arial"/>
                <w:sz w:val="16"/>
                <w:szCs w:val="16"/>
              </w:rPr>
            </w:pPr>
            <w:r w:rsidRPr="00E106BD">
              <w:rPr>
                <w:rFonts w:ascii="Arial" w:hAnsi="Arial" w:cs="Arial"/>
                <w:sz w:val="16"/>
                <w:szCs w:val="16"/>
              </w:rPr>
              <w:t>Clinically definite relapsing</w:t>
            </w:r>
            <w:r>
              <w:rPr>
                <w:rFonts w:ascii="Arial" w:hAnsi="Arial" w:cs="Arial"/>
                <w:sz w:val="16"/>
                <w:szCs w:val="16"/>
              </w:rPr>
              <w:noBreakHyphen/>
            </w:r>
            <w:r w:rsidRPr="00E106BD">
              <w:rPr>
                <w:rFonts w:ascii="Arial" w:hAnsi="Arial" w:cs="Arial"/>
                <w:sz w:val="16"/>
                <w:szCs w:val="16"/>
              </w:rPr>
              <w:t>remitting multiple sclerosis</w:t>
            </w:r>
            <w:r w:rsidRPr="00E106BD">
              <w:rPr>
                <w:rFonts w:ascii="Arial" w:hAnsi="Arial" w:cs="Arial"/>
                <w:sz w:val="16"/>
                <w:szCs w:val="16"/>
              </w:rPr>
              <w:br/>
              <w:t>Must be treated by a neurologist.</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The condition must be confirmed by magnetic resonance imaging of the brain and/or spinal cord; OR</w:t>
            </w:r>
            <w:r w:rsidRPr="00E106BD">
              <w:rPr>
                <w:rFonts w:ascii="Arial" w:hAnsi="Arial" w:cs="Arial"/>
                <w:sz w:val="16"/>
                <w:szCs w:val="16"/>
              </w:rPr>
              <w:br/>
              <w:t>Patient must be deemed unsuitable for magnetic resonance imaging due to the risk of physical (not psychological) injury to the patient.</w:t>
            </w:r>
            <w:r w:rsidRPr="00E106BD">
              <w:rPr>
                <w:rFonts w:ascii="Arial" w:hAnsi="Arial" w:cs="Arial"/>
                <w:sz w:val="16"/>
                <w:szCs w:val="16"/>
              </w:rPr>
              <w:br/>
              <w:t>The date of the magnetic resonance imaging scan must be included in the patient</w:t>
            </w:r>
            <w:r w:rsidR="00A653CA">
              <w:rPr>
                <w:rFonts w:ascii="Arial" w:hAnsi="Arial" w:cs="Arial"/>
                <w:sz w:val="16"/>
                <w:szCs w:val="16"/>
              </w:rPr>
              <w:t>’</w:t>
            </w:r>
            <w:r w:rsidRPr="00E106BD">
              <w:rPr>
                <w:rFonts w:ascii="Arial" w:hAnsi="Arial" w:cs="Arial"/>
                <w:sz w:val="16"/>
                <w:szCs w:val="16"/>
              </w:rPr>
              <w:t>s medical notes, unless written certification is provided, in the patient</w:t>
            </w:r>
            <w:r w:rsidR="00A653CA">
              <w:rPr>
                <w:rFonts w:ascii="Arial" w:hAnsi="Arial" w:cs="Arial"/>
                <w:sz w:val="16"/>
                <w:szCs w:val="16"/>
              </w:rPr>
              <w:t>’</w:t>
            </w:r>
            <w:r w:rsidRPr="00E106BD">
              <w:rPr>
                <w:rFonts w:ascii="Arial" w:hAnsi="Arial" w:cs="Arial"/>
                <w:sz w:val="16"/>
                <w:szCs w:val="16"/>
              </w:rPr>
              <w:t>s medical notes, by a radiologist that an MRI scan is contraindicated because of the risk of physical (not psychological) injury to the patient.</w:t>
            </w:r>
            <w:r w:rsidRPr="00E106BD">
              <w:rPr>
                <w:rFonts w:ascii="Arial" w:hAnsi="Arial" w:cs="Arial"/>
                <w:sz w:val="16"/>
                <w:szCs w:val="16"/>
              </w:rPr>
              <w:br/>
              <w:t>Treatment with this drug must cease if there is continuing progression of disability whilst the patient is being treated with this drug.</w:t>
            </w:r>
            <w:r w:rsidRPr="00E106BD">
              <w:rPr>
                <w:rFonts w:ascii="Arial" w:hAnsi="Arial" w:cs="Arial"/>
                <w:sz w:val="16"/>
                <w:szCs w:val="16"/>
              </w:rPr>
              <w:br/>
              <w:t>For continued treatment the patient must demonstrate compliance with, and an ability to tolerate, this drug.</w:t>
            </w:r>
            <w:r w:rsidRPr="00E106BD">
              <w:rPr>
                <w:rFonts w:ascii="Arial" w:hAnsi="Arial" w:cs="Arial"/>
                <w:sz w:val="16"/>
                <w:szCs w:val="16"/>
              </w:rPr>
              <w:br/>
              <w:t>Neurologists prescribing natalizumab under the PBS listing must be registered with the Tysabri Australian Prescribing Program.</w:t>
            </w:r>
          </w:p>
        </w:tc>
        <w:tc>
          <w:tcPr>
            <w:tcW w:w="2552" w:type="dxa"/>
            <w:tcMar>
              <w:top w:w="28" w:type="dxa"/>
              <w:left w:w="28" w:type="dxa"/>
              <w:right w:w="57" w:type="dxa"/>
            </w:tcMar>
          </w:tcPr>
          <w:p w:rsidR="00592D6B" w:rsidRPr="00E106BD" w:rsidDel="00E802BB" w:rsidRDefault="00592D6B" w:rsidP="00F30CCE">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9818</w:t>
            </w:r>
          </w:p>
        </w:tc>
      </w:tr>
      <w:tr w:rsidR="00592D6B" w:rsidRPr="00E106BD" w:rsidDel="00C92AAE" w:rsidTr="008929EB">
        <w:trPr>
          <w:cantSplit/>
        </w:trPr>
        <w:tc>
          <w:tcPr>
            <w:tcW w:w="172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bookmarkStart w:id="204" w:name="CU_392659430"/>
            <w:bookmarkEnd w:id="204"/>
            <w:r w:rsidRPr="00E106BD">
              <w:rPr>
                <w:rFonts w:ascii="Arial" w:hAnsi="Arial" w:cs="Arial"/>
                <w:sz w:val="16"/>
                <w:szCs w:val="16"/>
              </w:rPr>
              <w:t>Nevirapine</w:t>
            </w:r>
          </w:p>
        </w:tc>
        <w:tc>
          <w:tcPr>
            <w:tcW w:w="709" w:type="dxa"/>
            <w:tcBorders>
              <w:bottom w:val="single" w:sz="4" w:space="0" w:color="auto"/>
            </w:tcBorders>
            <w:tcMar>
              <w:top w:w="28" w:type="dxa"/>
              <w:left w:w="28" w:type="dxa"/>
            </w:tcMar>
          </w:tcPr>
          <w:p w:rsidR="00592D6B" w:rsidRPr="00E106BD" w:rsidDel="00C92AAE" w:rsidRDefault="00592D6B" w:rsidP="00881477">
            <w:pPr>
              <w:spacing w:line="240" w:lineRule="auto"/>
              <w:rPr>
                <w:rFonts w:ascii="Arial" w:hAnsi="Arial" w:cs="Arial"/>
                <w:sz w:val="16"/>
                <w:szCs w:val="16"/>
              </w:rPr>
            </w:pPr>
            <w:r w:rsidRPr="00E106BD">
              <w:rPr>
                <w:rFonts w:ascii="Arial" w:hAnsi="Arial" w:cs="Arial"/>
                <w:sz w:val="16"/>
                <w:szCs w:val="16"/>
              </w:rPr>
              <w:t>C4454</w:t>
            </w:r>
          </w:p>
        </w:tc>
        <w:tc>
          <w:tcPr>
            <w:tcW w:w="70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p>
          <w:p w:rsidR="00592D6B" w:rsidRPr="00E106BD" w:rsidDel="00C92AAE" w:rsidRDefault="00592D6B" w:rsidP="00881477">
            <w:pPr>
              <w:spacing w:after="60"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tcBorders>
              <w:bottom w:val="single" w:sz="4" w:space="0" w:color="auto"/>
            </w:tcBorders>
            <w:tcMar>
              <w:top w:w="28" w:type="dxa"/>
              <w:left w:w="28" w:type="dxa"/>
              <w:right w:w="57" w:type="dxa"/>
            </w:tcMar>
          </w:tcPr>
          <w:p w:rsidR="00592D6B" w:rsidRPr="00E106BD" w:rsidDel="00C92AAE" w:rsidRDefault="00592D6B" w:rsidP="00EF65A2">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592D6B" w:rsidRPr="00E106BD" w:rsidDel="00C92AAE" w:rsidTr="008929EB">
        <w:trPr>
          <w:cantSplit/>
        </w:trPr>
        <w:tc>
          <w:tcPr>
            <w:tcW w:w="172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p>
        </w:tc>
        <w:tc>
          <w:tcPr>
            <w:tcW w:w="709" w:type="dxa"/>
            <w:tcBorders>
              <w:bottom w:val="single" w:sz="4" w:space="0" w:color="auto"/>
            </w:tcBorders>
            <w:tcMar>
              <w:top w:w="28" w:type="dxa"/>
              <w:left w:w="28" w:type="dxa"/>
            </w:tcMar>
          </w:tcPr>
          <w:p w:rsidR="00592D6B" w:rsidRPr="00E106BD" w:rsidDel="00C92AAE" w:rsidRDefault="00592D6B" w:rsidP="00881477">
            <w:pPr>
              <w:spacing w:line="240" w:lineRule="auto"/>
              <w:rPr>
                <w:rFonts w:ascii="Arial" w:hAnsi="Arial" w:cs="Arial"/>
                <w:sz w:val="16"/>
                <w:szCs w:val="16"/>
              </w:rPr>
            </w:pPr>
            <w:r w:rsidRPr="00E106BD">
              <w:rPr>
                <w:rFonts w:ascii="Arial" w:hAnsi="Arial" w:cs="Arial"/>
                <w:sz w:val="16"/>
                <w:szCs w:val="16"/>
              </w:rPr>
              <w:t>C4512</w:t>
            </w:r>
          </w:p>
        </w:tc>
        <w:tc>
          <w:tcPr>
            <w:tcW w:w="70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592D6B" w:rsidRPr="00E106BD" w:rsidDel="00C92AAE" w:rsidRDefault="00592D6B" w:rsidP="00881477">
            <w:pPr>
              <w:spacing w:after="60"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tcBorders>
              <w:bottom w:val="single" w:sz="4" w:space="0" w:color="auto"/>
            </w:tcBorders>
            <w:tcMar>
              <w:top w:w="28" w:type="dxa"/>
              <w:left w:w="28" w:type="dxa"/>
              <w:right w:w="57" w:type="dxa"/>
            </w:tcMar>
          </w:tcPr>
          <w:p w:rsidR="00592D6B" w:rsidRPr="00E106BD" w:rsidDel="00C92AAE" w:rsidRDefault="00592D6B" w:rsidP="00EF65A2">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592D6B" w:rsidRPr="00E106BD" w:rsidDel="00C92AAE" w:rsidTr="008929EB">
        <w:trPr>
          <w:cantSplit/>
        </w:trPr>
        <w:tc>
          <w:tcPr>
            <w:tcW w:w="172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p>
        </w:tc>
        <w:tc>
          <w:tcPr>
            <w:tcW w:w="709" w:type="dxa"/>
            <w:tcBorders>
              <w:bottom w:val="single" w:sz="4" w:space="0" w:color="auto"/>
            </w:tcBorders>
            <w:tcMar>
              <w:top w:w="28" w:type="dxa"/>
              <w:left w:w="28" w:type="dxa"/>
            </w:tcMar>
          </w:tcPr>
          <w:p w:rsidR="00592D6B" w:rsidRPr="00E106BD" w:rsidDel="00C92AAE" w:rsidRDefault="00592D6B" w:rsidP="00881477">
            <w:pPr>
              <w:spacing w:line="240" w:lineRule="auto"/>
              <w:rPr>
                <w:rFonts w:ascii="Arial" w:hAnsi="Arial" w:cs="Arial"/>
                <w:sz w:val="16"/>
                <w:szCs w:val="16"/>
              </w:rPr>
            </w:pPr>
            <w:r w:rsidRPr="00E106BD">
              <w:rPr>
                <w:rFonts w:ascii="Arial" w:hAnsi="Arial" w:cs="Arial"/>
                <w:sz w:val="16"/>
                <w:szCs w:val="16"/>
              </w:rPr>
              <w:t>C4526</w:t>
            </w:r>
          </w:p>
        </w:tc>
        <w:tc>
          <w:tcPr>
            <w:tcW w:w="70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592D6B" w:rsidRPr="00E106BD" w:rsidDel="00C92AAE" w:rsidRDefault="00592D6B" w:rsidP="00881477">
            <w:pPr>
              <w:spacing w:after="60" w:line="240" w:lineRule="auto"/>
              <w:rPr>
                <w:rFonts w:ascii="Arial" w:hAnsi="Arial" w:cs="Arial"/>
                <w:sz w:val="16"/>
                <w:szCs w:val="16"/>
              </w:rPr>
            </w:pPr>
            <w:r w:rsidRPr="00E106BD">
              <w:rPr>
                <w:rFonts w:ascii="Arial" w:hAnsi="Arial" w:cs="Arial"/>
                <w:sz w:val="16"/>
                <w:szCs w:val="16"/>
              </w:rPr>
              <w:t>Patient must have been stabilised on nevirapine immediate release; AND</w:t>
            </w:r>
            <w:r w:rsidRPr="00E106BD">
              <w:rPr>
                <w:rFonts w:ascii="Arial" w:hAnsi="Arial" w:cs="Arial"/>
                <w:sz w:val="16"/>
                <w:szCs w:val="16"/>
              </w:rPr>
              <w:br/>
              <w:t>The treatment must be in combination with other antiretroviral agents</w:t>
            </w:r>
          </w:p>
        </w:tc>
        <w:tc>
          <w:tcPr>
            <w:tcW w:w="2552" w:type="dxa"/>
            <w:tcBorders>
              <w:bottom w:val="single" w:sz="4" w:space="0" w:color="auto"/>
            </w:tcBorders>
            <w:tcMar>
              <w:top w:w="28" w:type="dxa"/>
              <w:left w:w="28" w:type="dxa"/>
              <w:right w:w="57" w:type="dxa"/>
            </w:tcMar>
          </w:tcPr>
          <w:p w:rsidR="00592D6B" w:rsidRPr="00E106BD" w:rsidDel="00C92AAE" w:rsidRDefault="00592D6B" w:rsidP="00EF65A2">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4526</w:t>
            </w:r>
          </w:p>
        </w:tc>
      </w:tr>
      <w:tr w:rsidR="00592D6B" w:rsidRPr="00E106BD" w:rsidDel="00C92AAE" w:rsidTr="008929EB">
        <w:tc>
          <w:tcPr>
            <w:tcW w:w="172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r w:rsidRPr="00E106BD">
              <w:rPr>
                <w:rFonts w:ascii="Arial" w:hAnsi="Arial" w:cs="Arial"/>
                <w:sz w:val="16"/>
                <w:szCs w:val="16"/>
              </w:rPr>
              <w:t>Nusinersen</w:t>
            </w:r>
          </w:p>
        </w:tc>
        <w:tc>
          <w:tcPr>
            <w:tcW w:w="709" w:type="dxa"/>
            <w:tcBorders>
              <w:bottom w:val="single" w:sz="4" w:space="0" w:color="auto"/>
            </w:tcBorders>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C7849</w:t>
            </w:r>
          </w:p>
        </w:tc>
        <w:tc>
          <w:tcPr>
            <w:tcW w:w="70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592D6B" w:rsidRPr="00E106BD" w:rsidRDefault="00592D6B"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Spinal muscular atrophy (SMA)</w:t>
            </w:r>
          </w:p>
          <w:p w:rsidR="00592D6B" w:rsidRPr="00E106BD" w:rsidRDefault="00592D6B"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 xml:space="preserve">Initial treatment </w:t>
            </w:r>
            <w:r>
              <w:rPr>
                <w:rFonts w:ascii="Arial" w:eastAsia="Times New Roman" w:hAnsi="Arial" w:cs="Arial"/>
                <w:sz w:val="16"/>
                <w:szCs w:val="16"/>
              </w:rPr>
              <w:noBreakHyphen/>
            </w:r>
            <w:r w:rsidRPr="00E106BD">
              <w:rPr>
                <w:rFonts w:ascii="Arial" w:eastAsia="Times New Roman" w:hAnsi="Arial" w:cs="Arial"/>
                <w:sz w:val="16"/>
                <w:szCs w:val="16"/>
              </w:rPr>
              <w:t xml:space="preserve"> Loading doses</w:t>
            </w:r>
          </w:p>
          <w:p w:rsidR="00592D6B" w:rsidRPr="00E106BD" w:rsidRDefault="00592D6B" w:rsidP="00881477">
            <w:pPr>
              <w:spacing w:line="240" w:lineRule="auto"/>
              <w:rPr>
                <w:rFonts w:ascii="Arial" w:hAnsi="Arial" w:cs="Arial"/>
                <w:sz w:val="16"/>
                <w:szCs w:val="16"/>
              </w:rPr>
            </w:pPr>
            <w:r w:rsidRPr="00E106BD">
              <w:rPr>
                <w:rFonts w:ascii="Arial" w:eastAsia="Times New Roman" w:hAnsi="Arial" w:cs="Arial"/>
                <w:sz w:val="16"/>
                <w:szCs w:val="16"/>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w:t>
            </w:r>
            <w:r w:rsidRPr="00E106BD">
              <w:rPr>
                <w:rFonts w:ascii="Arial" w:eastAsia="Times New Roman" w:hAnsi="Arial" w:cs="Arial"/>
                <w:sz w:val="16"/>
                <w:szCs w:val="16"/>
              </w:rPr>
              <w:br/>
              <w:t>The condition must 5q homozygous deletion, mutation of, or compound heterozygous mutation in the SMN1 gene of type I, II or IIIa; AND</w:t>
            </w:r>
            <w:r w:rsidRPr="00E106BD">
              <w:rPr>
                <w:rFonts w:ascii="Arial" w:eastAsia="Times New Roman" w:hAnsi="Arial" w:cs="Arial"/>
                <w:sz w:val="16"/>
                <w:szCs w:val="16"/>
              </w:rPr>
              <w:br/>
              <w:t>Patient must have experienced at least two of the defined signs and symptoms of SMA type I, II or IIIa prior to 3 years of age; AND</w:t>
            </w:r>
            <w:r w:rsidRPr="00E106BD">
              <w:rPr>
                <w:rFonts w:ascii="Arial" w:eastAsia="Times New Roman" w:hAnsi="Arial" w:cs="Arial"/>
                <w:sz w:val="16"/>
                <w:szCs w:val="16"/>
              </w:rPr>
              <w:br/>
              <w:t>The treatment must be given concomitantly with standard of care for this condition; AND</w:t>
            </w:r>
            <w:r w:rsidRPr="00E106BD">
              <w:rPr>
                <w:rFonts w:ascii="Arial" w:eastAsia="Times New Roman" w:hAnsi="Arial" w:cs="Arial"/>
                <w:sz w:val="16"/>
                <w:szCs w:val="16"/>
              </w:rPr>
              <w:br/>
              <w:t>The treatment must not exceed four loading doses (at days 0, 14, 28 and 63) under this restriction.</w:t>
            </w:r>
            <w:r w:rsidRPr="00E106BD">
              <w:rPr>
                <w:rFonts w:ascii="Arial" w:eastAsia="Times New Roman" w:hAnsi="Arial" w:cs="Arial"/>
                <w:sz w:val="16"/>
                <w:szCs w:val="16"/>
              </w:rPr>
              <w:br/>
              <w:t>Patient must be 18 years of age or under.</w:t>
            </w:r>
            <w:r w:rsidRPr="00E106BD">
              <w:rPr>
                <w:rFonts w:ascii="Arial" w:eastAsia="Times New Roman" w:hAnsi="Arial" w:cs="Arial"/>
                <w:sz w:val="16"/>
                <w:szCs w:val="16"/>
              </w:rPr>
              <w:br/>
              <w:t>Defined signs and symptoms of type I SMA are:</w:t>
            </w:r>
            <w:r w:rsidRPr="00E106BD">
              <w:rPr>
                <w:rFonts w:ascii="Arial" w:eastAsia="Times New Roman" w:hAnsi="Arial" w:cs="Arial"/>
                <w:sz w:val="16"/>
                <w:szCs w:val="16"/>
              </w:rPr>
              <w:br/>
              <w:t>i) Onset before 6 months of age; and</w:t>
            </w:r>
            <w:r w:rsidRPr="00E106BD">
              <w:rPr>
                <w:rFonts w:ascii="Arial" w:eastAsia="Times New Roman" w:hAnsi="Arial" w:cs="Arial"/>
                <w:sz w:val="16"/>
                <w:szCs w:val="16"/>
              </w:rPr>
              <w:br/>
              <w:t>ii) Failure to meet or regression in ability to perform age</w:t>
            </w:r>
            <w:r>
              <w:rPr>
                <w:rFonts w:ascii="Arial" w:eastAsia="Times New Roman" w:hAnsi="Arial" w:cs="Arial"/>
                <w:sz w:val="16"/>
                <w:szCs w:val="16"/>
              </w:rPr>
              <w:noBreakHyphen/>
            </w:r>
            <w:r w:rsidRPr="00E106BD">
              <w:rPr>
                <w:rFonts w:ascii="Arial" w:eastAsia="Times New Roman" w:hAnsi="Arial" w:cs="Arial"/>
                <w:sz w:val="16"/>
                <w:szCs w:val="16"/>
              </w:rPr>
              <w:t>appropriate motor milestones; or</w:t>
            </w:r>
            <w:r w:rsidRPr="00E106BD">
              <w:rPr>
                <w:rFonts w:ascii="Arial" w:eastAsia="Times New Roman" w:hAnsi="Arial" w:cs="Arial"/>
                <w:sz w:val="16"/>
                <w:szCs w:val="16"/>
              </w:rPr>
              <w:br/>
              <w:t>iii) Proximal weakness; or</w:t>
            </w:r>
            <w:r w:rsidRPr="00E106BD">
              <w:rPr>
                <w:rFonts w:ascii="Arial" w:eastAsia="Times New Roman" w:hAnsi="Arial" w:cs="Arial"/>
                <w:sz w:val="16"/>
                <w:szCs w:val="16"/>
              </w:rPr>
              <w:br/>
              <w:t>iv) Hypotonia; or</w:t>
            </w:r>
            <w:r w:rsidRPr="00E106BD">
              <w:rPr>
                <w:rFonts w:ascii="Arial" w:eastAsia="Times New Roman" w:hAnsi="Arial" w:cs="Arial"/>
                <w:sz w:val="16"/>
                <w:szCs w:val="16"/>
              </w:rPr>
              <w:br/>
              <w:t>v) Absence of deep tendon reflexes; or</w:t>
            </w:r>
            <w:r w:rsidRPr="00E106BD">
              <w:rPr>
                <w:rFonts w:ascii="Arial" w:eastAsia="Times New Roman" w:hAnsi="Arial" w:cs="Arial"/>
                <w:sz w:val="16"/>
                <w:szCs w:val="16"/>
              </w:rPr>
              <w:br/>
              <w:t>vi) Failure to gain weight appropriate for age; or</w:t>
            </w:r>
            <w:r w:rsidRPr="00E106BD">
              <w:rPr>
                <w:rFonts w:ascii="Arial" w:eastAsia="Times New Roman" w:hAnsi="Arial" w:cs="Arial"/>
                <w:sz w:val="16"/>
                <w:szCs w:val="16"/>
              </w:rPr>
              <w:br/>
              <w:t>vii) Any active chronic neurogenic changes; or</w:t>
            </w:r>
            <w:r w:rsidRPr="00E106BD">
              <w:rPr>
                <w:rFonts w:ascii="Arial" w:eastAsia="Times New Roman" w:hAnsi="Arial" w:cs="Arial"/>
                <w:sz w:val="16"/>
                <w:szCs w:val="16"/>
              </w:rPr>
              <w:br/>
              <w:t>viii) A compound muscle action potential below normative values for an age</w:t>
            </w:r>
            <w:r>
              <w:rPr>
                <w:rFonts w:ascii="Arial" w:eastAsia="Times New Roman" w:hAnsi="Arial" w:cs="Arial"/>
                <w:sz w:val="16"/>
                <w:szCs w:val="16"/>
              </w:rPr>
              <w:noBreakHyphen/>
            </w:r>
            <w:r w:rsidRPr="00E106BD">
              <w:rPr>
                <w:rFonts w:ascii="Arial" w:eastAsia="Times New Roman" w:hAnsi="Arial" w:cs="Arial"/>
                <w:sz w:val="16"/>
                <w:szCs w:val="16"/>
              </w:rPr>
              <w:t>matched child.</w:t>
            </w:r>
            <w:r w:rsidRPr="00E106BD">
              <w:rPr>
                <w:rFonts w:ascii="Arial" w:eastAsia="Times New Roman" w:hAnsi="Arial" w:cs="Arial"/>
                <w:sz w:val="16"/>
                <w:szCs w:val="16"/>
              </w:rPr>
              <w:br/>
              <w:t>Defined signs and symptoms of type II SMA are:</w:t>
            </w:r>
            <w:r w:rsidRPr="00E106BD">
              <w:rPr>
                <w:rFonts w:ascii="Arial" w:eastAsia="Times New Roman" w:hAnsi="Arial" w:cs="Arial"/>
                <w:sz w:val="16"/>
                <w:szCs w:val="16"/>
              </w:rPr>
              <w:br/>
              <w:t>i) Onset between 6 and 18 months; and</w:t>
            </w:r>
            <w:r w:rsidRPr="00E106BD">
              <w:rPr>
                <w:rFonts w:ascii="Arial" w:eastAsia="Times New Roman" w:hAnsi="Arial" w:cs="Arial"/>
                <w:sz w:val="16"/>
                <w:szCs w:val="16"/>
              </w:rPr>
              <w:br/>
              <w:t>ii) Failure to meet or regression in ability to perform age</w:t>
            </w:r>
            <w:r>
              <w:rPr>
                <w:rFonts w:ascii="Arial" w:eastAsia="Times New Roman" w:hAnsi="Arial" w:cs="Arial"/>
                <w:sz w:val="16"/>
                <w:szCs w:val="16"/>
              </w:rPr>
              <w:noBreakHyphen/>
            </w:r>
            <w:r w:rsidRPr="00E106BD">
              <w:rPr>
                <w:rFonts w:ascii="Arial" w:eastAsia="Times New Roman" w:hAnsi="Arial" w:cs="Arial"/>
                <w:sz w:val="16"/>
                <w:szCs w:val="16"/>
              </w:rPr>
              <w:t>appropriate motor milestones; or</w:t>
            </w:r>
            <w:r w:rsidRPr="00E106BD">
              <w:rPr>
                <w:rFonts w:ascii="Arial" w:eastAsia="Times New Roman" w:hAnsi="Arial" w:cs="Arial"/>
                <w:sz w:val="16"/>
                <w:szCs w:val="16"/>
              </w:rPr>
              <w:br/>
              <w:t>iii) Proximal weakness; or</w:t>
            </w:r>
            <w:r w:rsidRPr="00E106BD">
              <w:rPr>
                <w:rFonts w:ascii="Arial" w:eastAsia="Times New Roman" w:hAnsi="Arial" w:cs="Arial"/>
                <w:sz w:val="16"/>
                <w:szCs w:val="16"/>
              </w:rPr>
              <w:br/>
              <w:t>iv) Weakness in trunk righting/derotation; or</w:t>
            </w:r>
            <w:r w:rsidRPr="00E106BD">
              <w:rPr>
                <w:rFonts w:ascii="Arial" w:eastAsia="Times New Roman" w:hAnsi="Arial" w:cs="Arial"/>
                <w:sz w:val="16"/>
                <w:szCs w:val="16"/>
              </w:rPr>
              <w:br/>
              <w:t>v) Hypotonia; or</w:t>
            </w:r>
            <w:r w:rsidRPr="00E106BD">
              <w:rPr>
                <w:rFonts w:ascii="Arial" w:eastAsia="Times New Roman" w:hAnsi="Arial" w:cs="Arial"/>
                <w:sz w:val="16"/>
                <w:szCs w:val="16"/>
              </w:rPr>
              <w:br/>
              <w:t>vi) Absence of deep tendon reflexes; or</w:t>
            </w:r>
            <w:r w:rsidRPr="00E106BD">
              <w:rPr>
                <w:rFonts w:ascii="Arial" w:eastAsia="Times New Roman" w:hAnsi="Arial" w:cs="Arial"/>
                <w:sz w:val="16"/>
                <w:szCs w:val="16"/>
              </w:rPr>
              <w:br/>
              <w:t>vii) Failure to gain weight appropriate for age; or</w:t>
            </w:r>
            <w:r w:rsidRPr="00E106BD">
              <w:rPr>
                <w:rFonts w:ascii="Arial" w:eastAsia="Times New Roman" w:hAnsi="Arial" w:cs="Arial"/>
                <w:sz w:val="16"/>
                <w:szCs w:val="16"/>
              </w:rPr>
              <w:br/>
              <w:t>viii) Any active chronic neurogenic changes; or</w:t>
            </w:r>
            <w:r w:rsidRPr="00E106BD">
              <w:rPr>
                <w:rFonts w:ascii="Arial" w:eastAsia="Times New Roman" w:hAnsi="Arial" w:cs="Arial"/>
                <w:sz w:val="16"/>
                <w:szCs w:val="16"/>
              </w:rPr>
              <w:br/>
              <w:t>ix) A compound muscle action potential below normative values for an age</w:t>
            </w:r>
            <w:r>
              <w:rPr>
                <w:rFonts w:ascii="Arial" w:eastAsia="Times New Roman" w:hAnsi="Arial" w:cs="Arial"/>
                <w:sz w:val="16"/>
                <w:szCs w:val="16"/>
              </w:rPr>
              <w:noBreakHyphen/>
            </w:r>
            <w:r w:rsidRPr="00E106BD">
              <w:rPr>
                <w:rFonts w:ascii="Arial" w:eastAsia="Times New Roman" w:hAnsi="Arial" w:cs="Arial"/>
                <w:sz w:val="16"/>
                <w:szCs w:val="16"/>
              </w:rPr>
              <w:t>matched child.</w:t>
            </w:r>
            <w:r w:rsidRPr="00E106BD">
              <w:rPr>
                <w:rFonts w:ascii="Arial" w:eastAsia="Times New Roman" w:hAnsi="Arial" w:cs="Arial"/>
                <w:sz w:val="16"/>
                <w:szCs w:val="16"/>
              </w:rPr>
              <w:br/>
              <w:t>Defined signs and symptoms of type IIIa SMA are:</w:t>
            </w:r>
            <w:r w:rsidRPr="00E106BD">
              <w:rPr>
                <w:rFonts w:ascii="Arial" w:eastAsia="Times New Roman" w:hAnsi="Arial" w:cs="Arial"/>
                <w:sz w:val="16"/>
                <w:szCs w:val="16"/>
              </w:rPr>
              <w:br/>
              <w:t>i) Onset between 18 months and 3 years of age; and</w:t>
            </w:r>
            <w:r w:rsidRPr="00E106BD">
              <w:rPr>
                <w:rFonts w:ascii="Arial" w:eastAsia="Times New Roman" w:hAnsi="Arial" w:cs="Arial"/>
                <w:sz w:val="16"/>
                <w:szCs w:val="16"/>
              </w:rPr>
              <w:br/>
              <w:t>ii) Failure to meet or regression in ability to perform age</w:t>
            </w:r>
            <w:r>
              <w:rPr>
                <w:rFonts w:ascii="Arial" w:eastAsia="Times New Roman" w:hAnsi="Arial" w:cs="Arial"/>
                <w:sz w:val="16"/>
                <w:szCs w:val="16"/>
              </w:rPr>
              <w:noBreakHyphen/>
            </w:r>
            <w:r w:rsidRPr="00E106BD">
              <w:rPr>
                <w:rFonts w:ascii="Arial" w:eastAsia="Times New Roman" w:hAnsi="Arial" w:cs="Arial"/>
                <w:sz w:val="16"/>
                <w:szCs w:val="16"/>
              </w:rPr>
              <w:t>appropriate motor milestones; or</w:t>
            </w:r>
            <w:r w:rsidRPr="00E106BD">
              <w:rPr>
                <w:rFonts w:ascii="Arial" w:eastAsia="Times New Roman" w:hAnsi="Arial" w:cs="Arial"/>
                <w:sz w:val="16"/>
                <w:szCs w:val="16"/>
              </w:rPr>
              <w:br/>
              <w:t>iii) Proximal weakness; or</w:t>
            </w:r>
            <w:r w:rsidRPr="00E106BD">
              <w:rPr>
                <w:rFonts w:ascii="Arial" w:eastAsia="Times New Roman" w:hAnsi="Arial" w:cs="Arial"/>
                <w:sz w:val="16"/>
                <w:szCs w:val="16"/>
              </w:rPr>
              <w:br/>
              <w:t>iv) Hypotonia; or</w:t>
            </w:r>
            <w:r w:rsidRPr="00E106BD">
              <w:rPr>
                <w:rFonts w:ascii="Arial" w:eastAsia="Times New Roman" w:hAnsi="Arial" w:cs="Arial"/>
                <w:sz w:val="16"/>
                <w:szCs w:val="16"/>
              </w:rPr>
              <w:br/>
              <w:t>v) Absence of deep tendon reflexes; or</w:t>
            </w:r>
            <w:r w:rsidRPr="00E106BD">
              <w:rPr>
                <w:rFonts w:ascii="Arial" w:eastAsia="Times New Roman" w:hAnsi="Arial" w:cs="Arial"/>
                <w:sz w:val="16"/>
                <w:szCs w:val="16"/>
              </w:rPr>
              <w:br/>
              <w:t>vi) Failure to gain weight appropriate for age; or</w:t>
            </w:r>
            <w:r w:rsidRPr="00E106BD">
              <w:rPr>
                <w:rFonts w:ascii="Arial" w:eastAsia="Times New Roman" w:hAnsi="Arial" w:cs="Arial"/>
                <w:sz w:val="16"/>
                <w:szCs w:val="16"/>
              </w:rPr>
              <w:br/>
              <w:t>vii) Any active chronic neurogenic changes; or</w:t>
            </w:r>
            <w:r w:rsidRPr="00E106BD">
              <w:rPr>
                <w:rFonts w:ascii="Arial" w:eastAsia="Times New Roman" w:hAnsi="Arial" w:cs="Arial"/>
                <w:sz w:val="16"/>
                <w:szCs w:val="16"/>
              </w:rPr>
              <w:br/>
              <w:t>viii) A compound muscle action potential below normative values for an age</w:t>
            </w:r>
            <w:r>
              <w:rPr>
                <w:rFonts w:ascii="Arial" w:eastAsia="Times New Roman" w:hAnsi="Arial" w:cs="Arial"/>
                <w:sz w:val="16"/>
                <w:szCs w:val="16"/>
              </w:rPr>
              <w:noBreakHyphen/>
            </w:r>
            <w:r w:rsidRPr="00E106BD">
              <w:rPr>
                <w:rFonts w:ascii="Arial" w:eastAsia="Times New Roman" w:hAnsi="Arial" w:cs="Arial"/>
                <w:sz w:val="16"/>
                <w:szCs w:val="16"/>
              </w:rPr>
              <w:t>matched child.</w:t>
            </w:r>
            <w:r w:rsidRPr="00E106BD">
              <w:rPr>
                <w:rFonts w:ascii="Arial" w:eastAsia="Times New Roman" w:hAnsi="Arial" w:cs="Arial"/>
                <w:sz w:val="16"/>
                <w:szCs w:val="16"/>
              </w:rPr>
              <w:br/>
              <w:t>Recognised hospitals in the management of SMA are Lady Cilento Children</w:t>
            </w:r>
            <w:r w:rsidR="00A653CA">
              <w:rPr>
                <w:rFonts w:ascii="Arial" w:eastAsia="Times New Roman" w:hAnsi="Arial" w:cs="Arial"/>
                <w:sz w:val="16"/>
                <w:szCs w:val="16"/>
              </w:rPr>
              <w:t>’</w:t>
            </w:r>
            <w:r w:rsidRPr="00E106BD">
              <w:rPr>
                <w:rFonts w:ascii="Arial" w:eastAsia="Times New Roman" w:hAnsi="Arial" w:cs="Arial"/>
                <w:sz w:val="16"/>
                <w:szCs w:val="16"/>
              </w:rPr>
              <w:t>s Hospital (Brisbane), Royal Children</w:t>
            </w:r>
            <w:r w:rsidR="00A653CA">
              <w:rPr>
                <w:rFonts w:ascii="Arial" w:eastAsia="Times New Roman" w:hAnsi="Arial" w:cs="Arial"/>
                <w:sz w:val="16"/>
                <w:szCs w:val="16"/>
              </w:rPr>
              <w:t>’</w:t>
            </w:r>
            <w:r w:rsidRPr="00E106BD">
              <w:rPr>
                <w:rFonts w:ascii="Arial" w:eastAsia="Times New Roman" w:hAnsi="Arial" w:cs="Arial"/>
                <w:sz w:val="16"/>
                <w:szCs w:val="16"/>
              </w:rPr>
              <w:t>s Hospital Melbourne, Monash Children</w:t>
            </w:r>
            <w:r w:rsidR="00A653CA">
              <w:rPr>
                <w:rFonts w:ascii="Arial" w:eastAsia="Times New Roman" w:hAnsi="Arial" w:cs="Arial"/>
                <w:sz w:val="16"/>
                <w:szCs w:val="16"/>
              </w:rPr>
              <w:t>’</w:t>
            </w:r>
            <w:r w:rsidRPr="00E106BD">
              <w:rPr>
                <w:rFonts w:ascii="Arial" w:eastAsia="Times New Roman" w:hAnsi="Arial" w:cs="Arial"/>
                <w:sz w:val="16"/>
                <w:szCs w:val="16"/>
              </w:rPr>
              <w:t>s Hospital (Melbourne), John Hunter Hospital (Newcastle), Sydney Children</w:t>
            </w:r>
            <w:r w:rsidR="00A653CA">
              <w:rPr>
                <w:rFonts w:ascii="Arial" w:eastAsia="Times New Roman" w:hAnsi="Arial" w:cs="Arial"/>
                <w:sz w:val="16"/>
                <w:szCs w:val="16"/>
              </w:rPr>
              <w:t>’</w:t>
            </w:r>
            <w:r w:rsidRPr="00E106BD">
              <w:rPr>
                <w:rFonts w:ascii="Arial" w:eastAsia="Times New Roman" w:hAnsi="Arial" w:cs="Arial"/>
                <w:sz w:val="16"/>
                <w:szCs w:val="16"/>
              </w:rPr>
              <w:t>s Hospital Randwick, Children</w:t>
            </w:r>
            <w:r w:rsidR="00A653CA">
              <w:rPr>
                <w:rFonts w:ascii="Arial" w:eastAsia="Times New Roman" w:hAnsi="Arial" w:cs="Arial"/>
                <w:sz w:val="16"/>
                <w:szCs w:val="16"/>
              </w:rPr>
              <w:t>’</w:t>
            </w:r>
            <w:r w:rsidRPr="00E106BD">
              <w:rPr>
                <w:rFonts w:ascii="Arial" w:eastAsia="Times New Roman" w:hAnsi="Arial" w:cs="Arial"/>
                <w:sz w:val="16"/>
                <w:szCs w:val="16"/>
              </w:rPr>
              <w:t>s Hospital at Westmead, Adelaide Women and Children</w:t>
            </w:r>
            <w:r w:rsidR="00A653CA">
              <w:rPr>
                <w:rFonts w:ascii="Arial" w:eastAsia="Times New Roman" w:hAnsi="Arial" w:cs="Arial"/>
                <w:sz w:val="16"/>
                <w:szCs w:val="16"/>
              </w:rPr>
              <w:t>’</w:t>
            </w:r>
            <w:r w:rsidRPr="00E106BD">
              <w:rPr>
                <w:rFonts w:ascii="Arial" w:eastAsia="Times New Roman" w:hAnsi="Arial" w:cs="Arial"/>
                <w:sz w:val="16"/>
                <w:szCs w:val="16"/>
              </w:rPr>
              <w:t>s Hospital and Perth Children</w:t>
            </w:r>
            <w:r w:rsidR="00A653CA">
              <w:rPr>
                <w:rFonts w:ascii="Arial" w:eastAsia="Times New Roman" w:hAnsi="Arial" w:cs="Arial"/>
                <w:sz w:val="16"/>
                <w:szCs w:val="16"/>
              </w:rPr>
              <w:t>’</w:t>
            </w:r>
            <w:r w:rsidRPr="00E106BD">
              <w:rPr>
                <w:rFonts w:ascii="Arial" w:eastAsia="Times New Roman" w:hAnsi="Arial" w:cs="Arial"/>
                <w:sz w:val="16"/>
                <w:szCs w:val="16"/>
              </w:rPr>
              <w:t>s Hospital.</w:t>
            </w:r>
            <w:r w:rsidRPr="00E106BD">
              <w:rPr>
                <w:rFonts w:ascii="Arial" w:eastAsia="Times New Roman" w:hAnsi="Arial" w:cs="Arial"/>
                <w:sz w:val="16"/>
                <w:szCs w:val="16"/>
              </w:rPr>
              <w:br/>
              <w:t>Application for authorisation of initial treatment must be in writing and must include:</w:t>
            </w:r>
            <w:r w:rsidRPr="00E106BD">
              <w:rPr>
                <w:rFonts w:ascii="Arial" w:eastAsia="Times New Roman" w:hAnsi="Arial" w:cs="Arial"/>
                <w:sz w:val="16"/>
                <w:szCs w:val="16"/>
              </w:rPr>
              <w:br/>
              <w:t>(a) a completed authority prescription form; and</w:t>
            </w:r>
            <w:r w:rsidRPr="00E106BD">
              <w:rPr>
                <w:rFonts w:ascii="Arial" w:eastAsia="Times New Roman" w:hAnsi="Arial" w:cs="Arial"/>
                <w:sz w:val="16"/>
                <w:szCs w:val="16"/>
              </w:rPr>
              <w:br/>
              <w:t xml:space="preserve">(b) a completed Spinal muscular atrophy PBS Authority Application </w:t>
            </w:r>
            <w:r>
              <w:rPr>
                <w:rFonts w:ascii="Arial" w:eastAsia="Times New Roman" w:hAnsi="Arial" w:cs="Arial"/>
                <w:sz w:val="16"/>
                <w:szCs w:val="16"/>
              </w:rPr>
              <w:noBreakHyphen/>
            </w:r>
            <w:r w:rsidRPr="00E106BD">
              <w:rPr>
                <w:rFonts w:ascii="Arial" w:eastAsia="Times New Roman" w:hAnsi="Arial" w:cs="Arial"/>
                <w:sz w:val="16"/>
                <w:szCs w:val="16"/>
              </w:rPr>
              <w:t xml:space="preserve"> Supporting Information Form which includes the following:</w:t>
            </w:r>
            <w:r w:rsidRPr="00E106BD">
              <w:rPr>
                <w:rFonts w:ascii="Arial" w:eastAsia="Times New Roman" w:hAnsi="Arial" w:cs="Arial"/>
                <w:sz w:val="16"/>
                <w:szCs w:val="16"/>
              </w:rPr>
              <w:br/>
              <w:t>i) specification of SMA type (I, II or IIIa); and</w:t>
            </w:r>
            <w:r w:rsidRPr="00E106BD">
              <w:rPr>
                <w:rFonts w:ascii="Arial" w:eastAsia="Times New Roman" w:hAnsi="Arial" w:cs="Arial"/>
                <w:sz w:val="16"/>
                <w:szCs w:val="16"/>
              </w:rPr>
              <w:br/>
              <w:t>(ii) sign(s) and symptom(s) that the patient has experienced; and</w:t>
            </w:r>
            <w:r w:rsidRPr="00E106BD">
              <w:rPr>
                <w:rFonts w:ascii="Arial" w:eastAsia="Times New Roman" w:hAnsi="Arial" w:cs="Arial"/>
                <w:sz w:val="16"/>
                <w:szCs w:val="16"/>
              </w:rPr>
              <w:br/>
              <w:t>(iii) patient</w:t>
            </w:r>
            <w:r w:rsidR="00A653CA">
              <w:rPr>
                <w:rFonts w:ascii="Arial" w:eastAsia="Times New Roman" w:hAnsi="Arial" w:cs="Arial"/>
                <w:sz w:val="16"/>
                <w:szCs w:val="16"/>
              </w:rPr>
              <w:t>’</w:t>
            </w:r>
            <w:r w:rsidRPr="00E106BD">
              <w:rPr>
                <w:rFonts w:ascii="Arial" w:eastAsia="Times New Roman" w:hAnsi="Arial" w:cs="Arial"/>
                <w:sz w:val="16"/>
                <w:szCs w:val="16"/>
              </w:rPr>
              <w:t>s age at the onset of sign(s) and symptom(s).</w:t>
            </w:r>
          </w:p>
        </w:tc>
        <w:tc>
          <w:tcPr>
            <w:tcW w:w="2552" w:type="dxa"/>
            <w:tcBorders>
              <w:bottom w:val="single" w:sz="4" w:space="0" w:color="auto"/>
            </w:tcBorders>
            <w:tcMar>
              <w:top w:w="28" w:type="dxa"/>
              <w:left w:w="28" w:type="dxa"/>
              <w:right w:w="57" w:type="dxa"/>
            </w:tcMar>
          </w:tcPr>
          <w:p w:rsidR="00592D6B" w:rsidRPr="00E106BD" w:rsidRDefault="00592D6B">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592D6B" w:rsidRPr="00E106BD" w:rsidDel="00EC55AD" w:rsidTr="008929EB">
        <w:tc>
          <w:tcPr>
            <w:tcW w:w="1729" w:type="dxa"/>
            <w:tcBorders>
              <w:bottom w:val="single" w:sz="4" w:space="0" w:color="auto"/>
            </w:tcBorders>
            <w:tcMar>
              <w:top w:w="28" w:type="dxa"/>
              <w:left w:w="28" w:type="dxa"/>
            </w:tcMar>
          </w:tcPr>
          <w:p w:rsidR="00592D6B" w:rsidRPr="00E106BD" w:rsidDel="00EC55AD" w:rsidRDefault="00592D6B" w:rsidP="00851FD0">
            <w:pPr>
              <w:spacing w:line="240" w:lineRule="auto"/>
              <w:rPr>
                <w:rFonts w:ascii="Arial" w:eastAsia="SimSun" w:hAnsi="Arial" w:cs="Arial"/>
                <w:sz w:val="16"/>
                <w:szCs w:val="16"/>
                <w:lang w:eastAsia="zh-CN"/>
              </w:rPr>
            </w:pPr>
          </w:p>
        </w:tc>
        <w:tc>
          <w:tcPr>
            <w:tcW w:w="709" w:type="dxa"/>
            <w:tcBorders>
              <w:bottom w:val="single" w:sz="4" w:space="0" w:color="auto"/>
            </w:tcBorders>
            <w:tcMar>
              <w:top w:w="28" w:type="dxa"/>
              <w:left w:w="28" w:type="dxa"/>
            </w:tcMar>
          </w:tcPr>
          <w:p w:rsidR="00592D6B" w:rsidRPr="00E106BD" w:rsidDel="00EC55AD" w:rsidRDefault="00592D6B" w:rsidP="000E64BD">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C10112</w:t>
            </w:r>
          </w:p>
        </w:tc>
        <w:tc>
          <w:tcPr>
            <w:tcW w:w="709" w:type="dxa"/>
            <w:tcBorders>
              <w:bottom w:val="single" w:sz="4" w:space="0" w:color="auto"/>
            </w:tcBorders>
            <w:tcMar>
              <w:top w:w="28" w:type="dxa"/>
              <w:left w:w="28" w:type="dxa"/>
            </w:tcMar>
          </w:tcPr>
          <w:p w:rsidR="00592D6B" w:rsidRPr="00E106BD" w:rsidDel="00EC55AD" w:rsidRDefault="00592D6B" w:rsidP="00851FD0">
            <w:pPr>
              <w:spacing w:line="240" w:lineRule="auto"/>
              <w:rPr>
                <w:rFonts w:ascii="Arial" w:eastAsia="SimSun" w:hAnsi="Arial" w:cs="Arial"/>
                <w:sz w:val="16"/>
                <w:szCs w:val="16"/>
                <w:lang w:eastAsia="zh-CN"/>
              </w:rPr>
            </w:pPr>
          </w:p>
        </w:tc>
        <w:tc>
          <w:tcPr>
            <w:tcW w:w="7654" w:type="dxa"/>
            <w:tcBorders>
              <w:bottom w:val="single" w:sz="4" w:space="0" w:color="auto"/>
            </w:tcBorders>
            <w:tcMar>
              <w:top w:w="28" w:type="dxa"/>
              <w:left w:w="28" w:type="dxa"/>
            </w:tcMar>
          </w:tcPr>
          <w:p w:rsidR="00592D6B" w:rsidRPr="00E106BD" w:rsidDel="00EC55AD" w:rsidRDefault="00592D6B" w:rsidP="00851FD0">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Spinal muscular atrophy (SMA)</w:t>
            </w:r>
            <w:r w:rsidRPr="00E106BD">
              <w:rPr>
                <w:rFonts w:ascii="Arial" w:eastAsia="SimSun" w:hAnsi="Arial" w:cs="Arial"/>
                <w:sz w:val="16"/>
                <w:szCs w:val="16"/>
                <w:lang w:eastAsia="zh-CN"/>
              </w:rPr>
              <w:br/>
              <w:t xml:space="preserve">Continuing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Maintenance</w:t>
            </w:r>
            <w:r w:rsidRPr="00E106BD">
              <w:rPr>
                <w:rFonts w:ascii="Arial" w:eastAsia="SimSun" w:hAnsi="Arial" w:cs="Arial"/>
                <w:sz w:val="16"/>
                <w:szCs w:val="16"/>
                <w:lang w:eastAsia="zh-CN"/>
              </w:rPr>
              <w:b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 or initiated by a specialist medical practitioner experienced in the diagnosis and management of SMA associated with a neuromuscular clinic of a recognised hospital in the management of SMA.</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given concomitantly with standard of care for this condition; AND</w:t>
            </w:r>
            <w:r w:rsidRPr="00E106BD">
              <w:rPr>
                <w:rFonts w:ascii="Arial" w:eastAsia="SimSun" w:hAnsi="Arial" w:cs="Arial"/>
                <w:sz w:val="16"/>
                <w:szCs w:val="16"/>
                <w:lang w:eastAsia="zh-CN"/>
              </w:rPr>
              <w:br/>
              <w:t>The treatment must be ceased when invasive permanent assisted ventilation is required in the absence of a potentially reversible cause while being treated with this drug.</w:t>
            </w:r>
            <w:r w:rsidRPr="00E106BD">
              <w:rPr>
                <w:rFonts w:ascii="Arial" w:eastAsia="SimSun" w:hAnsi="Arial" w:cs="Arial"/>
                <w:sz w:val="16"/>
                <w:szCs w:val="16"/>
                <w:lang w:eastAsia="zh-CN"/>
              </w:rPr>
              <w:br/>
              <w:t>Recognised hospitals in the management of SMA are Lady Cilento Children</w:t>
            </w:r>
            <w:r w:rsidR="00A653CA">
              <w:rPr>
                <w:rFonts w:ascii="Arial" w:eastAsia="SimSun" w:hAnsi="Arial" w:cs="Arial"/>
                <w:sz w:val="16"/>
                <w:szCs w:val="16"/>
                <w:lang w:eastAsia="zh-CN"/>
              </w:rPr>
              <w:t>’</w:t>
            </w:r>
            <w:r w:rsidRPr="00E106BD">
              <w:rPr>
                <w:rFonts w:ascii="Arial" w:eastAsia="SimSun" w:hAnsi="Arial" w:cs="Arial"/>
                <w:sz w:val="16"/>
                <w:szCs w:val="16"/>
                <w:lang w:eastAsia="zh-CN"/>
              </w:rPr>
              <w:t>s Hospital (Brisbane), Royal Children</w:t>
            </w:r>
            <w:r w:rsidR="00A653CA">
              <w:rPr>
                <w:rFonts w:ascii="Arial" w:eastAsia="SimSun" w:hAnsi="Arial" w:cs="Arial"/>
                <w:sz w:val="16"/>
                <w:szCs w:val="16"/>
                <w:lang w:eastAsia="zh-CN"/>
              </w:rPr>
              <w:t>’</w:t>
            </w:r>
            <w:r w:rsidRPr="00E106BD">
              <w:rPr>
                <w:rFonts w:ascii="Arial" w:eastAsia="SimSun" w:hAnsi="Arial" w:cs="Arial"/>
                <w:sz w:val="16"/>
                <w:szCs w:val="16"/>
                <w:lang w:eastAsia="zh-CN"/>
              </w:rPr>
              <w:t>s Hospital Melbourne, Monash Children</w:t>
            </w:r>
            <w:r w:rsidR="00A653CA">
              <w:rPr>
                <w:rFonts w:ascii="Arial" w:eastAsia="SimSun" w:hAnsi="Arial" w:cs="Arial"/>
                <w:sz w:val="16"/>
                <w:szCs w:val="16"/>
                <w:lang w:eastAsia="zh-CN"/>
              </w:rPr>
              <w:t>’</w:t>
            </w:r>
            <w:r w:rsidRPr="00E106BD">
              <w:rPr>
                <w:rFonts w:ascii="Arial" w:eastAsia="SimSun" w:hAnsi="Arial" w:cs="Arial"/>
                <w:sz w:val="16"/>
                <w:szCs w:val="16"/>
                <w:lang w:eastAsia="zh-CN"/>
              </w:rPr>
              <w:t>s Hospital (Melbourne), John Hunter Hospital (Newcastle), Sydney Children</w:t>
            </w:r>
            <w:r w:rsidR="00A653CA">
              <w:rPr>
                <w:rFonts w:ascii="Arial" w:eastAsia="SimSun" w:hAnsi="Arial" w:cs="Arial"/>
                <w:sz w:val="16"/>
                <w:szCs w:val="16"/>
                <w:lang w:eastAsia="zh-CN"/>
              </w:rPr>
              <w:t>’</w:t>
            </w:r>
            <w:r w:rsidRPr="00E106BD">
              <w:rPr>
                <w:rFonts w:ascii="Arial" w:eastAsia="SimSun" w:hAnsi="Arial" w:cs="Arial"/>
                <w:sz w:val="16"/>
                <w:szCs w:val="16"/>
                <w:lang w:eastAsia="zh-CN"/>
              </w:rPr>
              <w:t>s Hospital Randwick, Children</w:t>
            </w:r>
            <w:r w:rsidR="00A653CA">
              <w:rPr>
                <w:rFonts w:ascii="Arial" w:eastAsia="SimSun" w:hAnsi="Arial" w:cs="Arial"/>
                <w:sz w:val="16"/>
                <w:szCs w:val="16"/>
                <w:lang w:eastAsia="zh-CN"/>
              </w:rPr>
              <w:t>’</w:t>
            </w:r>
            <w:r w:rsidRPr="00E106BD">
              <w:rPr>
                <w:rFonts w:ascii="Arial" w:eastAsia="SimSun" w:hAnsi="Arial" w:cs="Arial"/>
                <w:sz w:val="16"/>
                <w:szCs w:val="16"/>
                <w:lang w:eastAsia="zh-CN"/>
              </w:rPr>
              <w:t>s Hospital at Westmead, Adelaide Women and Children</w:t>
            </w:r>
            <w:r w:rsidR="00A653CA">
              <w:rPr>
                <w:rFonts w:ascii="Arial" w:eastAsia="SimSun" w:hAnsi="Arial" w:cs="Arial"/>
                <w:sz w:val="16"/>
                <w:szCs w:val="16"/>
                <w:lang w:eastAsia="zh-CN"/>
              </w:rPr>
              <w:t>’</w:t>
            </w:r>
            <w:r w:rsidRPr="00E106BD">
              <w:rPr>
                <w:rFonts w:ascii="Arial" w:eastAsia="SimSun" w:hAnsi="Arial" w:cs="Arial"/>
                <w:sz w:val="16"/>
                <w:szCs w:val="16"/>
                <w:lang w:eastAsia="zh-CN"/>
              </w:rPr>
              <w:t>s Hospital and Perth Children</w:t>
            </w:r>
            <w:r w:rsidR="00A653CA">
              <w:rPr>
                <w:rFonts w:ascii="Arial" w:eastAsia="SimSun" w:hAnsi="Arial" w:cs="Arial"/>
                <w:sz w:val="16"/>
                <w:szCs w:val="16"/>
                <w:lang w:eastAsia="zh-CN"/>
              </w:rPr>
              <w:t>’</w:t>
            </w:r>
            <w:r w:rsidRPr="00E106BD">
              <w:rPr>
                <w:rFonts w:ascii="Arial" w:eastAsia="SimSun" w:hAnsi="Arial" w:cs="Arial"/>
                <w:sz w:val="16"/>
                <w:szCs w:val="16"/>
                <w:lang w:eastAsia="zh-CN"/>
              </w:rPr>
              <w:t>s Hospital.</w:t>
            </w:r>
            <w:r w:rsidRPr="00E106BD">
              <w:rPr>
                <w:rFonts w:ascii="Arial" w:eastAsia="SimSun" w:hAnsi="Arial" w:cs="Arial"/>
                <w:sz w:val="16"/>
                <w:szCs w:val="16"/>
                <w:lang w:eastAsia="zh-CN"/>
              </w:rPr>
              <w:br/>
              <w:t>Invasive permanent assisted ventilation means ventilation via tracheostomy tube for greater than or equal to 16 hours per day.</w:t>
            </w:r>
          </w:p>
        </w:tc>
        <w:tc>
          <w:tcPr>
            <w:tcW w:w="2552" w:type="dxa"/>
            <w:tcBorders>
              <w:bottom w:val="single" w:sz="4" w:space="0" w:color="auto"/>
            </w:tcBorders>
            <w:tcMar>
              <w:top w:w="28" w:type="dxa"/>
              <w:left w:w="28" w:type="dxa"/>
              <w:right w:w="57" w:type="dxa"/>
            </w:tcMar>
          </w:tcPr>
          <w:p w:rsidR="00592D6B" w:rsidRPr="00E106BD" w:rsidDel="00EC55AD" w:rsidRDefault="00592D6B">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592D6B" w:rsidRPr="00E106BD" w:rsidDel="00C92AAE" w:rsidTr="008929EB">
        <w:trPr>
          <w:cantSplit/>
        </w:trPr>
        <w:tc>
          <w:tcPr>
            <w:tcW w:w="172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r w:rsidRPr="00E106BD">
              <w:rPr>
                <w:rFonts w:ascii="Arial" w:hAnsi="Arial" w:cs="Arial"/>
                <w:sz w:val="16"/>
                <w:szCs w:val="16"/>
              </w:rPr>
              <w:t>Ocrelizumab</w:t>
            </w:r>
          </w:p>
        </w:tc>
        <w:tc>
          <w:tcPr>
            <w:tcW w:w="709" w:type="dxa"/>
            <w:tcBorders>
              <w:bottom w:val="single" w:sz="4" w:space="0" w:color="auto"/>
            </w:tcBorders>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C7386</w:t>
            </w:r>
          </w:p>
        </w:tc>
        <w:tc>
          <w:tcPr>
            <w:tcW w:w="70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Multiple sclerosis</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Continuing treatment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not show continuing progression of disability while on treatment with this drug; AND</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a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disease modifying therapy for this condition; AND</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demonstrated compliance with, and an ability to tolerate this therapy.</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Must be treated by a neurologist.</w:t>
            </w:r>
          </w:p>
        </w:tc>
        <w:tc>
          <w:tcPr>
            <w:tcW w:w="2552" w:type="dxa"/>
            <w:tcBorders>
              <w:bottom w:val="single" w:sz="4" w:space="0" w:color="auto"/>
            </w:tcBorders>
            <w:tcMar>
              <w:top w:w="28" w:type="dxa"/>
              <w:left w:w="28" w:type="dxa"/>
              <w:right w:w="57" w:type="dxa"/>
            </w:tcMar>
          </w:tcPr>
          <w:p w:rsidR="00592D6B" w:rsidRPr="00E106BD" w:rsidRDefault="00592D6B" w:rsidP="00203351">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7386</w:t>
            </w:r>
          </w:p>
        </w:tc>
      </w:tr>
      <w:tr w:rsidR="00592D6B" w:rsidRPr="00E106BD" w:rsidDel="00C92AAE" w:rsidTr="008929EB">
        <w:tc>
          <w:tcPr>
            <w:tcW w:w="172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p>
        </w:tc>
        <w:tc>
          <w:tcPr>
            <w:tcW w:w="709" w:type="dxa"/>
            <w:tcBorders>
              <w:bottom w:val="single" w:sz="4" w:space="0" w:color="auto"/>
            </w:tcBorders>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C7699</w:t>
            </w:r>
          </w:p>
        </w:tc>
        <w:tc>
          <w:tcPr>
            <w:tcW w:w="709" w:type="dxa"/>
            <w:tcBorders>
              <w:bottom w:val="single" w:sz="4" w:space="0" w:color="auto"/>
            </w:tcBorders>
            <w:tcMar>
              <w:top w:w="28" w:type="dxa"/>
              <w:left w:w="28" w:type="dxa"/>
            </w:tcMar>
          </w:tcPr>
          <w:p w:rsidR="00592D6B" w:rsidRPr="00E106BD" w:rsidDel="00C92AAE" w:rsidRDefault="00592D6B"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592D6B" w:rsidRPr="00E106BD" w:rsidRDefault="00592D6B" w:rsidP="00881477">
            <w:pPr>
              <w:spacing w:after="60"/>
              <w:rPr>
                <w:rFonts w:ascii="Arial" w:hAnsi="Arial" w:cs="Arial"/>
                <w:sz w:val="16"/>
                <w:szCs w:val="16"/>
              </w:rPr>
            </w:pPr>
            <w:r w:rsidRPr="00E106BD">
              <w:rPr>
                <w:rFonts w:ascii="Arial" w:hAnsi="Arial" w:cs="Arial"/>
                <w:sz w:val="16"/>
                <w:szCs w:val="16"/>
              </w:rPr>
              <w:t>Multiple sclerosis</w:t>
            </w:r>
          </w:p>
          <w:p w:rsidR="00592D6B" w:rsidRPr="00E106BD" w:rsidRDefault="00592D6B" w:rsidP="00881477">
            <w:pPr>
              <w:spacing w:after="60"/>
              <w:rPr>
                <w:rFonts w:ascii="Arial" w:hAnsi="Arial" w:cs="Arial"/>
                <w:sz w:val="16"/>
                <w:szCs w:val="16"/>
              </w:rPr>
            </w:pPr>
            <w:r w:rsidRPr="00E106BD">
              <w:rPr>
                <w:rFonts w:ascii="Arial" w:hAnsi="Arial" w:cs="Arial"/>
                <w:sz w:val="16"/>
                <w:szCs w:val="16"/>
              </w:rPr>
              <w:t>Initial treatment</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magnetic resonance imaging of the brain and/or spinal cord; OR</w:t>
            </w:r>
            <w:r w:rsidRPr="00E106BD">
              <w:rPr>
                <w:rFonts w:ascii="Arial" w:hAnsi="Arial" w:cs="Arial"/>
                <w:sz w:val="16"/>
                <w:szCs w:val="16"/>
              </w:rPr>
              <w:b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accompanying written certification provided by a radiologist that a magnetic resonance imaging scan is contraindicated because of the risk of physical (not psychological) injury to the patient; AND</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w:t>
            </w:r>
            <w:r w:rsidRPr="00E106BD">
              <w:rPr>
                <w:rFonts w:ascii="Arial" w:hAnsi="Arial" w:cs="Arial"/>
                <w:sz w:val="16"/>
                <w:szCs w:val="16"/>
              </w:rPr>
              <w:br/>
              <w:t>Must be treated by a neurologist.</w:t>
            </w:r>
            <w:r w:rsidRPr="00E106BD">
              <w:rPr>
                <w:rFonts w:ascii="Arial" w:hAnsi="Arial" w:cs="Arial"/>
                <w:sz w:val="16"/>
                <w:szCs w:val="16"/>
              </w:rPr>
              <w:br/>
              <w:t>Where applicable, the date of the magnetic resonance imaging scan must be recorded in the patient</w:t>
            </w:r>
            <w:r w:rsidR="00A653CA">
              <w:rPr>
                <w:rFonts w:ascii="Arial" w:hAnsi="Arial" w:cs="Arial"/>
                <w:sz w:val="16"/>
                <w:szCs w:val="16"/>
              </w:rPr>
              <w:t>’</w:t>
            </w:r>
            <w:r w:rsidRPr="00E106BD">
              <w:rPr>
                <w:rFonts w:ascii="Arial" w:hAnsi="Arial" w:cs="Arial"/>
                <w:sz w:val="16"/>
                <w:szCs w:val="16"/>
              </w:rPr>
              <w:t>s medical records.</w:t>
            </w:r>
          </w:p>
        </w:tc>
        <w:tc>
          <w:tcPr>
            <w:tcW w:w="2552" w:type="dxa"/>
            <w:tcBorders>
              <w:bottom w:val="single" w:sz="4" w:space="0" w:color="auto"/>
            </w:tcBorders>
            <w:tcMar>
              <w:top w:w="28" w:type="dxa"/>
              <w:left w:w="28" w:type="dxa"/>
              <w:right w:w="57" w:type="dxa"/>
            </w:tcMar>
          </w:tcPr>
          <w:p w:rsidR="00592D6B" w:rsidRPr="00E106BD" w:rsidRDefault="00592D6B" w:rsidP="00203351">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7699</w:t>
            </w:r>
          </w:p>
        </w:tc>
      </w:tr>
      <w:tr w:rsidR="00592D6B" w:rsidRPr="00E106BD" w:rsidDel="00615535" w:rsidTr="008929EB">
        <w:tc>
          <w:tcPr>
            <w:tcW w:w="1729" w:type="dxa"/>
            <w:tcBorders>
              <w:bottom w:val="single" w:sz="4" w:space="0" w:color="auto"/>
            </w:tcBorders>
            <w:tcMar>
              <w:top w:w="28" w:type="dxa"/>
              <w:left w:w="28" w:type="dxa"/>
            </w:tcMar>
          </w:tcPr>
          <w:p w:rsidR="00592D6B" w:rsidRPr="00E106BD" w:rsidDel="00615535" w:rsidRDefault="00592D6B" w:rsidP="00881477">
            <w:pPr>
              <w:spacing w:after="60" w:line="240" w:lineRule="auto"/>
              <w:rPr>
                <w:rFonts w:ascii="Arial" w:hAnsi="Arial" w:cs="Arial"/>
                <w:sz w:val="16"/>
                <w:szCs w:val="16"/>
              </w:rPr>
            </w:pPr>
          </w:p>
        </w:tc>
        <w:tc>
          <w:tcPr>
            <w:tcW w:w="709" w:type="dxa"/>
            <w:tcBorders>
              <w:bottom w:val="single" w:sz="4" w:space="0" w:color="auto"/>
            </w:tcBorders>
            <w:tcMar>
              <w:top w:w="28" w:type="dxa"/>
              <w:left w:w="28" w:type="dxa"/>
            </w:tcMar>
          </w:tcPr>
          <w:p w:rsidR="00592D6B" w:rsidRPr="00E106BD" w:rsidDel="00615535"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C9523</w:t>
            </w:r>
          </w:p>
        </w:tc>
        <w:tc>
          <w:tcPr>
            <w:tcW w:w="709" w:type="dxa"/>
            <w:tcBorders>
              <w:bottom w:val="single" w:sz="4" w:space="0" w:color="auto"/>
            </w:tcBorders>
            <w:tcMar>
              <w:top w:w="28" w:type="dxa"/>
              <w:left w:w="28" w:type="dxa"/>
            </w:tcMar>
          </w:tcPr>
          <w:p w:rsidR="00592D6B" w:rsidRPr="00E106BD" w:rsidDel="00615535" w:rsidRDefault="00592D6B"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592D6B" w:rsidRPr="00E106BD" w:rsidDel="00615535" w:rsidRDefault="00592D6B" w:rsidP="00881477">
            <w:pPr>
              <w:spacing w:line="240" w:lineRule="auto"/>
              <w:rPr>
                <w:rFonts w:ascii="Arial" w:hAnsi="Arial" w:cs="Arial"/>
                <w:sz w:val="16"/>
                <w:szCs w:val="16"/>
              </w:rPr>
            </w:pPr>
            <w:r w:rsidRPr="00E106BD">
              <w:rPr>
                <w:rFonts w:ascii="Arial" w:hAnsi="Arial" w:cs="Arial"/>
                <w:sz w:val="16"/>
                <w:szCs w:val="16"/>
              </w:rPr>
              <w:t>Multiple sclerosis</w:t>
            </w:r>
            <w:r w:rsidRPr="00E106BD">
              <w:rPr>
                <w:rFonts w:ascii="Arial" w:hAnsi="Arial" w:cs="Arial"/>
                <w:sz w:val="16"/>
                <w:szCs w:val="16"/>
              </w:rPr>
              <w:br/>
              <w:t>Initial treatment</w:t>
            </w:r>
            <w:r w:rsidRPr="00E106BD">
              <w:rPr>
                <w:rFonts w:ascii="Arial" w:hAnsi="Arial" w:cs="Arial"/>
                <w:sz w:val="16"/>
                <w:szCs w:val="16"/>
              </w:rPr>
              <w:b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magnetic resonance imaging of the brain and/or spinal cord; OR</w:t>
            </w:r>
            <w:r w:rsidRPr="00E106BD">
              <w:rPr>
                <w:rFonts w:ascii="Arial" w:hAnsi="Arial" w:cs="Arial"/>
                <w:sz w:val="16"/>
                <w:szCs w:val="16"/>
              </w:rPr>
              <w:b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accompanying written certification provided by a radiologist that a magnetic resonance imaging scan is contraindicated because of the risk of physical (not psychological) injury to the patient; AND</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w:t>
            </w:r>
            <w:r w:rsidRPr="00E106BD">
              <w:rPr>
                <w:rFonts w:ascii="Arial" w:hAnsi="Arial" w:cs="Arial"/>
                <w:sz w:val="16"/>
                <w:szCs w:val="16"/>
              </w:rPr>
              <w:br/>
              <w:t>Must be treated by a neurologist.</w:t>
            </w:r>
            <w:r w:rsidRPr="00E106BD">
              <w:rPr>
                <w:rFonts w:ascii="Arial" w:hAnsi="Arial" w:cs="Arial"/>
                <w:sz w:val="16"/>
                <w:szCs w:val="16"/>
              </w:rPr>
              <w:br/>
              <w:t>Where applicable, the date of the magnetic resonance imaging scan must be recorded in the patient</w:t>
            </w:r>
            <w:r w:rsidR="00A653CA">
              <w:rPr>
                <w:rFonts w:ascii="Arial" w:hAnsi="Arial" w:cs="Arial"/>
                <w:sz w:val="16"/>
                <w:szCs w:val="16"/>
              </w:rPr>
              <w:t>’</w:t>
            </w:r>
            <w:r w:rsidRPr="00E106BD">
              <w:rPr>
                <w:rFonts w:ascii="Arial" w:hAnsi="Arial" w:cs="Arial"/>
                <w:sz w:val="16"/>
                <w:szCs w:val="16"/>
              </w:rPr>
              <w:t>s medical records.</w:t>
            </w:r>
          </w:p>
        </w:tc>
        <w:tc>
          <w:tcPr>
            <w:tcW w:w="2552" w:type="dxa"/>
            <w:tcBorders>
              <w:bottom w:val="single" w:sz="4" w:space="0" w:color="auto"/>
            </w:tcBorders>
            <w:tcMar>
              <w:top w:w="28" w:type="dxa"/>
              <w:left w:w="28" w:type="dxa"/>
              <w:right w:w="57" w:type="dxa"/>
            </w:tcMar>
          </w:tcPr>
          <w:p w:rsidR="00592D6B" w:rsidRPr="00E106BD" w:rsidDel="00615535" w:rsidRDefault="00592D6B" w:rsidP="002A1861">
            <w:pPr>
              <w:pStyle w:val="mps3-data"/>
            </w:pPr>
            <w:r w:rsidRPr="00E106BD">
              <w:t xml:space="preserve">Compliance with Authority Required procedures </w:t>
            </w:r>
            <w:r>
              <w:noBreakHyphen/>
            </w:r>
            <w:r w:rsidRPr="00E106BD">
              <w:t xml:space="preserve"> Streamlined Authority Code 9523</w:t>
            </w:r>
          </w:p>
        </w:tc>
      </w:tr>
      <w:tr w:rsidR="00592D6B" w:rsidRPr="00E106BD" w:rsidDel="00615535" w:rsidTr="008929EB">
        <w:tc>
          <w:tcPr>
            <w:tcW w:w="1729" w:type="dxa"/>
            <w:tcBorders>
              <w:bottom w:val="single" w:sz="4" w:space="0" w:color="auto"/>
            </w:tcBorders>
            <w:tcMar>
              <w:top w:w="28" w:type="dxa"/>
              <w:left w:w="28" w:type="dxa"/>
            </w:tcMar>
          </w:tcPr>
          <w:p w:rsidR="00592D6B" w:rsidRPr="00E106BD" w:rsidDel="00615535" w:rsidRDefault="00592D6B" w:rsidP="00881477">
            <w:pPr>
              <w:spacing w:after="60" w:line="240" w:lineRule="auto"/>
              <w:rPr>
                <w:rFonts w:ascii="Arial" w:hAnsi="Arial" w:cs="Arial"/>
                <w:sz w:val="16"/>
                <w:szCs w:val="16"/>
              </w:rPr>
            </w:pPr>
          </w:p>
        </w:tc>
        <w:tc>
          <w:tcPr>
            <w:tcW w:w="709" w:type="dxa"/>
            <w:tcBorders>
              <w:bottom w:val="single" w:sz="4" w:space="0" w:color="auto"/>
            </w:tcBorders>
            <w:tcMar>
              <w:top w:w="28" w:type="dxa"/>
              <w:left w:w="28" w:type="dxa"/>
            </w:tcMar>
          </w:tcPr>
          <w:p w:rsidR="00592D6B" w:rsidRPr="00E106BD" w:rsidDel="00615535"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C9635</w:t>
            </w:r>
          </w:p>
        </w:tc>
        <w:tc>
          <w:tcPr>
            <w:tcW w:w="709" w:type="dxa"/>
            <w:tcBorders>
              <w:bottom w:val="single" w:sz="4" w:space="0" w:color="auto"/>
            </w:tcBorders>
            <w:tcMar>
              <w:top w:w="28" w:type="dxa"/>
              <w:left w:w="28" w:type="dxa"/>
            </w:tcMar>
          </w:tcPr>
          <w:p w:rsidR="00592D6B" w:rsidRPr="00E106BD" w:rsidDel="00615535" w:rsidRDefault="00592D6B"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592D6B" w:rsidRPr="00E106BD" w:rsidDel="00615535" w:rsidRDefault="00592D6B" w:rsidP="00881477">
            <w:pPr>
              <w:spacing w:line="240" w:lineRule="auto"/>
              <w:rPr>
                <w:rFonts w:ascii="Arial" w:hAnsi="Arial" w:cs="Arial"/>
                <w:sz w:val="16"/>
                <w:szCs w:val="16"/>
              </w:rPr>
            </w:pPr>
            <w:r w:rsidRPr="00E106BD">
              <w:rPr>
                <w:rFonts w:ascii="Arial" w:hAnsi="Arial" w:cs="Arial"/>
                <w:sz w:val="16"/>
                <w:szCs w:val="16"/>
              </w:rPr>
              <w:t>Multiple sclerosis</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show continuing progression of disability while on treatment with this drug; AND</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demonstrated compliance with, and an ability to tolerate this therapy.</w:t>
            </w:r>
            <w:r w:rsidRPr="00E106BD">
              <w:rPr>
                <w:rFonts w:ascii="Arial" w:hAnsi="Arial" w:cs="Arial"/>
                <w:sz w:val="16"/>
                <w:szCs w:val="16"/>
              </w:rPr>
              <w:br/>
              <w:t>Must be treated by a neurologist.</w:t>
            </w:r>
          </w:p>
        </w:tc>
        <w:tc>
          <w:tcPr>
            <w:tcW w:w="2552" w:type="dxa"/>
            <w:tcBorders>
              <w:bottom w:val="single" w:sz="4" w:space="0" w:color="auto"/>
            </w:tcBorders>
            <w:tcMar>
              <w:top w:w="28" w:type="dxa"/>
              <w:left w:w="28" w:type="dxa"/>
              <w:right w:w="57" w:type="dxa"/>
            </w:tcMar>
          </w:tcPr>
          <w:p w:rsidR="00592D6B" w:rsidRPr="00E106BD" w:rsidDel="00615535" w:rsidRDefault="00592D6B" w:rsidP="002A1861">
            <w:pPr>
              <w:pStyle w:val="mps3-data"/>
            </w:pPr>
            <w:r w:rsidRPr="00E106BD">
              <w:t xml:space="preserve">Compliance with Authority Required procedures </w:t>
            </w:r>
            <w:r>
              <w:noBreakHyphen/>
            </w:r>
            <w:r w:rsidRPr="00E106BD">
              <w:t xml:space="preserve"> Streamlined Authority Code 9635</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bookmarkStart w:id="205" w:name="CU_397661068"/>
            <w:bookmarkStart w:id="206" w:name="CU_400664007"/>
            <w:bookmarkEnd w:id="205"/>
            <w:bookmarkEnd w:id="206"/>
            <w:r w:rsidRPr="00E106BD">
              <w:rPr>
                <w:rFonts w:ascii="Arial" w:eastAsia="SimSun" w:hAnsi="Arial" w:cs="Arial"/>
                <w:sz w:val="16"/>
                <w:szCs w:val="16"/>
                <w:lang w:eastAsia="zh-CN"/>
              </w:rPr>
              <w:t>Octreotide</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C5901</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Functional carcinoid tumour</w:t>
            </w:r>
            <w:r w:rsidRPr="00E106BD">
              <w:rPr>
                <w:rFonts w:ascii="Arial" w:eastAsia="SimSun" w:hAnsi="Arial" w:cs="Arial"/>
                <w:sz w:val="16"/>
                <w:szCs w:val="16"/>
                <w:lang w:eastAsia="zh-CN"/>
              </w:rPr>
              <w:br/>
              <w:t>Patient must have achieved symptom control on octreotide immediate release injections, AND</w:t>
            </w:r>
            <w:r w:rsidRPr="00E106BD">
              <w:rPr>
                <w:rFonts w:ascii="Arial" w:eastAsia="SimSun" w:hAnsi="Arial" w:cs="Arial"/>
                <w:sz w:val="16"/>
                <w:szCs w:val="16"/>
                <w:lang w:eastAsia="zh-CN"/>
              </w:rPr>
              <w:br/>
              <w:t>The treatment must cease if there is failure to produce a clinically significant reduction in the frequency and severity of symptoms after 3 months</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therapy at a dose of 30 mg every 28 days and having allowed adequate rescue therapy with octreotide immediate release injections.</w:t>
            </w:r>
            <w:r w:rsidRPr="00E106BD">
              <w:rPr>
                <w:rFonts w:ascii="Arial" w:eastAsia="SimSun" w:hAnsi="Arial" w:cs="Arial"/>
                <w:sz w:val="16"/>
                <w:szCs w:val="16"/>
                <w:lang w:eastAsia="zh-CN"/>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592D6B" w:rsidRPr="00E106BD" w:rsidRDefault="00592D6B" w:rsidP="00560503">
            <w:pPr>
              <w:pStyle w:val="mps3-data"/>
            </w:pPr>
            <w:r w:rsidRPr="00E106BD">
              <w:t xml:space="preserve">Compliance with Authority Required procedures </w:t>
            </w:r>
            <w:r>
              <w:noBreakHyphen/>
            </w:r>
            <w:r w:rsidRPr="00E106BD">
              <w:t xml:space="preserve"> Streamlined Authority Code 5901</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C5906</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Vasoactive intestinal peptide secreting tumour (VIPoma)</w:t>
            </w:r>
            <w:r w:rsidRPr="00E106BD">
              <w:rPr>
                <w:rFonts w:ascii="Arial" w:eastAsia="SimSun" w:hAnsi="Arial" w:cs="Arial"/>
                <w:sz w:val="16"/>
                <w:szCs w:val="16"/>
                <w:lang w:eastAsia="zh-CN"/>
              </w:rPr>
              <w:br/>
              <w:t>Patient must have achieved symptom control on octreotide immediate release injections, AND</w:t>
            </w:r>
            <w:r w:rsidRPr="00E106BD">
              <w:rPr>
                <w:rFonts w:ascii="Arial" w:eastAsia="SimSun" w:hAnsi="Arial" w:cs="Arial"/>
                <w:sz w:val="16"/>
                <w:szCs w:val="16"/>
                <w:lang w:eastAsia="zh-CN"/>
              </w:rPr>
              <w:br/>
              <w:t>The treatment must cease if there is failure to produce a clinically significant reduction in the frequency and severity of symptoms after 3 months</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therapy at a dose of 30 mg every 28 days and having allowed adequate rescue therapy with octreotide immediate release injections.</w:t>
            </w:r>
            <w:r w:rsidRPr="00E106BD">
              <w:rPr>
                <w:rFonts w:ascii="Arial" w:eastAsia="SimSun" w:hAnsi="Arial" w:cs="Arial"/>
                <w:sz w:val="16"/>
                <w:szCs w:val="16"/>
                <w:lang w:eastAsia="zh-CN"/>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592D6B" w:rsidRPr="00E106BD" w:rsidRDefault="00592D6B" w:rsidP="00560503">
            <w:pPr>
              <w:pStyle w:val="mps3-data"/>
            </w:pPr>
            <w:r w:rsidRPr="00E106BD">
              <w:t xml:space="preserve">Compliance with Authority Required procedures </w:t>
            </w:r>
            <w:r>
              <w:noBreakHyphen/>
            </w:r>
            <w:r w:rsidRPr="00E106BD">
              <w:t xml:space="preserve"> Streamlined Authority Code 5906</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C6369</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eastAsia="SimSun"/>
                <w:szCs w:val="16"/>
              </w:rPr>
            </w:pPr>
            <w:r w:rsidRPr="00E106BD">
              <w:rPr>
                <w:rFonts w:ascii="Arial" w:eastAsia="SimSun" w:hAnsi="Arial" w:cs="Arial"/>
                <w:sz w:val="16"/>
                <w:szCs w:val="16"/>
                <w:lang w:eastAsia="zh-CN"/>
              </w:rPr>
              <w:t>Vasoactive intestinal peptide secreting tumour (VIPoma)</w:t>
            </w:r>
          </w:p>
          <w:p w:rsidR="00592D6B" w:rsidRPr="00E106BD" w:rsidRDefault="00592D6B" w:rsidP="00881477">
            <w:pPr>
              <w:spacing w:line="240" w:lineRule="auto"/>
              <w:rPr>
                <w:rFonts w:eastAsia="SimSun"/>
                <w:szCs w:val="16"/>
              </w:rPr>
            </w:pPr>
            <w:r w:rsidRPr="00E106BD">
              <w:rPr>
                <w:rFonts w:ascii="Arial" w:eastAsia="SimSun" w:hAnsi="Arial" w:cs="Arial"/>
                <w:sz w:val="16"/>
                <w:szCs w:val="16"/>
                <w:lang w:eastAsia="zh-CN"/>
              </w:rPr>
              <w:t>The condition must be causing intractable symptoms; AND</w:t>
            </w:r>
          </w:p>
          <w:p w:rsidR="00592D6B" w:rsidRPr="00E106BD" w:rsidRDefault="00592D6B" w:rsidP="00881477">
            <w:pPr>
              <w:spacing w:line="240" w:lineRule="auto"/>
              <w:rPr>
                <w:rFonts w:eastAsia="SimSun"/>
                <w:szCs w:val="16"/>
              </w:rPr>
            </w:pPr>
            <w:r w:rsidRPr="00E106BD">
              <w:rPr>
                <w:rFonts w:ascii="Arial" w:eastAsia="SimSun" w:hAnsi="Arial" w:cs="Arial"/>
                <w:sz w:val="16"/>
                <w:szCs w:val="16"/>
                <w:lang w:eastAsia="zh-CN"/>
              </w:rPr>
              <w:t>Patient must have experienced on average over 1 week, 3 or more episodes per day of diarrhoea and/or flushing, which persisted despite the use of anti</w:t>
            </w:r>
            <w:r>
              <w:rPr>
                <w:rFonts w:ascii="Arial" w:eastAsia="SimSun" w:hAnsi="Arial" w:cs="Arial"/>
                <w:sz w:val="16"/>
                <w:szCs w:val="16"/>
                <w:lang w:eastAsia="zh-CN"/>
              </w:rPr>
              <w:noBreakHyphen/>
            </w:r>
            <w:r w:rsidRPr="00E106BD">
              <w:rPr>
                <w:rFonts w:ascii="Arial" w:eastAsia="SimSun" w:hAnsi="Arial" w:cs="Arial"/>
                <w:sz w:val="16"/>
                <w:szCs w:val="16"/>
                <w:lang w:eastAsia="zh-CN"/>
              </w:rPr>
              <w:t>histamines, anti</w:t>
            </w:r>
            <w:r>
              <w:rPr>
                <w:rFonts w:ascii="Arial" w:eastAsia="SimSun" w:hAnsi="Arial" w:cs="Arial"/>
                <w:sz w:val="16"/>
                <w:szCs w:val="16"/>
                <w:lang w:eastAsia="zh-CN"/>
              </w:rPr>
              <w:noBreakHyphen/>
            </w:r>
            <w:r w:rsidRPr="00E106BD">
              <w:rPr>
                <w:rFonts w:ascii="Arial" w:eastAsia="SimSun" w:hAnsi="Arial" w:cs="Arial"/>
                <w:sz w:val="16"/>
                <w:szCs w:val="16"/>
                <w:lang w:eastAsia="zh-CN"/>
              </w:rPr>
              <w:t>serotonin agents and anti</w:t>
            </w:r>
            <w:r>
              <w:rPr>
                <w:rFonts w:ascii="Arial" w:eastAsia="SimSun" w:hAnsi="Arial" w:cs="Arial"/>
                <w:sz w:val="16"/>
                <w:szCs w:val="16"/>
                <w:lang w:eastAsia="zh-CN"/>
              </w:rPr>
              <w:noBreakHyphen/>
            </w:r>
            <w:r w:rsidRPr="00E106BD">
              <w:rPr>
                <w:rFonts w:ascii="Arial" w:eastAsia="SimSun" w:hAnsi="Arial" w:cs="Arial"/>
                <w:sz w:val="16"/>
                <w:szCs w:val="16"/>
                <w:lang w:eastAsia="zh-CN"/>
              </w:rPr>
              <w:t>diarrhoea agents; AND</w:t>
            </w:r>
          </w:p>
          <w:p w:rsidR="00592D6B" w:rsidRPr="00E106BD" w:rsidRDefault="00592D6B" w:rsidP="00881477">
            <w:pPr>
              <w:spacing w:line="240" w:lineRule="auto"/>
              <w:rPr>
                <w:rFonts w:eastAsia="SimSun"/>
                <w:szCs w:val="16"/>
              </w:rPr>
            </w:pPr>
            <w:r w:rsidRPr="00E106BD">
              <w:rPr>
                <w:rFonts w:ascii="Arial" w:eastAsia="SimSun" w:hAnsi="Arial" w:cs="Arial"/>
                <w:sz w:val="16"/>
                <w:szCs w:val="16"/>
                <w:lang w:eastAsia="zh-CN"/>
              </w:rPr>
              <w:t>Patient must be one in whom surgery or antineoplastic therapy has failed or is inappropriate; AND</w:t>
            </w:r>
          </w:p>
          <w:p w:rsidR="00592D6B" w:rsidRPr="00E106BD" w:rsidRDefault="00592D6B" w:rsidP="00881477">
            <w:pPr>
              <w:spacing w:line="240" w:lineRule="auto"/>
              <w:rPr>
                <w:rFonts w:eastAsia="SimSun"/>
                <w:szCs w:val="16"/>
              </w:rPr>
            </w:pPr>
            <w:r w:rsidRPr="00E106BD">
              <w:rPr>
                <w:rFonts w:ascii="Arial" w:eastAsia="SimSun" w:hAnsi="Arial" w:cs="Arial"/>
                <w:sz w:val="16"/>
                <w:szCs w:val="16"/>
                <w:lang w:eastAsia="zh-CN"/>
              </w:rPr>
              <w:t>The treatment must cease if there is failure to produce a clinically significant reduction in the frequency and severity of symptoms after 2 months</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therapy.</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6369</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C6390</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eastAsia="SimSun"/>
                <w:szCs w:val="16"/>
              </w:rPr>
            </w:pPr>
            <w:r w:rsidRPr="00E106BD">
              <w:rPr>
                <w:rFonts w:ascii="Arial" w:eastAsia="SimSun" w:hAnsi="Arial" w:cs="Arial"/>
                <w:sz w:val="16"/>
                <w:szCs w:val="16"/>
                <w:lang w:eastAsia="zh-CN"/>
              </w:rPr>
              <w:t>Functional carcinoid tumour</w:t>
            </w:r>
          </w:p>
          <w:p w:rsidR="00592D6B" w:rsidRPr="00E106BD" w:rsidRDefault="00592D6B" w:rsidP="00881477">
            <w:pPr>
              <w:spacing w:line="240" w:lineRule="auto"/>
              <w:rPr>
                <w:rFonts w:eastAsia="SimSun"/>
                <w:szCs w:val="16"/>
              </w:rPr>
            </w:pPr>
            <w:r w:rsidRPr="00E106BD">
              <w:rPr>
                <w:rFonts w:ascii="Arial" w:eastAsia="SimSun" w:hAnsi="Arial" w:cs="Arial"/>
                <w:sz w:val="16"/>
                <w:szCs w:val="16"/>
                <w:lang w:eastAsia="zh-CN"/>
              </w:rPr>
              <w:t>The condition must be causing intractable symptoms; AND</w:t>
            </w:r>
          </w:p>
          <w:p w:rsidR="00592D6B" w:rsidRPr="00E106BD" w:rsidRDefault="00592D6B" w:rsidP="00881477">
            <w:pPr>
              <w:spacing w:line="240" w:lineRule="auto"/>
              <w:rPr>
                <w:rFonts w:eastAsia="SimSun"/>
                <w:szCs w:val="16"/>
              </w:rPr>
            </w:pPr>
            <w:r w:rsidRPr="00E106BD">
              <w:rPr>
                <w:rFonts w:ascii="Arial" w:eastAsia="SimSun" w:hAnsi="Arial" w:cs="Arial"/>
                <w:sz w:val="16"/>
                <w:szCs w:val="16"/>
                <w:lang w:eastAsia="zh-CN"/>
              </w:rPr>
              <w:t>Patient must have experienced on average over 1 week, 3 or more episodes per day of diarrhoea and/or flushing, which persisted despite the use of anti</w:t>
            </w:r>
            <w:r>
              <w:rPr>
                <w:rFonts w:ascii="Arial" w:eastAsia="SimSun" w:hAnsi="Arial" w:cs="Arial"/>
                <w:sz w:val="16"/>
                <w:szCs w:val="16"/>
                <w:lang w:eastAsia="zh-CN"/>
              </w:rPr>
              <w:noBreakHyphen/>
            </w:r>
            <w:r w:rsidRPr="00E106BD">
              <w:rPr>
                <w:rFonts w:ascii="Arial" w:eastAsia="SimSun" w:hAnsi="Arial" w:cs="Arial"/>
                <w:sz w:val="16"/>
                <w:szCs w:val="16"/>
                <w:lang w:eastAsia="zh-CN"/>
              </w:rPr>
              <w:t>histamines, anti</w:t>
            </w:r>
            <w:r>
              <w:rPr>
                <w:rFonts w:ascii="Arial" w:eastAsia="SimSun" w:hAnsi="Arial" w:cs="Arial"/>
                <w:sz w:val="16"/>
                <w:szCs w:val="16"/>
                <w:lang w:eastAsia="zh-CN"/>
              </w:rPr>
              <w:noBreakHyphen/>
            </w:r>
            <w:r w:rsidRPr="00E106BD">
              <w:rPr>
                <w:rFonts w:ascii="Arial" w:eastAsia="SimSun" w:hAnsi="Arial" w:cs="Arial"/>
                <w:sz w:val="16"/>
                <w:szCs w:val="16"/>
                <w:lang w:eastAsia="zh-CN"/>
              </w:rPr>
              <w:t>serotonin agents and anti</w:t>
            </w:r>
            <w:r>
              <w:rPr>
                <w:rFonts w:ascii="Arial" w:eastAsia="SimSun" w:hAnsi="Arial" w:cs="Arial"/>
                <w:sz w:val="16"/>
                <w:szCs w:val="16"/>
                <w:lang w:eastAsia="zh-CN"/>
              </w:rPr>
              <w:noBreakHyphen/>
            </w:r>
            <w:r w:rsidRPr="00E106BD">
              <w:rPr>
                <w:rFonts w:ascii="Arial" w:eastAsia="SimSun" w:hAnsi="Arial" w:cs="Arial"/>
                <w:sz w:val="16"/>
                <w:szCs w:val="16"/>
                <w:lang w:eastAsia="zh-CN"/>
              </w:rPr>
              <w:t>diarrhoea agents; AND</w:t>
            </w:r>
          </w:p>
          <w:p w:rsidR="00592D6B" w:rsidRPr="00E106BD" w:rsidRDefault="00592D6B" w:rsidP="00881477">
            <w:pPr>
              <w:spacing w:line="240" w:lineRule="auto"/>
              <w:rPr>
                <w:rFonts w:eastAsia="SimSun"/>
                <w:szCs w:val="16"/>
              </w:rPr>
            </w:pPr>
            <w:r w:rsidRPr="00E106BD">
              <w:rPr>
                <w:rFonts w:ascii="Arial" w:eastAsia="SimSun" w:hAnsi="Arial" w:cs="Arial"/>
                <w:sz w:val="16"/>
                <w:szCs w:val="16"/>
                <w:lang w:eastAsia="zh-CN"/>
              </w:rPr>
              <w:t>Patient must be one in whom surgery or antineoplastic therapy has failed or is inappropriate; AND</w:t>
            </w:r>
          </w:p>
          <w:p w:rsidR="00592D6B" w:rsidRPr="00E106BD" w:rsidRDefault="00592D6B" w:rsidP="00881477">
            <w:pPr>
              <w:spacing w:line="240" w:lineRule="auto"/>
              <w:rPr>
                <w:rFonts w:eastAsia="SimSun"/>
                <w:szCs w:val="16"/>
              </w:rPr>
            </w:pPr>
            <w:r w:rsidRPr="00E106BD">
              <w:rPr>
                <w:rFonts w:ascii="Arial" w:eastAsia="SimSun" w:hAnsi="Arial" w:cs="Arial"/>
                <w:sz w:val="16"/>
                <w:szCs w:val="16"/>
                <w:lang w:eastAsia="zh-CN"/>
              </w:rPr>
              <w:t>The treatment must cease if there is failure to produce a clinically significant reduction in the frequency and severity of symptoms after 2 months</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therapy.</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592D6B" w:rsidRPr="00E106BD" w:rsidRDefault="00592D6B" w:rsidP="00D078E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6390</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C8161</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Acromegaly</w:t>
            </w:r>
            <w:r w:rsidRPr="00E106BD">
              <w:rPr>
                <w:rFonts w:ascii="Arial" w:hAnsi="Arial" w:cs="Arial"/>
                <w:sz w:val="16"/>
                <w:szCs w:val="16"/>
              </w:rPr>
              <w:br/>
              <w:t>The condition must be controlled with octreotide immediate release injections; AND</w:t>
            </w:r>
            <w:r w:rsidRPr="00E106BD">
              <w:rPr>
                <w:rFonts w:ascii="Arial" w:hAnsi="Arial" w:cs="Arial"/>
                <w:sz w:val="16"/>
                <w:szCs w:val="16"/>
              </w:rPr>
              <w:br/>
              <w:t>The treatment must cease in a patient treated with radiotherapy if there is biochemical evidence of remission (normal IGF1) after octreotide has been withdrawn for at least 4 weeks (8 weeks after the last dose); AND</w:t>
            </w:r>
            <w:r w:rsidRPr="00E106BD">
              <w:rPr>
                <w:rFonts w:ascii="Arial" w:hAnsi="Arial" w:cs="Arial"/>
                <w:sz w:val="16"/>
                <w:szCs w:val="16"/>
              </w:rPr>
              <w:br/>
              <w:t>The treatment must cease if IGF1 is not lower after 3 months of treatment; AND</w:t>
            </w:r>
            <w:r w:rsidRPr="00E106BD">
              <w:rPr>
                <w:rFonts w:ascii="Arial" w:hAnsi="Arial" w:cs="Arial"/>
                <w:sz w:val="16"/>
                <w:szCs w:val="16"/>
              </w:rPr>
              <w:br/>
              <w:t>The treatment must not be given concomitantly with PBS</w:t>
            </w:r>
            <w:r>
              <w:rPr>
                <w:rFonts w:ascii="Arial" w:hAnsi="Arial" w:cs="Arial"/>
                <w:sz w:val="16"/>
                <w:szCs w:val="16"/>
              </w:rPr>
              <w:noBreakHyphen/>
            </w:r>
            <w:r w:rsidRPr="00E106BD">
              <w:rPr>
                <w:rFonts w:ascii="Arial" w:hAnsi="Arial" w:cs="Arial"/>
                <w:sz w:val="16"/>
                <w:szCs w:val="16"/>
              </w:rPr>
              <w:t>subsidised lanreotide or pegvisomant for this condition.</w:t>
            </w:r>
            <w:r w:rsidRPr="00E106BD">
              <w:rPr>
                <w:rFonts w:ascii="Arial" w:hAnsi="Arial" w:cs="Arial"/>
                <w:sz w:val="16"/>
                <w:szCs w:val="16"/>
              </w:rPr>
              <w:br/>
              <w:t>In a patient treated with radiotherapy, octreotide should be withdrawn every 2 years in the 10 years after radiotherapy for assessment of remission</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8161</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C8165</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Acromegaly</w:t>
            </w:r>
            <w:r w:rsidRPr="00E106BD">
              <w:rPr>
                <w:rFonts w:ascii="Arial" w:hAnsi="Arial" w:cs="Arial"/>
                <w:sz w:val="16"/>
                <w:szCs w:val="16"/>
              </w:rPr>
              <w:br/>
              <w:t>The condition must be active; AND</w:t>
            </w:r>
            <w:r w:rsidRPr="00E106BD">
              <w:rPr>
                <w:rFonts w:ascii="Arial" w:hAnsi="Arial" w:cs="Arial"/>
                <w:sz w:val="16"/>
                <w:szCs w:val="16"/>
              </w:rPr>
              <w:br/>
              <w:t>Patient must have persistent elevation of mean growth hormone levels of greater than 2.5 micrograms per litre; AND</w:t>
            </w:r>
            <w:r w:rsidRPr="00E106BD">
              <w:rPr>
                <w:rFonts w:ascii="Arial" w:hAnsi="Arial" w:cs="Arial"/>
                <w:sz w:val="16"/>
                <w:szCs w:val="16"/>
              </w:rPr>
              <w:br/>
              <w:t>The treatment must be after failure of other therapy including dopamine agonists; OR</w:t>
            </w:r>
            <w:r w:rsidRPr="00E106BD">
              <w:rPr>
                <w:rFonts w:ascii="Arial" w:hAnsi="Arial" w:cs="Arial"/>
                <w:sz w:val="16"/>
                <w:szCs w:val="16"/>
              </w:rPr>
              <w:br/>
              <w:t>The treatment must be as interim treatment while awaiting the effects of radiotherapy and where treatment with dopamine agonists has failed; OR</w:t>
            </w:r>
            <w:r w:rsidRPr="00E106BD">
              <w:rPr>
                <w:rFonts w:ascii="Arial" w:hAnsi="Arial" w:cs="Arial"/>
                <w:sz w:val="16"/>
                <w:szCs w:val="16"/>
              </w:rPr>
              <w:br/>
              <w:t>The treatment must be in a patient who is unfit for or unwilling to undergo surgery and where radiotherapy is contraindicated; AND</w:t>
            </w:r>
            <w:r w:rsidRPr="00E106BD">
              <w:rPr>
                <w:rFonts w:ascii="Arial" w:hAnsi="Arial" w:cs="Arial"/>
                <w:sz w:val="16"/>
                <w:szCs w:val="16"/>
              </w:rPr>
              <w:br/>
              <w:t>The treatment must cease in a patient treated with radiotherapy if there is biochemical evidence of remission (normal IGF1) after octreotide has been withdrawn for at least 4 weeks; AND</w:t>
            </w:r>
            <w:r w:rsidRPr="00E106BD">
              <w:rPr>
                <w:rFonts w:ascii="Arial" w:hAnsi="Arial" w:cs="Arial"/>
                <w:sz w:val="16"/>
                <w:szCs w:val="16"/>
              </w:rPr>
              <w:br/>
              <w:t>The treatment must cease if IGF1 is not lower after 3 months of treatment at a dose of 100 micrograms 3 time daily; AND</w:t>
            </w:r>
            <w:r w:rsidRPr="00E106BD">
              <w:rPr>
                <w:rFonts w:ascii="Arial" w:hAnsi="Arial" w:cs="Arial"/>
                <w:sz w:val="16"/>
                <w:szCs w:val="16"/>
              </w:rPr>
              <w:br/>
              <w:t>The treatment must not be given concomitantly with PBS</w:t>
            </w:r>
            <w:r>
              <w:rPr>
                <w:rFonts w:ascii="Arial" w:hAnsi="Arial" w:cs="Arial"/>
                <w:sz w:val="16"/>
                <w:szCs w:val="16"/>
              </w:rPr>
              <w:noBreakHyphen/>
            </w:r>
            <w:r w:rsidRPr="00E106BD">
              <w:rPr>
                <w:rFonts w:ascii="Arial" w:hAnsi="Arial" w:cs="Arial"/>
                <w:sz w:val="16"/>
                <w:szCs w:val="16"/>
              </w:rPr>
              <w:t>subsidised lanreotide or pegvisomant for this condition.</w:t>
            </w:r>
            <w:r w:rsidRPr="00E106BD">
              <w:rPr>
                <w:rFonts w:ascii="Arial" w:hAnsi="Arial" w:cs="Arial"/>
                <w:sz w:val="16"/>
                <w:szCs w:val="16"/>
              </w:rPr>
              <w:br/>
              <w:t>In a patient treated with radiotherapy, octreotide should be withdrawn every 2 years in the 10 years after radiotherapy for assessment of remission</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8165</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C8197</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Acromegaly</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The condition must be controlled with octreotide immediate release injections; AND</w:t>
            </w:r>
            <w:r w:rsidRPr="00E106BD">
              <w:rPr>
                <w:rFonts w:ascii="Arial" w:hAnsi="Arial" w:cs="Arial"/>
                <w:sz w:val="16"/>
                <w:szCs w:val="16"/>
              </w:rPr>
              <w:br/>
              <w:t>The treatment must cease in a patient treated with radiotherapy if there is biochemical evidence of remission (normal IGF1) after octreotide has been withdrawn for at least 4 weeks (8 weeks after the last dose); AND</w:t>
            </w:r>
            <w:r w:rsidRPr="00E106BD">
              <w:rPr>
                <w:rFonts w:ascii="Arial" w:hAnsi="Arial" w:cs="Arial"/>
                <w:sz w:val="16"/>
                <w:szCs w:val="16"/>
              </w:rPr>
              <w:br/>
              <w:t>The treatment must cease if IGF1 is not lower after 3 months of treatment; AND</w:t>
            </w:r>
            <w:r w:rsidRPr="00E106BD">
              <w:rPr>
                <w:rFonts w:ascii="Arial" w:hAnsi="Arial" w:cs="Arial"/>
                <w:sz w:val="16"/>
                <w:szCs w:val="16"/>
              </w:rPr>
              <w:br/>
              <w:t>The treatment must not be given concomitantly with PBS</w:t>
            </w:r>
            <w:r>
              <w:rPr>
                <w:rFonts w:ascii="Arial" w:hAnsi="Arial" w:cs="Arial"/>
                <w:sz w:val="16"/>
                <w:szCs w:val="16"/>
              </w:rPr>
              <w:noBreakHyphen/>
            </w:r>
            <w:r w:rsidRPr="00E106BD">
              <w:rPr>
                <w:rFonts w:ascii="Arial" w:hAnsi="Arial" w:cs="Arial"/>
                <w:sz w:val="16"/>
                <w:szCs w:val="16"/>
              </w:rPr>
              <w:t>subsidised lanreotide or pegvisomant for this condition.</w:t>
            </w:r>
            <w:r w:rsidRPr="00E106BD">
              <w:rPr>
                <w:rFonts w:ascii="Arial" w:hAnsi="Arial" w:cs="Arial"/>
                <w:sz w:val="16"/>
                <w:szCs w:val="16"/>
              </w:rPr>
              <w:br/>
              <w:t>In a patient treated with radiotherapy, octreotide should be withdrawn every 2 years in the 10 years after radiotherapy for assessment of remission</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8197</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C8198</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Vasoactive intestinal peptide secreting tumour (VIPoma)</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achieved symptom control on octreotide immediate release injections; AND</w:t>
            </w:r>
            <w:r w:rsidRPr="00E106BD">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E106BD">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8198</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C8208</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Functional carcinoid tumour</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achieved symptom control on octreotide immediate release injections; AND</w:t>
            </w:r>
            <w:r w:rsidRPr="00E106BD">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E106BD">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8208</w:t>
            </w:r>
          </w:p>
        </w:tc>
      </w:tr>
      <w:tr w:rsidR="00D32106" w:rsidRPr="00E106BD" w:rsidTr="008929EB">
        <w:tc>
          <w:tcPr>
            <w:tcW w:w="1729" w:type="dxa"/>
            <w:shd w:val="clear" w:color="auto" w:fill="auto"/>
            <w:tcMar>
              <w:top w:w="28" w:type="dxa"/>
              <w:left w:w="28" w:type="dxa"/>
            </w:tcMar>
          </w:tcPr>
          <w:p w:rsidR="00D32106" w:rsidRPr="00BD18B1" w:rsidRDefault="00D32106" w:rsidP="004C3F1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D32106" w:rsidRPr="00BD18B1" w:rsidRDefault="00D32106" w:rsidP="004C3F17">
            <w:pPr>
              <w:spacing w:line="240" w:lineRule="auto"/>
              <w:rPr>
                <w:rFonts w:ascii="Arial" w:hAnsi="Arial" w:cs="Arial"/>
                <w:sz w:val="16"/>
                <w:szCs w:val="16"/>
              </w:rPr>
            </w:pPr>
            <w:r w:rsidRPr="00BD18B1">
              <w:rPr>
                <w:rFonts w:ascii="Arial" w:hAnsi="Arial" w:cs="Arial"/>
                <w:sz w:val="16"/>
                <w:szCs w:val="16"/>
              </w:rPr>
              <w:t>C9232</w:t>
            </w:r>
          </w:p>
        </w:tc>
        <w:tc>
          <w:tcPr>
            <w:tcW w:w="709" w:type="dxa"/>
            <w:shd w:val="clear" w:color="auto" w:fill="auto"/>
            <w:tcMar>
              <w:top w:w="28" w:type="dxa"/>
              <w:left w:w="28" w:type="dxa"/>
            </w:tcMar>
          </w:tcPr>
          <w:p w:rsidR="00D32106" w:rsidRPr="00BD18B1" w:rsidRDefault="00D32106" w:rsidP="004C3F1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D32106" w:rsidRPr="00BD18B1" w:rsidRDefault="00D32106" w:rsidP="004C3F17">
            <w:pPr>
              <w:spacing w:line="240" w:lineRule="auto"/>
              <w:rPr>
                <w:rFonts w:ascii="Arial" w:hAnsi="Arial" w:cs="Arial"/>
                <w:sz w:val="16"/>
                <w:szCs w:val="16"/>
              </w:rPr>
            </w:pPr>
            <w:r w:rsidRPr="00BD18B1">
              <w:rPr>
                <w:rFonts w:ascii="Arial" w:hAnsi="Arial" w:cs="Arial"/>
                <w:sz w:val="16"/>
                <w:szCs w:val="16"/>
              </w:rPr>
              <w:t>Vasoactive intestinal peptide secreting tumour (VIPoma)</w:t>
            </w:r>
            <w:r w:rsidRPr="00BD18B1">
              <w:rPr>
                <w:rFonts w:ascii="Arial" w:hAnsi="Arial" w:cs="Arial"/>
                <w:sz w:val="16"/>
                <w:szCs w:val="16"/>
              </w:rPr>
              <w:br/>
              <w:t>The condition must be causing intractable symptoms; AND</w:t>
            </w:r>
            <w:r w:rsidRPr="00BD18B1">
              <w:rPr>
                <w:rFonts w:ascii="Arial" w:hAnsi="Arial" w:cs="Arial"/>
                <w:sz w:val="16"/>
                <w:szCs w:val="16"/>
              </w:rPr>
              <w:br/>
              <w:t>Patient must have experienced on average over 1 week, 3 or more episodes per day of diarrhoea and/or flushing, which persisted despite the use of anti-histamines, anti-serotonin agents and anti-diarrhoea agents; AND</w:t>
            </w:r>
            <w:r w:rsidRPr="00BD18B1">
              <w:rPr>
                <w:rFonts w:ascii="Arial" w:hAnsi="Arial" w:cs="Arial"/>
                <w:sz w:val="16"/>
                <w:szCs w:val="16"/>
              </w:rPr>
              <w:br/>
              <w:t>Patient must be one in whom surgery or antineoplastic therapy has failed or is inappropriate; AND</w:t>
            </w:r>
            <w:r w:rsidRPr="00BD18B1">
              <w:rPr>
                <w:rFonts w:ascii="Arial" w:hAnsi="Arial" w:cs="Arial"/>
                <w:sz w:val="16"/>
                <w:szCs w:val="16"/>
              </w:rPr>
              <w:br/>
              <w:t>The treatment must cease if there is failure to produce a clinically significant reduction in the frequency and severity of symptoms after 2 months</w:t>
            </w:r>
            <w:r>
              <w:rPr>
                <w:rFonts w:ascii="Arial" w:hAnsi="Arial" w:cs="Arial"/>
                <w:sz w:val="16"/>
                <w:szCs w:val="16"/>
              </w:rPr>
              <w:t>’</w:t>
            </w:r>
            <w:r w:rsidRPr="00BD18B1">
              <w:rPr>
                <w:rFonts w:ascii="Arial" w:hAnsi="Arial" w:cs="Arial"/>
                <w:sz w:val="16"/>
                <w:szCs w:val="16"/>
              </w:rPr>
              <w:t xml:space="preserve"> therapy.</w:t>
            </w:r>
            <w:r w:rsidRPr="00BD18B1">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D32106" w:rsidRPr="00BD18B1" w:rsidRDefault="00D32106" w:rsidP="004C3F17">
            <w:pPr>
              <w:spacing w:line="240" w:lineRule="auto"/>
              <w:rPr>
                <w:rFonts w:ascii="Arial" w:hAnsi="Arial" w:cs="Arial"/>
                <w:sz w:val="16"/>
                <w:szCs w:val="16"/>
              </w:rPr>
            </w:pPr>
            <w:r w:rsidRPr="00BD18B1">
              <w:rPr>
                <w:rFonts w:ascii="Arial" w:hAnsi="Arial" w:cs="Arial"/>
                <w:sz w:val="16"/>
                <w:szCs w:val="16"/>
              </w:rPr>
              <w:t>Compliance with Authority Required procedures - Streamlined Authority Code 9232</w:t>
            </w:r>
          </w:p>
        </w:tc>
      </w:tr>
      <w:tr w:rsidR="00D32106" w:rsidRPr="00E106BD" w:rsidTr="008929EB">
        <w:tc>
          <w:tcPr>
            <w:tcW w:w="1729" w:type="dxa"/>
            <w:shd w:val="clear" w:color="auto" w:fill="auto"/>
            <w:tcMar>
              <w:top w:w="28" w:type="dxa"/>
              <w:left w:w="28" w:type="dxa"/>
            </w:tcMar>
          </w:tcPr>
          <w:p w:rsidR="00D32106" w:rsidRPr="00C0739F" w:rsidRDefault="00D32106" w:rsidP="004C3F17">
            <w:pPr>
              <w:pStyle w:val="Tabletext"/>
              <w:tabs>
                <w:tab w:val="left" w:pos="958"/>
              </w:tabs>
              <w:rPr>
                <w:rFonts w:cs="Arial"/>
                <w:szCs w:val="16"/>
              </w:rPr>
            </w:pPr>
          </w:p>
        </w:tc>
        <w:tc>
          <w:tcPr>
            <w:tcW w:w="709" w:type="dxa"/>
            <w:shd w:val="clear" w:color="auto" w:fill="auto"/>
            <w:tcMar>
              <w:top w:w="28" w:type="dxa"/>
              <w:left w:w="28" w:type="dxa"/>
            </w:tcMar>
          </w:tcPr>
          <w:p w:rsidR="00D32106" w:rsidRPr="00C0739F" w:rsidRDefault="00D32106" w:rsidP="00D32106">
            <w:pPr>
              <w:spacing w:line="240" w:lineRule="auto"/>
              <w:rPr>
                <w:rFonts w:cs="Arial"/>
                <w:szCs w:val="16"/>
              </w:rPr>
            </w:pPr>
            <w:r w:rsidRPr="00D32106">
              <w:rPr>
                <w:rFonts w:ascii="Arial" w:hAnsi="Arial" w:cs="Arial"/>
                <w:sz w:val="16"/>
                <w:szCs w:val="16"/>
              </w:rPr>
              <w:t>C9233</w:t>
            </w:r>
          </w:p>
        </w:tc>
        <w:tc>
          <w:tcPr>
            <w:tcW w:w="709" w:type="dxa"/>
            <w:shd w:val="clear" w:color="auto" w:fill="auto"/>
            <w:tcMar>
              <w:top w:w="28" w:type="dxa"/>
              <w:left w:w="28" w:type="dxa"/>
            </w:tcMar>
          </w:tcPr>
          <w:p w:rsidR="00D32106" w:rsidRPr="00C0739F" w:rsidRDefault="00D32106" w:rsidP="004C3F17">
            <w:pPr>
              <w:spacing w:before="60" w:after="60"/>
              <w:rPr>
                <w:rFonts w:ascii="Arial" w:hAnsi="Arial" w:cs="Arial"/>
                <w:sz w:val="16"/>
                <w:szCs w:val="16"/>
                <w:lang w:eastAsia="en-AU"/>
              </w:rPr>
            </w:pPr>
          </w:p>
        </w:tc>
        <w:tc>
          <w:tcPr>
            <w:tcW w:w="7654" w:type="dxa"/>
            <w:shd w:val="clear" w:color="auto" w:fill="auto"/>
            <w:tcMar>
              <w:top w:w="28" w:type="dxa"/>
              <w:left w:w="28" w:type="dxa"/>
            </w:tcMar>
          </w:tcPr>
          <w:p w:rsidR="00D32106" w:rsidRPr="00C0739F" w:rsidRDefault="00D32106" w:rsidP="004C3F17">
            <w:pPr>
              <w:pStyle w:val="mps3-data"/>
              <w:rPr>
                <w:szCs w:val="16"/>
              </w:rPr>
            </w:pPr>
            <w:r w:rsidRPr="00141537">
              <w:rPr>
                <w:szCs w:val="16"/>
              </w:rPr>
              <w:t>Acromegaly</w:t>
            </w:r>
            <w:r w:rsidRPr="00141537">
              <w:rPr>
                <w:szCs w:val="16"/>
              </w:rPr>
              <w:br/>
              <w:t>The condition must be active; AND</w:t>
            </w:r>
            <w:r w:rsidRPr="00141537">
              <w:rPr>
                <w:szCs w:val="16"/>
              </w:rPr>
              <w:br/>
              <w:t>Patient must have persistent elevation of mean growth hormone levels of greater than 2.5 micrograms per litre; AND</w:t>
            </w:r>
            <w:r w:rsidRPr="00141537">
              <w:rPr>
                <w:szCs w:val="16"/>
              </w:rPr>
              <w:br/>
              <w:t>The treatment must be after failure of other therapy including dopamine agonists; OR</w:t>
            </w:r>
            <w:r w:rsidRPr="00141537">
              <w:rPr>
                <w:szCs w:val="16"/>
              </w:rPr>
              <w:br/>
              <w:t>The treatment must be as interim treatment while awaiting the effects of radiotherapy and where treatment with dopamine agonists has failed; OR</w:t>
            </w:r>
            <w:r w:rsidRPr="00141537">
              <w:rPr>
                <w:szCs w:val="16"/>
              </w:rPr>
              <w:br/>
              <w:t>The treatment must be in a patient who is unfit for or unwilling to undergo surgery and where radiotherapy is contraindicated; AND</w:t>
            </w:r>
            <w:r w:rsidRPr="00141537">
              <w:rPr>
                <w:szCs w:val="16"/>
              </w:rPr>
              <w:br/>
              <w:t>The treatment must cease in a patient treated with radiotherapy if there is biochemical evidence of remission (normal IGF1) after octreotide has been withdrawn for at least 4 weeks; AND</w:t>
            </w:r>
            <w:r w:rsidRPr="00141537">
              <w:rPr>
                <w:szCs w:val="16"/>
              </w:rPr>
              <w:br/>
              <w:t>The treatment must cease if IGF1 is not lower after 3 months of treatment at a dose of 100 micrograms</w:t>
            </w:r>
            <w:r w:rsidRPr="00141537">
              <w:rPr>
                <w:strike/>
                <w:szCs w:val="16"/>
              </w:rPr>
              <w:t xml:space="preserve"> </w:t>
            </w:r>
            <w:r w:rsidRPr="00141537">
              <w:rPr>
                <w:szCs w:val="16"/>
              </w:rPr>
              <w:t>3 times daily; AND</w:t>
            </w:r>
            <w:r w:rsidRPr="00141537">
              <w:rPr>
                <w:szCs w:val="16"/>
              </w:rPr>
              <w:br/>
              <w:t>The treatment must not be given concomitantly with PBS-subsidised lanreotide or pegvisomant for this condition.</w:t>
            </w:r>
            <w:r w:rsidRPr="00141537">
              <w:rPr>
                <w:szCs w:val="16"/>
              </w:rPr>
              <w:br/>
              <w:t>In a patient treated with radiotherapy, octreotide should be withdrawn every 2 years in the 10 years after radiotherapy for assessment of remission</w:t>
            </w:r>
          </w:p>
        </w:tc>
        <w:tc>
          <w:tcPr>
            <w:tcW w:w="2552" w:type="dxa"/>
            <w:shd w:val="clear" w:color="auto" w:fill="auto"/>
            <w:tcMar>
              <w:top w:w="28" w:type="dxa"/>
              <w:left w:w="28" w:type="dxa"/>
              <w:right w:w="57" w:type="dxa"/>
            </w:tcMar>
          </w:tcPr>
          <w:p w:rsidR="00D32106" w:rsidRPr="00C0739F" w:rsidRDefault="00D32106" w:rsidP="00D32106">
            <w:pPr>
              <w:spacing w:line="240" w:lineRule="auto"/>
              <w:rPr>
                <w:rFonts w:cs="Arial"/>
                <w:szCs w:val="16"/>
              </w:rPr>
            </w:pPr>
            <w:r w:rsidRPr="00D32106">
              <w:rPr>
                <w:rFonts w:ascii="Arial" w:hAnsi="Arial" w:cs="Arial"/>
                <w:sz w:val="16"/>
                <w:szCs w:val="16"/>
              </w:rPr>
              <w:t>Compliance with Authority Required procedures - Streamlined Authority Code 9233</w:t>
            </w:r>
          </w:p>
        </w:tc>
      </w:tr>
      <w:tr w:rsidR="00BD18B1" w:rsidRPr="00E106BD" w:rsidTr="008929EB">
        <w:tc>
          <w:tcPr>
            <w:tcW w:w="1729" w:type="dxa"/>
            <w:shd w:val="clear" w:color="auto" w:fill="auto"/>
            <w:tcMar>
              <w:top w:w="28" w:type="dxa"/>
              <w:left w:w="28" w:type="dxa"/>
            </w:tcMar>
          </w:tcPr>
          <w:p w:rsidR="00BD18B1" w:rsidRPr="00BD18B1" w:rsidRDefault="00BD18B1"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BD18B1" w:rsidRPr="00BD18B1" w:rsidRDefault="00BD18B1" w:rsidP="00881477">
            <w:pPr>
              <w:spacing w:line="240" w:lineRule="auto"/>
              <w:rPr>
                <w:rFonts w:ascii="Arial" w:hAnsi="Arial" w:cs="Arial"/>
                <w:sz w:val="16"/>
                <w:szCs w:val="16"/>
              </w:rPr>
            </w:pPr>
            <w:r w:rsidRPr="00BD18B1">
              <w:rPr>
                <w:rFonts w:ascii="Arial" w:hAnsi="Arial" w:cs="Arial"/>
                <w:sz w:val="16"/>
                <w:szCs w:val="16"/>
              </w:rPr>
              <w:t>C9262</w:t>
            </w:r>
          </w:p>
        </w:tc>
        <w:tc>
          <w:tcPr>
            <w:tcW w:w="709" w:type="dxa"/>
            <w:shd w:val="clear" w:color="auto" w:fill="auto"/>
            <w:tcMar>
              <w:top w:w="28" w:type="dxa"/>
              <w:left w:w="28" w:type="dxa"/>
            </w:tcMar>
          </w:tcPr>
          <w:p w:rsidR="00BD18B1" w:rsidRPr="00BD18B1" w:rsidRDefault="00BD18B1"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BD18B1" w:rsidRPr="00BD18B1" w:rsidRDefault="00BD18B1" w:rsidP="00881477">
            <w:pPr>
              <w:spacing w:line="240" w:lineRule="auto"/>
              <w:rPr>
                <w:rFonts w:ascii="Arial" w:hAnsi="Arial" w:cs="Arial"/>
                <w:sz w:val="16"/>
                <w:szCs w:val="16"/>
              </w:rPr>
            </w:pPr>
            <w:r w:rsidRPr="00BD18B1">
              <w:rPr>
                <w:rFonts w:ascii="Arial" w:hAnsi="Arial" w:cs="Arial"/>
                <w:sz w:val="16"/>
                <w:szCs w:val="16"/>
              </w:rPr>
              <w:t>Acromegaly</w:t>
            </w:r>
            <w:r w:rsidRPr="00BD18B1">
              <w:rPr>
                <w:rFonts w:ascii="Arial" w:hAnsi="Arial" w:cs="Arial"/>
                <w:sz w:val="16"/>
                <w:szCs w:val="16"/>
              </w:rPr>
              <w:br/>
              <w:t>The condition must be controlled with octreotide immediate release injections; AND</w:t>
            </w:r>
            <w:r w:rsidRPr="00BD18B1">
              <w:rPr>
                <w:rFonts w:ascii="Arial" w:hAnsi="Arial" w:cs="Arial"/>
                <w:sz w:val="16"/>
                <w:szCs w:val="16"/>
              </w:rPr>
              <w:br/>
              <w:t>The treatment must cease in a patient treated with radiotherapy if there is biochemical evidence of remission (normal IGF1) after octreotide has been withdrawn for at least 4 weeks (8 weeks after the last dose); AND</w:t>
            </w:r>
            <w:r w:rsidRPr="00BD18B1">
              <w:rPr>
                <w:rFonts w:ascii="Arial" w:hAnsi="Arial" w:cs="Arial"/>
                <w:sz w:val="16"/>
                <w:szCs w:val="16"/>
              </w:rPr>
              <w:br/>
              <w:t>The treatment must cease if IGF1 is not lower after 3 months of treatment; AND</w:t>
            </w:r>
            <w:r w:rsidRPr="00BD18B1">
              <w:rPr>
                <w:rFonts w:ascii="Arial" w:hAnsi="Arial" w:cs="Arial"/>
                <w:sz w:val="16"/>
                <w:szCs w:val="16"/>
              </w:rPr>
              <w:br/>
              <w:t>The treatment must not be given concomitantly with PBS-subsidised lanreotide or pegvisomant for this condition.</w:t>
            </w:r>
            <w:r w:rsidRPr="00BD18B1">
              <w:rPr>
                <w:rFonts w:ascii="Arial" w:hAnsi="Arial" w:cs="Arial"/>
                <w:sz w:val="16"/>
                <w:szCs w:val="16"/>
              </w:rPr>
              <w:br/>
              <w:t>In a patient treated with radiotherapy, octreotide should be withdrawn every 2 years in the 10 years after radiotherapy for assessment of remission</w:t>
            </w:r>
          </w:p>
        </w:tc>
        <w:tc>
          <w:tcPr>
            <w:tcW w:w="2552" w:type="dxa"/>
            <w:shd w:val="clear" w:color="auto" w:fill="auto"/>
            <w:tcMar>
              <w:top w:w="28" w:type="dxa"/>
              <w:left w:w="28" w:type="dxa"/>
              <w:right w:w="57" w:type="dxa"/>
            </w:tcMar>
          </w:tcPr>
          <w:p w:rsidR="00BD18B1" w:rsidRPr="00BD18B1" w:rsidRDefault="00BD18B1" w:rsidP="00935EA7">
            <w:pPr>
              <w:spacing w:line="240" w:lineRule="auto"/>
              <w:rPr>
                <w:rFonts w:ascii="Arial" w:hAnsi="Arial" w:cs="Arial"/>
                <w:sz w:val="16"/>
                <w:szCs w:val="16"/>
              </w:rPr>
            </w:pPr>
            <w:r w:rsidRPr="00BD18B1">
              <w:rPr>
                <w:rFonts w:ascii="Arial" w:hAnsi="Arial" w:cs="Arial"/>
                <w:sz w:val="16"/>
                <w:szCs w:val="16"/>
              </w:rPr>
              <w:t>Compliance with Authority Required procedures - Streamlined Authority Code 9262</w:t>
            </w:r>
          </w:p>
        </w:tc>
      </w:tr>
      <w:tr w:rsidR="00BD18B1" w:rsidRPr="00E106BD" w:rsidTr="008929EB">
        <w:tc>
          <w:tcPr>
            <w:tcW w:w="1729" w:type="dxa"/>
            <w:shd w:val="clear" w:color="auto" w:fill="auto"/>
            <w:tcMar>
              <w:top w:w="28" w:type="dxa"/>
              <w:left w:w="28" w:type="dxa"/>
            </w:tcMar>
          </w:tcPr>
          <w:p w:rsidR="00BD18B1" w:rsidRPr="00BD18B1" w:rsidRDefault="00BD18B1"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BD18B1" w:rsidRPr="00BD18B1" w:rsidRDefault="00BD18B1" w:rsidP="00881477">
            <w:pPr>
              <w:spacing w:line="240" w:lineRule="auto"/>
              <w:rPr>
                <w:rFonts w:ascii="Arial" w:hAnsi="Arial" w:cs="Arial"/>
                <w:sz w:val="16"/>
                <w:szCs w:val="16"/>
              </w:rPr>
            </w:pPr>
            <w:r w:rsidRPr="00BD18B1">
              <w:rPr>
                <w:rFonts w:ascii="Arial" w:hAnsi="Arial" w:cs="Arial"/>
                <w:sz w:val="16"/>
                <w:szCs w:val="16"/>
              </w:rPr>
              <w:t>C9288</w:t>
            </w:r>
          </w:p>
        </w:tc>
        <w:tc>
          <w:tcPr>
            <w:tcW w:w="709" w:type="dxa"/>
            <w:shd w:val="clear" w:color="auto" w:fill="auto"/>
            <w:tcMar>
              <w:top w:w="28" w:type="dxa"/>
              <w:left w:w="28" w:type="dxa"/>
            </w:tcMar>
          </w:tcPr>
          <w:p w:rsidR="00BD18B1" w:rsidRPr="00BD18B1" w:rsidRDefault="00BD18B1"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BD18B1" w:rsidRPr="00BD18B1" w:rsidRDefault="00BD18B1" w:rsidP="00881477">
            <w:pPr>
              <w:spacing w:line="240" w:lineRule="auto"/>
              <w:rPr>
                <w:rFonts w:ascii="Arial" w:hAnsi="Arial" w:cs="Arial"/>
                <w:sz w:val="16"/>
                <w:szCs w:val="16"/>
              </w:rPr>
            </w:pPr>
            <w:r w:rsidRPr="00BD18B1">
              <w:rPr>
                <w:rFonts w:ascii="Arial" w:hAnsi="Arial" w:cs="Arial"/>
                <w:sz w:val="16"/>
                <w:szCs w:val="16"/>
              </w:rPr>
              <w:t>Vasoactive intestinal peptide secreting tumour (VIPoma)</w:t>
            </w:r>
            <w:r w:rsidRPr="00BD18B1">
              <w:rPr>
                <w:rFonts w:ascii="Arial" w:hAnsi="Arial" w:cs="Arial"/>
                <w:sz w:val="16"/>
                <w:szCs w:val="16"/>
              </w:rPr>
              <w:br/>
              <w:t>Patient must have achieved symptom control on octreotide immediate release injections; AND</w:t>
            </w:r>
            <w:r w:rsidRPr="00BD18B1">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BD18B1">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BD18B1" w:rsidRPr="00BD18B1" w:rsidRDefault="00BD18B1" w:rsidP="00935EA7">
            <w:pPr>
              <w:spacing w:line="240" w:lineRule="auto"/>
              <w:rPr>
                <w:rFonts w:ascii="Arial" w:hAnsi="Arial" w:cs="Arial"/>
                <w:sz w:val="16"/>
                <w:szCs w:val="16"/>
              </w:rPr>
            </w:pPr>
            <w:r w:rsidRPr="00BD18B1">
              <w:rPr>
                <w:rFonts w:ascii="Arial" w:hAnsi="Arial" w:cs="Arial"/>
                <w:sz w:val="16"/>
                <w:szCs w:val="16"/>
              </w:rPr>
              <w:t>Compliance with Authority Required procedures - Streamlined Authority Code 9288</w:t>
            </w:r>
          </w:p>
        </w:tc>
      </w:tr>
      <w:tr w:rsidR="00BD18B1" w:rsidRPr="00E106BD" w:rsidTr="008929EB">
        <w:tc>
          <w:tcPr>
            <w:tcW w:w="1729" w:type="dxa"/>
            <w:shd w:val="clear" w:color="auto" w:fill="auto"/>
            <w:tcMar>
              <w:top w:w="28" w:type="dxa"/>
              <w:left w:w="28" w:type="dxa"/>
            </w:tcMar>
          </w:tcPr>
          <w:p w:rsidR="00BD18B1" w:rsidRPr="00BD18B1" w:rsidRDefault="00BD18B1" w:rsidP="00881477">
            <w:pPr>
              <w:spacing w:line="240" w:lineRule="auto"/>
              <w:rPr>
                <w:rFonts w:ascii="Arial" w:hAnsi="Arial" w:cs="Arial"/>
                <w:sz w:val="16"/>
                <w:szCs w:val="16"/>
              </w:rPr>
            </w:pPr>
          </w:p>
        </w:tc>
        <w:tc>
          <w:tcPr>
            <w:tcW w:w="709" w:type="dxa"/>
            <w:shd w:val="clear" w:color="auto" w:fill="auto"/>
            <w:tcMar>
              <w:top w:w="28" w:type="dxa"/>
              <w:left w:w="28" w:type="dxa"/>
            </w:tcMar>
          </w:tcPr>
          <w:p w:rsidR="00BD18B1" w:rsidRPr="00E106BD" w:rsidRDefault="00BD18B1" w:rsidP="00881477">
            <w:pPr>
              <w:spacing w:line="240" w:lineRule="auto"/>
              <w:rPr>
                <w:rFonts w:ascii="Arial" w:hAnsi="Arial" w:cs="Arial"/>
                <w:sz w:val="16"/>
                <w:szCs w:val="16"/>
              </w:rPr>
            </w:pPr>
            <w:r w:rsidRPr="00BD18B1">
              <w:rPr>
                <w:rFonts w:ascii="Arial" w:hAnsi="Arial" w:cs="Arial"/>
                <w:sz w:val="16"/>
                <w:szCs w:val="16"/>
              </w:rPr>
              <w:t>C9289</w:t>
            </w:r>
          </w:p>
        </w:tc>
        <w:tc>
          <w:tcPr>
            <w:tcW w:w="709" w:type="dxa"/>
            <w:shd w:val="clear" w:color="auto" w:fill="auto"/>
            <w:tcMar>
              <w:top w:w="28" w:type="dxa"/>
              <w:left w:w="28" w:type="dxa"/>
            </w:tcMar>
          </w:tcPr>
          <w:p w:rsidR="00BD18B1" w:rsidRPr="00BD18B1" w:rsidRDefault="00BD18B1" w:rsidP="00881477">
            <w:pPr>
              <w:spacing w:line="240" w:lineRule="auto"/>
              <w:rPr>
                <w:rFonts w:ascii="Arial" w:hAnsi="Arial" w:cs="Arial"/>
                <w:sz w:val="16"/>
                <w:szCs w:val="16"/>
              </w:rPr>
            </w:pPr>
          </w:p>
        </w:tc>
        <w:tc>
          <w:tcPr>
            <w:tcW w:w="7654" w:type="dxa"/>
            <w:shd w:val="clear" w:color="auto" w:fill="auto"/>
            <w:tcMar>
              <w:top w:w="28" w:type="dxa"/>
              <w:left w:w="28" w:type="dxa"/>
            </w:tcMar>
          </w:tcPr>
          <w:p w:rsidR="00BD18B1" w:rsidRPr="00E106BD" w:rsidRDefault="00BD18B1" w:rsidP="00881477">
            <w:pPr>
              <w:spacing w:line="240" w:lineRule="auto"/>
              <w:rPr>
                <w:rFonts w:ascii="Arial" w:hAnsi="Arial" w:cs="Arial"/>
                <w:sz w:val="16"/>
                <w:szCs w:val="16"/>
              </w:rPr>
            </w:pPr>
            <w:r w:rsidRPr="00BD18B1">
              <w:rPr>
                <w:rFonts w:ascii="Arial" w:hAnsi="Arial" w:cs="Arial"/>
                <w:sz w:val="16"/>
                <w:szCs w:val="16"/>
              </w:rPr>
              <w:t>Functional carcinoid tumour</w:t>
            </w:r>
            <w:r w:rsidRPr="00BD18B1">
              <w:rPr>
                <w:rFonts w:ascii="Arial" w:hAnsi="Arial" w:cs="Arial"/>
                <w:sz w:val="16"/>
                <w:szCs w:val="16"/>
              </w:rPr>
              <w:br/>
              <w:t>The condition must be causing intractable symptoms; AND</w:t>
            </w:r>
            <w:r w:rsidRPr="00BD18B1">
              <w:rPr>
                <w:rFonts w:ascii="Arial" w:hAnsi="Arial" w:cs="Arial"/>
                <w:sz w:val="16"/>
                <w:szCs w:val="16"/>
              </w:rPr>
              <w:br/>
              <w:t>Patient must have experienced on average over 1 week, 3 or more episodes per day of diarrhoea and/or flushing, which persisted despite the use of anti-histamines, anti-serotonin agents and anti-diarrhoea agents; AND</w:t>
            </w:r>
            <w:r w:rsidRPr="00BD18B1">
              <w:rPr>
                <w:rFonts w:ascii="Arial" w:hAnsi="Arial" w:cs="Arial"/>
                <w:sz w:val="16"/>
                <w:szCs w:val="16"/>
              </w:rPr>
              <w:br/>
              <w:t>Patient must be one in whom surgery or antineoplastic therapy has failed or is inappropriate; AND</w:t>
            </w:r>
            <w:r w:rsidRPr="00BD18B1">
              <w:rPr>
                <w:rFonts w:ascii="Arial" w:hAnsi="Arial" w:cs="Arial"/>
                <w:sz w:val="16"/>
                <w:szCs w:val="16"/>
              </w:rPr>
              <w:br/>
              <w:t>The treatment must cease if there is failure to produce a clinically significant reduction in the frequency and severity of symptoms after 2 months</w:t>
            </w:r>
            <w:r w:rsidR="00A653CA">
              <w:rPr>
                <w:rFonts w:ascii="Arial" w:hAnsi="Arial" w:cs="Arial"/>
                <w:sz w:val="16"/>
                <w:szCs w:val="16"/>
              </w:rPr>
              <w:t>’</w:t>
            </w:r>
            <w:r w:rsidRPr="00BD18B1">
              <w:rPr>
                <w:rFonts w:ascii="Arial" w:hAnsi="Arial" w:cs="Arial"/>
                <w:sz w:val="16"/>
                <w:szCs w:val="16"/>
              </w:rPr>
              <w:t xml:space="preserve"> therapy.</w:t>
            </w:r>
            <w:r w:rsidRPr="00BD18B1">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BD18B1" w:rsidRPr="00E106BD" w:rsidRDefault="00BD18B1" w:rsidP="00935EA7">
            <w:pPr>
              <w:spacing w:line="240" w:lineRule="auto"/>
              <w:rPr>
                <w:rFonts w:ascii="Arial" w:hAnsi="Arial" w:cs="Arial"/>
                <w:sz w:val="16"/>
                <w:szCs w:val="16"/>
              </w:rPr>
            </w:pPr>
            <w:r w:rsidRPr="00BD18B1">
              <w:rPr>
                <w:rFonts w:ascii="Arial" w:hAnsi="Arial" w:cs="Arial"/>
                <w:sz w:val="16"/>
                <w:szCs w:val="16"/>
              </w:rPr>
              <w:t>Compliance with Authority Required procedures - Streamlined Authority Code 9289</w:t>
            </w:r>
          </w:p>
        </w:tc>
      </w:tr>
      <w:tr w:rsidR="00BD18B1" w:rsidRPr="00E106BD" w:rsidTr="008929EB">
        <w:tc>
          <w:tcPr>
            <w:tcW w:w="1729" w:type="dxa"/>
            <w:shd w:val="clear" w:color="auto" w:fill="auto"/>
            <w:tcMar>
              <w:top w:w="28" w:type="dxa"/>
              <w:left w:w="28" w:type="dxa"/>
            </w:tcMar>
          </w:tcPr>
          <w:p w:rsidR="00BD18B1" w:rsidRPr="00BD18B1" w:rsidRDefault="00BD18B1" w:rsidP="00881477">
            <w:pPr>
              <w:spacing w:line="240" w:lineRule="auto"/>
              <w:rPr>
                <w:rFonts w:ascii="Arial" w:hAnsi="Arial" w:cs="Arial"/>
                <w:sz w:val="16"/>
                <w:szCs w:val="16"/>
              </w:rPr>
            </w:pPr>
          </w:p>
        </w:tc>
        <w:tc>
          <w:tcPr>
            <w:tcW w:w="709" w:type="dxa"/>
            <w:shd w:val="clear" w:color="auto" w:fill="auto"/>
            <w:tcMar>
              <w:top w:w="28" w:type="dxa"/>
              <w:left w:w="28" w:type="dxa"/>
            </w:tcMar>
          </w:tcPr>
          <w:p w:rsidR="00BD18B1" w:rsidRPr="00E106BD" w:rsidRDefault="00BD18B1" w:rsidP="00881477">
            <w:pPr>
              <w:spacing w:line="240" w:lineRule="auto"/>
              <w:rPr>
                <w:rFonts w:ascii="Arial" w:hAnsi="Arial" w:cs="Arial"/>
                <w:sz w:val="16"/>
                <w:szCs w:val="16"/>
              </w:rPr>
            </w:pPr>
            <w:r w:rsidRPr="00BD18B1">
              <w:rPr>
                <w:rFonts w:ascii="Arial" w:hAnsi="Arial" w:cs="Arial"/>
                <w:sz w:val="16"/>
                <w:szCs w:val="16"/>
              </w:rPr>
              <w:t>C9313</w:t>
            </w:r>
          </w:p>
        </w:tc>
        <w:tc>
          <w:tcPr>
            <w:tcW w:w="709" w:type="dxa"/>
            <w:shd w:val="clear" w:color="auto" w:fill="auto"/>
            <w:tcMar>
              <w:top w:w="28" w:type="dxa"/>
              <w:left w:w="28" w:type="dxa"/>
            </w:tcMar>
          </w:tcPr>
          <w:p w:rsidR="00BD18B1" w:rsidRPr="00BD18B1" w:rsidRDefault="00BD18B1" w:rsidP="00881477">
            <w:pPr>
              <w:spacing w:line="240" w:lineRule="auto"/>
              <w:rPr>
                <w:rFonts w:ascii="Arial" w:hAnsi="Arial" w:cs="Arial"/>
                <w:sz w:val="16"/>
                <w:szCs w:val="16"/>
              </w:rPr>
            </w:pPr>
          </w:p>
        </w:tc>
        <w:tc>
          <w:tcPr>
            <w:tcW w:w="7654" w:type="dxa"/>
            <w:shd w:val="clear" w:color="auto" w:fill="auto"/>
            <w:tcMar>
              <w:top w:w="28" w:type="dxa"/>
              <w:left w:w="28" w:type="dxa"/>
            </w:tcMar>
          </w:tcPr>
          <w:p w:rsidR="00BD18B1" w:rsidRPr="00E106BD" w:rsidRDefault="00BD18B1" w:rsidP="00881477">
            <w:pPr>
              <w:spacing w:line="240" w:lineRule="auto"/>
              <w:rPr>
                <w:rFonts w:ascii="Arial" w:hAnsi="Arial" w:cs="Arial"/>
                <w:sz w:val="16"/>
                <w:szCs w:val="16"/>
              </w:rPr>
            </w:pPr>
            <w:r w:rsidRPr="00BD18B1">
              <w:rPr>
                <w:rFonts w:ascii="Arial" w:hAnsi="Arial" w:cs="Arial"/>
                <w:sz w:val="16"/>
                <w:szCs w:val="16"/>
              </w:rPr>
              <w:t>Functional carcinoid tumour</w:t>
            </w:r>
            <w:r w:rsidRPr="00BD18B1">
              <w:rPr>
                <w:rFonts w:ascii="Arial" w:hAnsi="Arial" w:cs="Arial"/>
                <w:sz w:val="16"/>
                <w:szCs w:val="16"/>
              </w:rPr>
              <w:br/>
              <w:t>Patient must have achieved symptom control on octreotide immediate release injections; AND</w:t>
            </w:r>
            <w:r w:rsidRPr="00BD18B1">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BD18B1">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BD18B1" w:rsidRPr="00E106BD" w:rsidRDefault="00BD18B1" w:rsidP="00935EA7">
            <w:pPr>
              <w:spacing w:line="240" w:lineRule="auto"/>
              <w:rPr>
                <w:rFonts w:ascii="Arial" w:hAnsi="Arial" w:cs="Arial"/>
                <w:sz w:val="16"/>
                <w:szCs w:val="16"/>
              </w:rPr>
            </w:pPr>
            <w:r w:rsidRPr="00BD18B1">
              <w:rPr>
                <w:rFonts w:ascii="Arial" w:hAnsi="Arial" w:cs="Arial"/>
                <w:sz w:val="16"/>
                <w:szCs w:val="16"/>
              </w:rPr>
              <w:t>Compliance with Authority Required procedures - Streamlined Authority Code 9313</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C10061</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Non</w:t>
            </w:r>
            <w:r>
              <w:rPr>
                <w:rFonts w:ascii="Arial" w:hAnsi="Arial" w:cs="Arial"/>
                <w:sz w:val="16"/>
                <w:szCs w:val="16"/>
              </w:rPr>
              <w:noBreakHyphen/>
            </w:r>
            <w:r w:rsidRPr="00E106BD">
              <w:rPr>
                <w:rFonts w:ascii="Arial" w:hAnsi="Arial" w:cs="Arial"/>
                <w:sz w:val="16"/>
                <w:szCs w:val="16"/>
              </w:rPr>
              <w:t>functional gastroenteropancreatic neuroendocrine tumour (GEP</w:t>
            </w:r>
            <w:r>
              <w:rPr>
                <w:rFonts w:ascii="Arial" w:hAnsi="Arial" w:cs="Arial"/>
                <w:sz w:val="16"/>
                <w:szCs w:val="16"/>
              </w:rPr>
              <w:noBreakHyphen/>
            </w:r>
            <w:r w:rsidRPr="00E106BD">
              <w:rPr>
                <w:rFonts w:ascii="Arial" w:hAnsi="Arial" w:cs="Arial"/>
                <w:sz w:val="16"/>
                <w:szCs w:val="16"/>
              </w:rPr>
              <w:t>NET)</w:t>
            </w:r>
            <w:r w:rsidRPr="00E106BD">
              <w:rPr>
                <w:rFonts w:ascii="Arial" w:hAnsi="Arial" w:cs="Arial"/>
                <w:sz w:val="16"/>
                <w:szCs w:val="16"/>
              </w:rPr>
              <w:br/>
              <w:t>The condition must be unresectable locally advanced disease or metastatic disease; AND</w:t>
            </w:r>
            <w:r w:rsidRPr="00E106BD">
              <w:rPr>
                <w:rFonts w:ascii="Arial" w:hAnsi="Arial" w:cs="Arial"/>
                <w:sz w:val="16"/>
                <w:szCs w:val="16"/>
              </w:rPr>
              <w:br/>
              <w:t>The condition must be World Health Organisation (WHO) grade 1 or 2;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therapy for this condition.</w:t>
            </w:r>
            <w:r w:rsidRPr="00E106BD">
              <w:rPr>
                <w:rFonts w:ascii="Arial" w:hAnsi="Arial" w:cs="Arial"/>
                <w:sz w:val="16"/>
                <w:szCs w:val="16"/>
              </w:rPr>
              <w:br/>
              <w:t>Patient must be aged 18 years or older.</w:t>
            </w:r>
            <w:r w:rsidRPr="00E106BD">
              <w:rPr>
                <w:rFonts w:ascii="Arial" w:hAnsi="Arial" w:cs="Arial"/>
                <w:sz w:val="16"/>
                <w:szCs w:val="16"/>
              </w:rPr>
              <w:br/>
              <w:t>WHO grade 1 of GEP</w:t>
            </w:r>
            <w:r>
              <w:rPr>
                <w:rFonts w:ascii="Arial" w:hAnsi="Arial" w:cs="Arial"/>
                <w:sz w:val="16"/>
                <w:szCs w:val="16"/>
              </w:rPr>
              <w:noBreakHyphen/>
            </w:r>
            <w:r w:rsidRPr="00E106BD">
              <w:rPr>
                <w:rFonts w:ascii="Arial" w:hAnsi="Arial" w:cs="Arial"/>
                <w:sz w:val="16"/>
                <w:szCs w:val="16"/>
              </w:rPr>
              <w:t>NET is defined as a mitotic count (10HPF) of less than 2 and Ki</w:t>
            </w:r>
            <w:r>
              <w:rPr>
                <w:rFonts w:ascii="Arial" w:hAnsi="Arial" w:cs="Arial"/>
                <w:sz w:val="16"/>
                <w:szCs w:val="16"/>
              </w:rPr>
              <w:noBreakHyphen/>
            </w:r>
            <w:r w:rsidRPr="00E106BD">
              <w:rPr>
                <w:rFonts w:ascii="Arial" w:hAnsi="Arial" w:cs="Arial"/>
                <w:sz w:val="16"/>
                <w:szCs w:val="16"/>
              </w:rPr>
              <w:t>67 index (%) of less than or equal to 2.</w:t>
            </w:r>
            <w:r w:rsidRPr="00E106BD">
              <w:rPr>
                <w:rFonts w:ascii="Arial" w:hAnsi="Arial" w:cs="Arial"/>
                <w:sz w:val="16"/>
                <w:szCs w:val="16"/>
              </w:rPr>
              <w:br/>
              <w:t>WHO grade 2 of GEP</w:t>
            </w:r>
            <w:r>
              <w:rPr>
                <w:rFonts w:ascii="Arial" w:hAnsi="Arial" w:cs="Arial"/>
                <w:sz w:val="16"/>
                <w:szCs w:val="16"/>
              </w:rPr>
              <w:noBreakHyphen/>
            </w:r>
            <w:r w:rsidRPr="00E106BD">
              <w:rPr>
                <w:rFonts w:ascii="Arial" w:hAnsi="Arial" w:cs="Arial"/>
                <w:sz w:val="16"/>
                <w:szCs w:val="16"/>
              </w:rPr>
              <w:t>NET is defined as a mitotic count (10HPF) of 2</w:t>
            </w:r>
            <w:r>
              <w:rPr>
                <w:rFonts w:ascii="Arial" w:hAnsi="Arial" w:cs="Arial"/>
                <w:sz w:val="16"/>
                <w:szCs w:val="16"/>
              </w:rPr>
              <w:noBreakHyphen/>
            </w:r>
            <w:r w:rsidRPr="00E106BD">
              <w:rPr>
                <w:rFonts w:ascii="Arial" w:hAnsi="Arial" w:cs="Arial"/>
                <w:sz w:val="16"/>
                <w:szCs w:val="16"/>
              </w:rPr>
              <w:t>20 and Ki</w:t>
            </w:r>
            <w:r>
              <w:rPr>
                <w:rFonts w:ascii="Arial" w:hAnsi="Arial" w:cs="Arial"/>
                <w:sz w:val="16"/>
                <w:szCs w:val="16"/>
              </w:rPr>
              <w:noBreakHyphen/>
            </w:r>
            <w:r w:rsidRPr="00E106BD">
              <w:rPr>
                <w:rFonts w:ascii="Arial" w:hAnsi="Arial" w:cs="Arial"/>
                <w:sz w:val="16"/>
                <w:szCs w:val="16"/>
              </w:rPr>
              <w:t>67 index (%) of 3</w:t>
            </w:r>
            <w:r>
              <w:rPr>
                <w:rFonts w:ascii="Arial" w:hAnsi="Arial" w:cs="Arial"/>
                <w:sz w:val="16"/>
                <w:szCs w:val="16"/>
              </w:rPr>
              <w:noBreakHyphen/>
            </w:r>
            <w:r w:rsidRPr="00E106BD">
              <w:rPr>
                <w:rFonts w:ascii="Arial" w:hAnsi="Arial" w:cs="Arial"/>
                <w:sz w:val="16"/>
                <w:szCs w:val="16"/>
              </w:rPr>
              <w:t>20.</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10061</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C10075</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Non</w:t>
            </w:r>
            <w:r>
              <w:rPr>
                <w:rFonts w:ascii="Arial" w:hAnsi="Arial" w:cs="Arial"/>
                <w:sz w:val="16"/>
                <w:szCs w:val="16"/>
              </w:rPr>
              <w:noBreakHyphen/>
            </w:r>
            <w:r w:rsidRPr="00E106BD">
              <w:rPr>
                <w:rFonts w:ascii="Arial" w:hAnsi="Arial" w:cs="Arial"/>
                <w:sz w:val="16"/>
                <w:szCs w:val="16"/>
              </w:rPr>
              <w:t>functional gastroenteropancreatic neuroendocrine tumour (GEP</w:t>
            </w:r>
            <w:r>
              <w:rPr>
                <w:rFonts w:ascii="Arial" w:hAnsi="Arial" w:cs="Arial"/>
                <w:sz w:val="16"/>
                <w:szCs w:val="16"/>
              </w:rPr>
              <w:noBreakHyphen/>
            </w:r>
            <w:r w:rsidRPr="00E106BD">
              <w:rPr>
                <w:rFonts w:ascii="Arial" w:hAnsi="Arial" w:cs="Arial"/>
                <w:sz w:val="16"/>
                <w:szCs w:val="16"/>
              </w:rPr>
              <w:t>NET)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The condition must be unresectable locally advanced disease or metastatic disease; AND</w:t>
            </w:r>
            <w:r w:rsidRPr="00E106BD">
              <w:rPr>
                <w:rFonts w:ascii="Arial" w:hAnsi="Arial" w:cs="Arial"/>
                <w:sz w:val="16"/>
                <w:szCs w:val="16"/>
              </w:rPr>
              <w:br/>
              <w:t>The condition must be World Health Organisation (WHO) grade 1 or 2;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therapy for this condition.</w:t>
            </w:r>
            <w:r w:rsidRPr="00E106BD">
              <w:rPr>
                <w:rFonts w:ascii="Arial" w:hAnsi="Arial" w:cs="Arial"/>
                <w:sz w:val="16"/>
                <w:szCs w:val="16"/>
              </w:rPr>
              <w:br/>
              <w:t>Patient must be aged 18 years or older.</w:t>
            </w:r>
            <w:r w:rsidRPr="00E106BD">
              <w:rPr>
                <w:rFonts w:ascii="Arial" w:hAnsi="Arial" w:cs="Arial"/>
                <w:sz w:val="16"/>
                <w:szCs w:val="16"/>
              </w:rPr>
              <w:br/>
              <w:t>WHO grade 1 of GEP</w:t>
            </w:r>
            <w:r>
              <w:rPr>
                <w:rFonts w:ascii="Arial" w:hAnsi="Arial" w:cs="Arial"/>
                <w:sz w:val="16"/>
                <w:szCs w:val="16"/>
              </w:rPr>
              <w:noBreakHyphen/>
            </w:r>
            <w:r w:rsidRPr="00E106BD">
              <w:rPr>
                <w:rFonts w:ascii="Arial" w:hAnsi="Arial" w:cs="Arial"/>
                <w:sz w:val="16"/>
                <w:szCs w:val="16"/>
              </w:rPr>
              <w:t>NET is defined as a mitotic count (10HPF) of less than 2 and Ki</w:t>
            </w:r>
            <w:r>
              <w:rPr>
                <w:rFonts w:ascii="Arial" w:hAnsi="Arial" w:cs="Arial"/>
                <w:sz w:val="16"/>
                <w:szCs w:val="16"/>
              </w:rPr>
              <w:noBreakHyphen/>
            </w:r>
            <w:r w:rsidRPr="00E106BD">
              <w:rPr>
                <w:rFonts w:ascii="Arial" w:hAnsi="Arial" w:cs="Arial"/>
                <w:sz w:val="16"/>
                <w:szCs w:val="16"/>
              </w:rPr>
              <w:t>67 index (%) of less than or equal to 2.</w:t>
            </w:r>
            <w:r w:rsidRPr="00E106BD">
              <w:rPr>
                <w:rFonts w:ascii="Arial" w:hAnsi="Arial" w:cs="Arial"/>
                <w:sz w:val="16"/>
                <w:szCs w:val="16"/>
              </w:rPr>
              <w:br/>
              <w:t>WHO grade 2 of GEP</w:t>
            </w:r>
            <w:r>
              <w:rPr>
                <w:rFonts w:ascii="Arial" w:hAnsi="Arial" w:cs="Arial"/>
                <w:sz w:val="16"/>
                <w:szCs w:val="16"/>
              </w:rPr>
              <w:noBreakHyphen/>
            </w:r>
            <w:r w:rsidRPr="00E106BD">
              <w:rPr>
                <w:rFonts w:ascii="Arial" w:hAnsi="Arial" w:cs="Arial"/>
                <w:sz w:val="16"/>
                <w:szCs w:val="16"/>
              </w:rPr>
              <w:t>NET is defined as a mitotic count (10HPF) of 2</w:t>
            </w:r>
            <w:r>
              <w:rPr>
                <w:rFonts w:ascii="Arial" w:hAnsi="Arial" w:cs="Arial"/>
                <w:sz w:val="16"/>
                <w:szCs w:val="16"/>
              </w:rPr>
              <w:noBreakHyphen/>
            </w:r>
            <w:r w:rsidRPr="00E106BD">
              <w:rPr>
                <w:rFonts w:ascii="Arial" w:hAnsi="Arial" w:cs="Arial"/>
                <w:sz w:val="16"/>
                <w:szCs w:val="16"/>
              </w:rPr>
              <w:t>20 and Ki</w:t>
            </w:r>
            <w:r>
              <w:rPr>
                <w:rFonts w:ascii="Arial" w:hAnsi="Arial" w:cs="Arial"/>
                <w:sz w:val="16"/>
                <w:szCs w:val="16"/>
              </w:rPr>
              <w:noBreakHyphen/>
            </w:r>
            <w:r w:rsidRPr="00E106BD">
              <w:rPr>
                <w:rFonts w:ascii="Arial" w:hAnsi="Arial" w:cs="Arial"/>
                <w:sz w:val="16"/>
                <w:szCs w:val="16"/>
              </w:rPr>
              <w:t>67 index (%) of 3</w:t>
            </w:r>
            <w:r>
              <w:rPr>
                <w:rFonts w:ascii="Arial" w:hAnsi="Arial" w:cs="Arial"/>
                <w:sz w:val="16"/>
                <w:szCs w:val="16"/>
              </w:rPr>
              <w:noBreakHyphen/>
            </w:r>
            <w:r w:rsidRPr="00E106BD">
              <w:rPr>
                <w:rFonts w:ascii="Arial" w:hAnsi="Arial" w:cs="Arial"/>
                <w:sz w:val="16"/>
                <w:szCs w:val="16"/>
              </w:rPr>
              <w:t>20.</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10075</w:t>
            </w:r>
          </w:p>
        </w:tc>
      </w:tr>
      <w:tr w:rsidR="00592D6B" w:rsidRPr="00E106BD" w:rsidTr="008929EB">
        <w:tc>
          <w:tcPr>
            <w:tcW w:w="172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C10077</w:t>
            </w:r>
          </w:p>
        </w:tc>
        <w:tc>
          <w:tcPr>
            <w:tcW w:w="709" w:type="dxa"/>
            <w:shd w:val="clear" w:color="auto" w:fill="auto"/>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Non</w:t>
            </w:r>
            <w:r>
              <w:rPr>
                <w:rFonts w:ascii="Arial" w:hAnsi="Arial" w:cs="Arial"/>
                <w:sz w:val="16"/>
                <w:szCs w:val="16"/>
              </w:rPr>
              <w:noBreakHyphen/>
            </w:r>
            <w:r w:rsidRPr="00E106BD">
              <w:rPr>
                <w:rFonts w:ascii="Arial" w:hAnsi="Arial" w:cs="Arial"/>
                <w:sz w:val="16"/>
                <w:szCs w:val="16"/>
              </w:rPr>
              <w:t>functional gastroenteropancreatic neuroendocrine tumour (GEP</w:t>
            </w:r>
            <w:r>
              <w:rPr>
                <w:rFonts w:ascii="Arial" w:hAnsi="Arial" w:cs="Arial"/>
                <w:sz w:val="16"/>
                <w:szCs w:val="16"/>
              </w:rPr>
              <w:noBreakHyphen/>
            </w:r>
            <w:r w:rsidRPr="00E106BD">
              <w:rPr>
                <w:rFonts w:ascii="Arial" w:hAnsi="Arial" w:cs="Arial"/>
                <w:sz w:val="16"/>
                <w:szCs w:val="16"/>
              </w:rPr>
              <w:t>NET)</w:t>
            </w:r>
            <w:r w:rsidRPr="00E106BD">
              <w:rPr>
                <w:rFonts w:ascii="Arial" w:hAnsi="Arial" w:cs="Arial"/>
                <w:sz w:val="16"/>
                <w:szCs w:val="16"/>
              </w:rPr>
              <w:br/>
              <w:t>The condition must be unresectable locally advanced disease or metastatic disease; AND</w:t>
            </w:r>
            <w:r w:rsidRPr="00E106BD">
              <w:rPr>
                <w:rFonts w:ascii="Arial" w:hAnsi="Arial" w:cs="Arial"/>
                <w:sz w:val="16"/>
                <w:szCs w:val="16"/>
              </w:rPr>
              <w:br/>
              <w:t>The condition must be World Health Organisation (WHO) grade 1 or 2;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therapy for this condition.</w:t>
            </w:r>
            <w:r w:rsidRPr="00E106BD">
              <w:rPr>
                <w:rFonts w:ascii="Arial" w:hAnsi="Arial" w:cs="Arial"/>
                <w:sz w:val="16"/>
                <w:szCs w:val="16"/>
              </w:rPr>
              <w:br/>
              <w:t>Patient must be aged 18 years or older.</w:t>
            </w:r>
            <w:r w:rsidRPr="00E106BD">
              <w:rPr>
                <w:rFonts w:ascii="Arial" w:hAnsi="Arial" w:cs="Arial"/>
                <w:sz w:val="16"/>
                <w:szCs w:val="16"/>
              </w:rPr>
              <w:br/>
              <w:t>WHO grade 1 of GEP</w:t>
            </w:r>
            <w:r>
              <w:rPr>
                <w:rFonts w:ascii="Arial" w:hAnsi="Arial" w:cs="Arial"/>
                <w:sz w:val="16"/>
                <w:szCs w:val="16"/>
              </w:rPr>
              <w:noBreakHyphen/>
            </w:r>
            <w:r w:rsidRPr="00E106BD">
              <w:rPr>
                <w:rFonts w:ascii="Arial" w:hAnsi="Arial" w:cs="Arial"/>
                <w:sz w:val="16"/>
                <w:szCs w:val="16"/>
              </w:rPr>
              <w:t>NET is defined as a mitotic count (10HPF) of less than 2 and Ki</w:t>
            </w:r>
            <w:r>
              <w:rPr>
                <w:rFonts w:ascii="Arial" w:hAnsi="Arial" w:cs="Arial"/>
                <w:sz w:val="16"/>
                <w:szCs w:val="16"/>
              </w:rPr>
              <w:noBreakHyphen/>
            </w:r>
            <w:r w:rsidRPr="00E106BD">
              <w:rPr>
                <w:rFonts w:ascii="Arial" w:hAnsi="Arial" w:cs="Arial"/>
                <w:sz w:val="16"/>
                <w:szCs w:val="16"/>
              </w:rPr>
              <w:t>67 index (%) of less than or equal to 2.</w:t>
            </w:r>
            <w:r w:rsidRPr="00E106BD">
              <w:rPr>
                <w:rFonts w:ascii="Arial" w:hAnsi="Arial" w:cs="Arial"/>
                <w:sz w:val="16"/>
                <w:szCs w:val="16"/>
              </w:rPr>
              <w:br/>
              <w:t>WHO grade 2 of GEP</w:t>
            </w:r>
            <w:r>
              <w:rPr>
                <w:rFonts w:ascii="Arial" w:hAnsi="Arial" w:cs="Arial"/>
                <w:sz w:val="16"/>
                <w:szCs w:val="16"/>
              </w:rPr>
              <w:noBreakHyphen/>
            </w:r>
            <w:r w:rsidRPr="00E106BD">
              <w:rPr>
                <w:rFonts w:ascii="Arial" w:hAnsi="Arial" w:cs="Arial"/>
                <w:sz w:val="16"/>
                <w:szCs w:val="16"/>
              </w:rPr>
              <w:t>NET is defined as a mitotic count (10HPF) of 2</w:t>
            </w:r>
            <w:r>
              <w:rPr>
                <w:rFonts w:ascii="Arial" w:hAnsi="Arial" w:cs="Arial"/>
                <w:sz w:val="16"/>
                <w:szCs w:val="16"/>
              </w:rPr>
              <w:noBreakHyphen/>
            </w:r>
            <w:r w:rsidRPr="00E106BD">
              <w:rPr>
                <w:rFonts w:ascii="Arial" w:hAnsi="Arial" w:cs="Arial"/>
                <w:sz w:val="16"/>
                <w:szCs w:val="16"/>
              </w:rPr>
              <w:t>20 and Ki</w:t>
            </w:r>
            <w:r>
              <w:rPr>
                <w:rFonts w:ascii="Arial" w:hAnsi="Arial" w:cs="Arial"/>
                <w:sz w:val="16"/>
                <w:szCs w:val="16"/>
              </w:rPr>
              <w:noBreakHyphen/>
            </w:r>
            <w:r w:rsidRPr="00E106BD">
              <w:rPr>
                <w:rFonts w:ascii="Arial" w:hAnsi="Arial" w:cs="Arial"/>
                <w:sz w:val="16"/>
                <w:szCs w:val="16"/>
              </w:rPr>
              <w:t>67 index (%) of 3</w:t>
            </w:r>
            <w:r>
              <w:rPr>
                <w:rFonts w:ascii="Arial" w:hAnsi="Arial" w:cs="Arial"/>
                <w:sz w:val="16"/>
                <w:szCs w:val="16"/>
              </w:rPr>
              <w:noBreakHyphen/>
            </w:r>
            <w:r w:rsidRPr="00E106BD">
              <w:rPr>
                <w:rFonts w:ascii="Arial" w:hAnsi="Arial" w:cs="Arial"/>
                <w:sz w:val="16"/>
                <w:szCs w:val="16"/>
              </w:rPr>
              <w:t>20.</w:t>
            </w:r>
          </w:p>
        </w:tc>
        <w:tc>
          <w:tcPr>
            <w:tcW w:w="2552" w:type="dxa"/>
            <w:shd w:val="clear" w:color="auto" w:fill="auto"/>
            <w:tcMar>
              <w:top w:w="28" w:type="dxa"/>
              <w:left w:w="28" w:type="dxa"/>
              <w:right w:w="57" w:type="dxa"/>
            </w:tcMar>
          </w:tcPr>
          <w:p w:rsidR="00592D6B" w:rsidRPr="00E106BD" w:rsidRDefault="00592D6B"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10077</w:t>
            </w:r>
          </w:p>
        </w:tc>
      </w:tr>
      <w:tr w:rsidR="00592D6B" w:rsidRPr="00E106BD"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bookmarkStart w:id="207" w:name="CU_404667109"/>
            <w:bookmarkStart w:id="208" w:name="CU_408669833"/>
            <w:bookmarkStart w:id="209" w:name="CU_409676045"/>
            <w:bookmarkEnd w:id="207"/>
            <w:bookmarkEnd w:id="208"/>
            <w:bookmarkEnd w:id="209"/>
            <w:r w:rsidRPr="00E106BD">
              <w:rPr>
                <w:rFonts w:ascii="Arial" w:eastAsia="SimSun" w:hAnsi="Arial" w:cs="Arial"/>
                <w:sz w:val="16"/>
                <w:szCs w:val="16"/>
                <w:lang w:eastAsia="zh-CN"/>
              </w:rPr>
              <w:t>Omalizumab</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C7046</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after="0"/>
              <w:rPr>
                <w:szCs w:val="16"/>
              </w:rPr>
            </w:pPr>
            <w:r w:rsidRPr="00E106BD">
              <w:rPr>
                <w:szCs w:val="16"/>
              </w:rPr>
              <w:t>Severe chronic spontaneous urticaria</w:t>
            </w:r>
          </w:p>
          <w:p w:rsidR="00592D6B" w:rsidRPr="00E106BD" w:rsidRDefault="00592D6B" w:rsidP="00881477">
            <w:pPr>
              <w:pStyle w:val="mps3-data"/>
              <w:spacing w:before="0" w:after="0"/>
              <w:rPr>
                <w:szCs w:val="16"/>
              </w:rPr>
            </w:pPr>
            <w:r w:rsidRPr="00E106BD">
              <w:rPr>
                <w:szCs w:val="16"/>
              </w:rPr>
              <w:t>Continuing treatment</w:t>
            </w:r>
          </w:p>
          <w:p w:rsidR="00592D6B" w:rsidRPr="00E106BD" w:rsidRDefault="00592D6B" w:rsidP="00881477">
            <w:pPr>
              <w:pStyle w:val="mps3-data"/>
              <w:spacing w:before="0" w:after="0"/>
              <w:rPr>
                <w:szCs w:val="16"/>
              </w:rPr>
            </w:pPr>
            <w:r w:rsidRPr="00E106BD">
              <w:rPr>
                <w:szCs w:val="16"/>
              </w:rPr>
              <w:t>Must be treated by a clinical immunologist; OR</w:t>
            </w:r>
          </w:p>
          <w:p w:rsidR="00592D6B" w:rsidRPr="00E106BD" w:rsidRDefault="00592D6B" w:rsidP="00881477">
            <w:pPr>
              <w:pStyle w:val="mps3-data"/>
              <w:spacing w:before="0" w:after="0"/>
              <w:rPr>
                <w:szCs w:val="16"/>
              </w:rPr>
            </w:pPr>
            <w:r w:rsidRPr="00E106BD">
              <w:rPr>
                <w:szCs w:val="16"/>
              </w:rPr>
              <w:t>Must be treated by an allergist; OR</w:t>
            </w:r>
          </w:p>
          <w:p w:rsidR="00592D6B" w:rsidRPr="00E106BD" w:rsidRDefault="00592D6B" w:rsidP="00881477">
            <w:pPr>
              <w:pStyle w:val="mps3-data"/>
              <w:spacing w:before="0" w:after="0"/>
              <w:rPr>
                <w:szCs w:val="16"/>
              </w:rPr>
            </w:pPr>
            <w:r w:rsidRPr="00E106BD">
              <w:rPr>
                <w:szCs w:val="16"/>
              </w:rPr>
              <w:t>Must be treated by a dermatologist; OR</w:t>
            </w:r>
          </w:p>
          <w:p w:rsidR="00592D6B" w:rsidRPr="00E106BD" w:rsidRDefault="00592D6B" w:rsidP="00881477">
            <w:pPr>
              <w:pStyle w:val="mps3-data"/>
              <w:spacing w:before="0" w:after="0"/>
              <w:rPr>
                <w:szCs w:val="16"/>
              </w:rPr>
            </w:pPr>
            <w:r w:rsidRPr="00E106BD">
              <w:rPr>
                <w:szCs w:val="16"/>
              </w:rPr>
              <w:t>Must be treated by a general physician with expertise in the management of chronic spontaneous urticaria (CSU).</w:t>
            </w:r>
          </w:p>
          <w:p w:rsidR="00592D6B" w:rsidRPr="00E106BD" w:rsidRDefault="00592D6B" w:rsidP="00881477">
            <w:pPr>
              <w:pStyle w:val="mps3-data"/>
              <w:spacing w:before="0" w:after="0"/>
              <w:rPr>
                <w:szCs w:val="16"/>
              </w:rPr>
            </w:pPr>
            <w:r w:rsidRPr="00E106BD">
              <w:rPr>
                <w:szCs w:val="16"/>
              </w:rPr>
              <w:t>Patient must have demonstrated a response to the most recent PBS</w:t>
            </w:r>
            <w:r>
              <w:rPr>
                <w:szCs w:val="16"/>
              </w:rPr>
              <w:noBreakHyphen/>
            </w:r>
            <w:r w:rsidRPr="00E106BD">
              <w:rPr>
                <w:szCs w:val="16"/>
              </w:rPr>
              <w:t>subsidised treatment with this drug for this condition; AND</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Patient must not receive more than 24 weeks per authorised course of treatment under this restriction.</w:t>
            </w:r>
          </w:p>
        </w:tc>
        <w:tc>
          <w:tcPr>
            <w:tcW w:w="2552" w:type="dxa"/>
            <w:tcMar>
              <w:top w:w="28" w:type="dxa"/>
              <w:left w:w="28" w:type="dxa"/>
              <w:right w:w="57" w:type="dxa"/>
            </w:tcMar>
          </w:tcPr>
          <w:p w:rsidR="00592D6B" w:rsidRPr="00E106BD" w:rsidRDefault="00592D6B" w:rsidP="00D90811">
            <w:pPr>
              <w:spacing w:line="240" w:lineRule="auto"/>
              <w:rPr>
                <w:rFonts w:ascii="Arial" w:eastAsia="SimSun" w:hAnsi="Arial" w:cs="Arial"/>
                <w:sz w:val="16"/>
                <w:szCs w:val="16"/>
                <w:lang w:eastAsia="zh-CN"/>
              </w:rPr>
            </w:pPr>
            <w:r w:rsidRPr="00E106BD">
              <w:rPr>
                <w:rFonts w:ascii="Arial" w:hAnsi="Arial" w:cs="Arial"/>
                <w:sz w:val="16"/>
                <w:szCs w:val="16"/>
              </w:rPr>
              <w:t>Compliance with Authority Required procedures</w:t>
            </w:r>
          </w:p>
        </w:tc>
      </w:tr>
      <w:tr w:rsidR="00592D6B" w:rsidRPr="00E106BD"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C7055</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after="0"/>
              <w:rPr>
                <w:szCs w:val="16"/>
              </w:rPr>
            </w:pPr>
            <w:r w:rsidRPr="00E106BD">
              <w:rPr>
                <w:szCs w:val="16"/>
              </w:rPr>
              <w:t>Severe chronic spontaneous urticaria</w:t>
            </w:r>
          </w:p>
          <w:p w:rsidR="00592D6B" w:rsidRPr="00E106BD" w:rsidRDefault="00592D6B" w:rsidP="00881477">
            <w:pPr>
              <w:pStyle w:val="mps3-data"/>
              <w:spacing w:before="0" w:after="0"/>
              <w:rPr>
                <w:szCs w:val="16"/>
              </w:rPr>
            </w:pPr>
            <w:r w:rsidRPr="00E106BD">
              <w:rPr>
                <w:szCs w:val="16"/>
              </w:rPr>
              <w:t>Initial treatment</w:t>
            </w:r>
          </w:p>
          <w:p w:rsidR="00592D6B" w:rsidRPr="00E106BD" w:rsidRDefault="00592D6B" w:rsidP="00881477">
            <w:pPr>
              <w:pStyle w:val="mps3-data"/>
              <w:spacing w:before="0" w:after="0"/>
              <w:rPr>
                <w:szCs w:val="16"/>
              </w:rPr>
            </w:pPr>
            <w:r w:rsidRPr="00E106BD">
              <w:rPr>
                <w:szCs w:val="16"/>
              </w:rPr>
              <w:t>Must be treated by a clinical immunologist; OR</w:t>
            </w:r>
          </w:p>
          <w:p w:rsidR="00592D6B" w:rsidRPr="00E106BD" w:rsidRDefault="00592D6B" w:rsidP="00881477">
            <w:pPr>
              <w:pStyle w:val="mps3-data"/>
              <w:spacing w:before="0" w:after="0"/>
              <w:rPr>
                <w:szCs w:val="16"/>
              </w:rPr>
            </w:pPr>
            <w:r w:rsidRPr="00E106BD">
              <w:rPr>
                <w:szCs w:val="16"/>
              </w:rPr>
              <w:t>Must be treated by an allergist; OR</w:t>
            </w:r>
          </w:p>
          <w:p w:rsidR="00592D6B" w:rsidRPr="00E106BD" w:rsidRDefault="00592D6B" w:rsidP="00881477">
            <w:pPr>
              <w:pStyle w:val="mps3-data"/>
              <w:spacing w:before="0" w:after="0"/>
              <w:rPr>
                <w:szCs w:val="16"/>
              </w:rPr>
            </w:pPr>
            <w:r w:rsidRPr="00E106BD">
              <w:rPr>
                <w:szCs w:val="16"/>
              </w:rPr>
              <w:t>Must be treated by a dermatologist; OR</w:t>
            </w:r>
          </w:p>
          <w:p w:rsidR="00592D6B" w:rsidRPr="00E106BD" w:rsidRDefault="00592D6B" w:rsidP="00881477">
            <w:pPr>
              <w:pStyle w:val="mps3-data"/>
              <w:spacing w:before="0" w:after="0"/>
              <w:rPr>
                <w:szCs w:val="16"/>
              </w:rPr>
            </w:pPr>
            <w:r w:rsidRPr="00E106BD">
              <w:rPr>
                <w:szCs w:val="16"/>
              </w:rPr>
              <w:t>Must be treated by a general physician with expertise in the management of chronic spontaneous urticaria (CSU).</w:t>
            </w:r>
          </w:p>
          <w:p w:rsidR="00592D6B" w:rsidRPr="00E106BD" w:rsidRDefault="00592D6B" w:rsidP="00881477">
            <w:pPr>
              <w:pStyle w:val="mps3-data"/>
              <w:spacing w:before="0" w:after="0"/>
              <w:rPr>
                <w:szCs w:val="16"/>
              </w:rPr>
            </w:pPr>
            <w:r w:rsidRPr="00E106BD">
              <w:rPr>
                <w:szCs w:val="16"/>
              </w:rPr>
              <w:t>The condition must be based on both physical examination and patient history (to exclude any factors that may be triggering the urticaria); AND</w:t>
            </w:r>
          </w:p>
          <w:p w:rsidR="00592D6B" w:rsidRPr="00E106BD" w:rsidRDefault="00592D6B" w:rsidP="00881477">
            <w:pPr>
              <w:pStyle w:val="mps3-data"/>
              <w:spacing w:before="0" w:after="0"/>
              <w:rPr>
                <w:szCs w:val="16"/>
              </w:rPr>
            </w:pPr>
            <w:r w:rsidRPr="00E106BD">
              <w:rPr>
                <w:szCs w:val="16"/>
              </w:rPr>
              <w:t>Patient must have experienced itch and hives that persist on a daily basis for at least 6 weeks despite treatment with H1 antihistamines; AND</w:t>
            </w:r>
          </w:p>
          <w:p w:rsidR="00592D6B" w:rsidRPr="00E106BD" w:rsidRDefault="00592D6B" w:rsidP="00881477">
            <w:pPr>
              <w:pStyle w:val="mps3-data"/>
              <w:spacing w:before="0" w:after="0"/>
              <w:rPr>
                <w:szCs w:val="16"/>
              </w:rPr>
            </w:pPr>
            <w:r w:rsidRPr="00E106BD">
              <w:rPr>
                <w:szCs w:val="16"/>
              </w:rPr>
              <w:t>Patient must have failed to achieve an adequate response after a minimum of 2 weeks treatment with a standard therapy; AND</w:t>
            </w:r>
          </w:p>
          <w:p w:rsidR="00592D6B" w:rsidRPr="00E106BD" w:rsidRDefault="00592D6B" w:rsidP="00881477">
            <w:pPr>
              <w:pStyle w:val="mps3-data"/>
              <w:spacing w:before="0" w:after="0"/>
              <w:rPr>
                <w:szCs w:val="16"/>
              </w:rPr>
            </w:pPr>
            <w:r w:rsidRPr="00E106BD">
              <w:rPr>
                <w:szCs w:val="16"/>
              </w:rPr>
              <w:t>Patient must not receive more than 12 weeks of treatment under this restriction.</w:t>
            </w:r>
          </w:p>
          <w:p w:rsidR="00592D6B" w:rsidRPr="00E106BD" w:rsidRDefault="00592D6B" w:rsidP="00881477">
            <w:pPr>
              <w:pStyle w:val="mps3-data"/>
              <w:spacing w:before="0" w:after="0"/>
              <w:rPr>
                <w:szCs w:val="16"/>
              </w:rPr>
            </w:pPr>
            <w:r w:rsidRPr="00E106BD">
              <w:rPr>
                <w:szCs w:val="16"/>
              </w:rPr>
              <w:t>A standard therapy is defined as a combination of therapies that includes H1 antihistamines at maximally tolerated doses in accordance with clinical guidelines, and one of the following:</w:t>
            </w:r>
          </w:p>
          <w:p w:rsidR="00592D6B" w:rsidRPr="00E106BD" w:rsidRDefault="00592D6B" w:rsidP="00881477">
            <w:pPr>
              <w:pStyle w:val="mps3-data"/>
              <w:spacing w:before="0" w:after="0"/>
              <w:rPr>
                <w:szCs w:val="16"/>
              </w:rPr>
            </w:pPr>
            <w:r w:rsidRPr="00E106BD">
              <w:rPr>
                <w:szCs w:val="16"/>
              </w:rPr>
              <w:t>1) a H2 receptor antagonist (150 mg twice per day); or</w:t>
            </w:r>
          </w:p>
          <w:p w:rsidR="00592D6B" w:rsidRPr="00E106BD" w:rsidRDefault="00592D6B" w:rsidP="00881477">
            <w:pPr>
              <w:pStyle w:val="mps3-data"/>
              <w:spacing w:before="0" w:after="0"/>
              <w:rPr>
                <w:szCs w:val="16"/>
              </w:rPr>
            </w:pPr>
            <w:r w:rsidRPr="00E106BD">
              <w:rPr>
                <w:szCs w:val="16"/>
              </w:rPr>
              <w:t>2) a leukotriene receptor antagonist (LTRA) (10 mg per day); or</w:t>
            </w:r>
          </w:p>
          <w:p w:rsidR="00592D6B" w:rsidRPr="00E106BD" w:rsidRDefault="00592D6B" w:rsidP="00881477">
            <w:pPr>
              <w:pStyle w:val="mps3-data"/>
              <w:spacing w:before="0" w:after="0"/>
              <w:rPr>
                <w:szCs w:val="16"/>
              </w:rPr>
            </w:pPr>
            <w:r w:rsidRPr="00E106BD">
              <w:rPr>
                <w:szCs w:val="16"/>
              </w:rPr>
              <w:t>3) doxepin (up to 25 mg three times a day)</w:t>
            </w:r>
          </w:p>
          <w:p w:rsidR="00592D6B" w:rsidRPr="00E106BD" w:rsidRDefault="00592D6B" w:rsidP="00881477">
            <w:pPr>
              <w:pStyle w:val="mps3-data"/>
              <w:spacing w:before="0" w:after="0"/>
              <w:rPr>
                <w:szCs w:val="16"/>
              </w:rPr>
            </w:pPr>
            <w:r w:rsidRPr="00E106BD">
              <w:rPr>
                <w:szCs w:val="16"/>
              </w:rPr>
              <w:t>If the requirement for treatment with H1 antihistamines and a H2 receptor antagonist, or a leukotriene receptor antagonist or doxepin cannot be met because of contraindications according to the relevant TGA</w:t>
            </w:r>
            <w:r>
              <w:rPr>
                <w:szCs w:val="16"/>
              </w:rPr>
              <w:noBreakHyphen/>
            </w:r>
            <w:r w:rsidRPr="00E106BD">
              <w:rPr>
                <w:szCs w:val="16"/>
              </w:rPr>
              <w:t>approved Product Information and/or intolerances of a severity necessitating permanent treatment withdrawal, details of the contraindication and/or intolerance must be provided in the authority application.</w:t>
            </w:r>
          </w:p>
          <w:p w:rsidR="00592D6B" w:rsidRPr="00E106BD" w:rsidRDefault="00592D6B" w:rsidP="00881477">
            <w:pPr>
              <w:pStyle w:val="mps3-data"/>
              <w:spacing w:before="0" w:after="0"/>
              <w:rPr>
                <w:szCs w:val="16"/>
              </w:rPr>
            </w:pPr>
            <w:r w:rsidRPr="00E106BD">
              <w:rPr>
                <w:szCs w:val="16"/>
              </w:rPr>
              <w:t>A failure to achieve an adequate response to standard therapy is defined as a current Urticaria Activity Score 7 (UAS7) score of equal to or greater than 28 with an itch score of greater than 8, as assessed while still on standard therapy.</w:t>
            </w:r>
          </w:p>
          <w:p w:rsidR="00592D6B" w:rsidRPr="00E106BD" w:rsidRDefault="00592D6B" w:rsidP="00881477">
            <w:pPr>
              <w:pStyle w:val="mps3-data"/>
              <w:spacing w:before="0" w:after="0"/>
              <w:rPr>
                <w:szCs w:val="16"/>
              </w:rPr>
            </w:pPr>
            <w:r w:rsidRPr="00E106BD">
              <w:rPr>
                <w:szCs w:val="16"/>
              </w:rPr>
              <w:t>The authority application must be made in writing and must include:</w:t>
            </w:r>
          </w:p>
          <w:p w:rsidR="00592D6B" w:rsidRPr="00E106BD" w:rsidRDefault="00592D6B" w:rsidP="00881477">
            <w:pPr>
              <w:pStyle w:val="mps3-data"/>
              <w:spacing w:before="0" w:after="0"/>
              <w:rPr>
                <w:szCs w:val="16"/>
              </w:rPr>
            </w:pPr>
            <w:r w:rsidRPr="00E106BD">
              <w:rPr>
                <w:szCs w:val="16"/>
              </w:rPr>
              <w:t>(a) a completed authority prescription form; and</w:t>
            </w:r>
          </w:p>
          <w:p w:rsidR="00592D6B" w:rsidRPr="00E106BD" w:rsidRDefault="00592D6B" w:rsidP="00881477">
            <w:pPr>
              <w:pStyle w:val="mps3-data"/>
              <w:spacing w:before="0" w:after="0"/>
              <w:rPr>
                <w:szCs w:val="16"/>
              </w:rPr>
            </w:pPr>
            <w:r w:rsidRPr="00E106BD">
              <w:rPr>
                <w:szCs w:val="16"/>
              </w:rPr>
              <w:t xml:space="preserve">(b) a completed Chronic Spontaneous Urticaria Omalizumab Initial PBS Authority Application </w:t>
            </w:r>
            <w:r>
              <w:rPr>
                <w:szCs w:val="16"/>
              </w:rPr>
              <w:noBreakHyphen/>
            </w:r>
            <w:r w:rsidRPr="00E106BD">
              <w:rPr>
                <w:szCs w:val="16"/>
              </w:rPr>
              <w:t xml:space="preserve"> Supporting Information Form which must include:</w:t>
            </w:r>
          </w:p>
          <w:p w:rsidR="00592D6B" w:rsidRPr="00E106BD" w:rsidRDefault="00592D6B" w:rsidP="00881477">
            <w:pPr>
              <w:pStyle w:val="mps3-data"/>
              <w:spacing w:before="0" w:after="0"/>
              <w:rPr>
                <w:szCs w:val="16"/>
              </w:rPr>
            </w:pPr>
            <w:r w:rsidRPr="00E106BD">
              <w:rPr>
                <w:szCs w:val="16"/>
              </w:rPr>
              <w:t>(i) demonstration of failure to achieve an adequate response to standard therapy; and</w:t>
            </w:r>
          </w:p>
          <w:p w:rsidR="00592D6B" w:rsidRPr="00E106BD" w:rsidRDefault="00592D6B" w:rsidP="00881477">
            <w:pPr>
              <w:pStyle w:val="mps3-data"/>
              <w:spacing w:before="0" w:after="0"/>
              <w:rPr>
                <w:szCs w:val="16"/>
              </w:rPr>
            </w:pPr>
            <w:r w:rsidRPr="00E106BD">
              <w:rPr>
                <w:szCs w:val="16"/>
              </w:rPr>
              <w:t>(ii) drug names and doses of standard therapies that the patient has failed; and</w:t>
            </w:r>
          </w:p>
          <w:p w:rsidR="00592D6B" w:rsidRPr="00E106BD" w:rsidRDefault="00592D6B" w:rsidP="00881477">
            <w:pPr>
              <w:pStyle w:val="mps3-data"/>
              <w:spacing w:before="0" w:after="0"/>
              <w:rPr>
                <w:rFonts w:eastAsia="SimSun"/>
                <w:szCs w:val="16"/>
              </w:rPr>
            </w:pPr>
            <w:r w:rsidRPr="00E106BD">
              <w:rPr>
                <w:szCs w:val="16"/>
              </w:rPr>
              <w:t>(iii) a signed patient acknowledgment that cessation of therapy should be considered after the patient has demonstrated clinical benefit with omalizumab to re</w:t>
            </w:r>
            <w:r>
              <w:rPr>
                <w:szCs w:val="16"/>
              </w:rPr>
              <w:noBreakHyphen/>
            </w:r>
            <w:r w:rsidRPr="00E106BD">
              <w:rPr>
                <w:szCs w:val="16"/>
              </w:rPr>
              <w:t>evaluate the need for continued therapy. Any patient who ceases therapy and whose CSU relapses will need to re</w:t>
            </w:r>
            <w:r>
              <w:rPr>
                <w:szCs w:val="16"/>
              </w:rPr>
              <w:noBreakHyphen/>
            </w:r>
            <w:r w:rsidRPr="00E106BD">
              <w:rPr>
                <w:szCs w:val="16"/>
              </w:rPr>
              <w:t>initiate PBS</w:t>
            </w:r>
            <w:r>
              <w:rPr>
                <w:szCs w:val="16"/>
              </w:rPr>
              <w:noBreakHyphen/>
            </w:r>
            <w:r w:rsidRPr="00E106BD">
              <w:rPr>
                <w:szCs w:val="16"/>
              </w:rPr>
              <w:t>subsidised omalizumab as a new patient.</w:t>
            </w:r>
          </w:p>
        </w:tc>
        <w:tc>
          <w:tcPr>
            <w:tcW w:w="2552" w:type="dxa"/>
            <w:tcMar>
              <w:top w:w="28" w:type="dxa"/>
              <w:left w:w="28" w:type="dxa"/>
              <w:right w:w="57" w:type="dxa"/>
            </w:tcMar>
          </w:tcPr>
          <w:p w:rsidR="00592D6B" w:rsidRPr="00E106BD" w:rsidRDefault="00592D6B" w:rsidP="00E9495D">
            <w:pPr>
              <w:keepNext/>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592D6B" w:rsidRPr="00E106BD" w:rsidDel="00ED1AE1" w:rsidTr="008929EB">
        <w:tc>
          <w:tcPr>
            <w:tcW w:w="1729" w:type="dxa"/>
            <w:tcMar>
              <w:top w:w="28" w:type="dxa"/>
              <w:left w:w="28" w:type="dxa"/>
            </w:tcMar>
          </w:tcPr>
          <w:p w:rsidR="00592D6B" w:rsidRPr="00E106BD" w:rsidDel="00ED1AE1"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C9855</w:t>
            </w:r>
          </w:p>
        </w:tc>
        <w:tc>
          <w:tcPr>
            <w:tcW w:w="709" w:type="dxa"/>
            <w:tcMar>
              <w:top w:w="28" w:type="dxa"/>
              <w:left w:w="28" w:type="dxa"/>
            </w:tcMar>
          </w:tcPr>
          <w:p w:rsidR="00592D6B" w:rsidRPr="00E106BD" w:rsidDel="00ED1AE1"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pStyle w:val="mps3-data"/>
              <w:spacing w:before="0"/>
              <w:rPr>
                <w:rFonts w:eastAsia="SimSun"/>
                <w:szCs w:val="16"/>
              </w:rPr>
            </w:pPr>
            <w:r w:rsidRPr="00E106BD">
              <w:rPr>
                <w:rFonts w:eastAsia="SimSun"/>
                <w:szCs w:val="16"/>
              </w:rPr>
              <w:t>Uncontrolled severe allergic asthma</w:t>
            </w:r>
            <w:r w:rsidRPr="00E106BD">
              <w:rPr>
                <w:rFonts w:eastAsia="SimSun"/>
                <w:szCs w:val="16"/>
              </w:rPr>
              <w:br/>
              <w:t>Balance of supply in a patient aged 12 years or older</w:t>
            </w:r>
            <w:r w:rsidRPr="00E106BD">
              <w:rPr>
                <w:rFonts w:eastAsia="SimSun"/>
                <w:szCs w:val="16"/>
              </w:rPr>
              <w:br/>
              <w:t>Must be treated by a respiratory physician, clinical immunologist, allergist or general physician experienced in the management of patients with severe asthma.</w:t>
            </w:r>
            <w:r w:rsidRPr="00E106BD">
              <w:rPr>
                <w:rFonts w:eastAsia="SimSun"/>
                <w:szCs w:val="16"/>
              </w:rPr>
              <w:br/>
              <w:t>Patient must received insufficient therapy with this drug under the Initial 1 (new patients or recommencement of treatment in a new treatment cycle) restriction to complete 32 weeks treatment; OR</w:t>
            </w:r>
            <w:r w:rsidRPr="00E106BD">
              <w:rPr>
                <w:rFonts w:eastAsia="SimSun"/>
                <w:szCs w:val="16"/>
              </w:rPr>
              <w:br/>
              <w:t>Patient must have received insufficient therapy with this drug under the Initial 2 (change of treatment) restriction to complete 32 weeks treatment; OR</w:t>
            </w:r>
            <w:r w:rsidRPr="00E106BD">
              <w:rPr>
                <w:rFonts w:eastAsia="SimSun"/>
                <w:szCs w:val="16"/>
              </w:rPr>
              <w:br/>
              <w:t>Patient must have received insufficient therapy with this drug under the Continuing treatment restriction to complete 24 weeks treatment; AND</w:t>
            </w:r>
            <w:r w:rsidRPr="00E106BD">
              <w:rPr>
                <w:rFonts w:eastAsia="SimSun"/>
                <w:szCs w:val="16"/>
              </w:rPr>
              <w:br/>
              <w:t>The treatment must not provide more than the balance of up to 32 weeks of treatment if the most recent authority approval was made under an Initial treatment restriction; OR</w:t>
            </w:r>
            <w:r w:rsidRPr="00E106BD">
              <w:rPr>
                <w:rFonts w:eastAsia="SimSun"/>
                <w:szCs w:val="16"/>
              </w:rPr>
              <w:br/>
              <w:t>The treatment must not provide more than the balance of up to 24 weeks of treatment if the most recent authority approval was made under the Continuing treatment restriction.</w:t>
            </w:r>
          </w:p>
        </w:tc>
        <w:tc>
          <w:tcPr>
            <w:tcW w:w="2552" w:type="dxa"/>
            <w:tcMar>
              <w:top w:w="28" w:type="dxa"/>
              <w:left w:w="28" w:type="dxa"/>
              <w:right w:w="57" w:type="dxa"/>
            </w:tcMar>
          </w:tcPr>
          <w:p w:rsidR="00592D6B" w:rsidRPr="00E106BD" w:rsidRDefault="00592D6B">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592D6B" w:rsidRPr="00E106BD" w:rsidDel="00BF453B"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C10219</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of treatment)</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under the care of the same physician for at least 6 months; OR</w:t>
            </w:r>
            <w:r w:rsidRPr="00E106BD">
              <w:rPr>
                <w:rFonts w:ascii="Arial" w:eastAsia="SimSun" w:hAnsi="Arial" w:cs="Arial"/>
                <w:sz w:val="16"/>
                <w:szCs w:val="16"/>
                <w:lang w:eastAsia="zh-CN"/>
              </w:rPr>
              <w:br/>
              <w:t>Patient must have been diagnosed by a multidisciplinary severe asthma clinic team; AND</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in this treatment cycle; AND</w:t>
            </w:r>
            <w:r w:rsidRPr="00E106BD">
              <w:rPr>
                <w:rFonts w:ascii="Arial" w:eastAsia="SimSun" w:hAnsi="Arial" w:cs="Arial"/>
                <w:sz w:val="16"/>
                <w:szCs w:val="16"/>
                <w:lang w:eastAsia="zh-CN"/>
              </w:rPr>
              <w:br/>
              <w:t>Patient must not have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severe asthma during the current treatment cycle; AND</w:t>
            </w:r>
            <w:r w:rsidRPr="00E106BD">
              <w:rPr>
                <w:rFonts w:ascii="Arial" w:eastAsia="SimSun" w:hAnsi="Arial" w:cs="Arial"/>
                <w:sz w:val="16"/>
                <w:szCs w:val="16"/>
                <w:lang w:eastAsia="zh-CN"/>
              </w:rPr>
              <w:br/>
              <w:t>Patient must have past or current evidence of atopy, documented by skin prick testing or an in vitro measure of specific IgE in the past 12 months or in the 12 months prior to initiating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AND</w:t>
            </w:r>
            <w:r w:rsidRPr="00E106BD">
              <w:rPr>
                <w:rFonts w:ascii="Arial" w:eastAsia="SimSun" w:hAnsi="Arial" w:cs="Arial"/>
                <w:sz w:val="16"/>
                <w:szCs w:val="16"/>
                <w:lang w:eastAsia="zh-CN"/>
              </w:rPr>
              <w:br/>
              <w:t>Patient must have total serum human immunoglobulin E greater than or equal to 30 IU/mL, measured no more than 12 months prior to initiating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AND</w:t>
            </w:r>
            <w:r w:rsidRPr="00E106BD">
              <w:rPr>
                <w:rFonts w:ascii="Arial" w:eastAsia="SimSun" w:hAnsi="Arial" w:cs="Arial"/>
                <w:sz w:val="16"/>
                <w:szCs w:val="16"/>
                <w:lang w:eastAsia="zh-CN"/>
              </w:rPr>
              <w:br/>
              <w:t>Patient must not receive more than 32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Allergic Asthma (omalizumab)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item version) score (where a new baseline is being submitted or where the patient has responded to prior treatment); and</w:t>
            </w:r>
            <w:r w:rsidRPr="00E106BD">
              <w:rPr>
                <w:rFonts w:ascii="Arial" w:eastAsia="SimSun" w:hAnsi="Arial" w:cs="Arial"/>
                <w:sz w:val="16"/>
                <w:szCs w:val="16"/>
                <w:lang w:eastAsia="zh-CN"/>
              </w:rPr>
              <w:br/>
              <w:t>(ii) the details of prior biological medicine treatment including the details of date and duration of treatment; and</w:t>
            </w:r>
            <w:r w:rsidRPr="00E106BD">
              <w:rPr>
                <w:rFonts w:ascii="Arial" w:eastAsia="SimSun" w:hAnsi="Arial" w:cs="Arial"/>
                <w:sz w:val="16"/>
                <w:szCs w:val="16"/>
                <w:lang w:eastAsia="zh-CN"/>
              </w:rPr>
              <w:br/>
              <w:t>(iii) the IgE results; and</w:t>
            </w:r>
            <w:r w:rsidRPr="00E106BD">
              <w:rPr>
                <w:rFonts w:ascii="Arial" w:eastAsia="SimSun" w:hAnsi="Arial" w:cs="Arial"/>
                <w:sz w:val="16"/>
                <w:szCs w:val="16"/>
                <w:lang w:eastAsia="zh-CN"/>
              </w:rPr>
              <w:br/>
              <w:t>(iv) the reason for switching therapy (e.g. failure of prior therapy, partial response to prior therapy, adverse event to prior therapy).</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therapy to this biological medicine, must be accompanied by the results of an ACQ</w:t>
            </w:r>
            <w:r>
              <w:rPr>
                <w:rFonts w:ascii="Arial" w:eastAsia="SimSun" w:hAnsi="Arial" w:cs="Arial"/>
                <w:sz w:val="16"/>
                <w:szCs w:val="16"/>
                <w:lang w:eastAsia="zh-CN"/>
              </w:rPr>
              <w:noBreakHyphen/>
            </w:r>
            <w:r w:rsidRPr="00E106BD">
              <w:rPr>
                <w:rFonts w:ascii="Arial" w:eastAsia="SimSun" w:hAnsi="Arial" w:cs="Arial"/>
                <w:sz w:val="16"/>
                <w:szCs w:val="16"/>
                <w:lang w:eastAsia="zh-CN"/>
              </w:rPr>
              <w:t>5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The assessment must have been made not more than 4 weeks after the last dose of biological medicine. Where a response assessment was not undertaken, the patient will be deemed to have failed to respond to treatment with that previous biological medicine.</w:t>
            </w:r>
            <w:r w:rsidRPr="00E106BD">
              <w:rPr>
                <w:rFonts w:ascii="Arial" w:eastAsia="SimSun" w:hAnsi="Arial" w:cs="Arial"/>
                <w:sz w:val="16"/>
                <w:szCs w:val="16"/>
                <w:lang w:eastAsia="zh-CN"/>
              </w:rPr>
              <w:br/>
              <w:t>An ACQ</w:t>
            </w:r>
            <w:r>
              <w:rPr>
                <w:rFonts w:ascii="Arial" w:eastAsia="SimSun" w:hAnsi="Arial" w:cs="Arial"/>
                <w:sz w:val="16"/>
                <w:szCs w:val="16"/>
                <w:lang w:eastAsia="zh-CN"/>
              </w:rPr>
              <w:noBreakHyphen/>
            </w:r>
            <w:r w:rsidRPr="00E106BD">
              <w:rPr>
                <w:rFonts w:ascii="Arial" w:eastAsia="SimSun" w:hAnsi="Arial" w:cs="Arial"/>
                <w:sz w:val="16"/>
                <w:szCs w:val="16"/>
                <w:lang w:eastAsia="zh-CN"/>
              </w:rPr>
              <w:t>5 assessment of the patient may be made at the time of application for treatment (to establish a new baseline score), but should be made again around 28 weeks after the first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biological medicine under this restriction so that there is adequate time for a response to be demonstrated and for the application for the first continuing therapy to be processed.</w:t>
            </w:r>
            <w:r w:rsidRPr="00E106BD">
              <w:rPr>
                <w:rFonts w:ascii="Arial" w:eastAsia="SimSun" w:hAnsi="Arial" w:cs="Arial"/>
                <w:sz w:val="16"/>
                <w:szCs w:val="16"/>
                <w:lang w:eastAsia="zh-CN"/>
              </w:rPr>
              <w:br/>
              <w:t>This assessment at around 28 weeks,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biological medicine.</w:t>
            </w:r>
            <w:r w:rsidRPr="00E106BD">
              <w:rPr>
                <w:rFonts w:ascii="Arial" w:eastAsia="SimSun" w:hAnsi="Arial" w:cs="Arial"/>
                <w:sz w:val="16"/>
                <w:szCs w:val="16"/>
                <w:lang w:eastAsia="zh-CN"/>
              </w:rPr>
              <w:br/>
              <w:t>At the time of the authority application, medical practitioners should request an appropriate maximum quantity based on IgE level and body weight (refer to the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to be administered every 2 to 4 weeks and up to 7 repeats to provide for an initial course sufficient for up to 32 weeks of therapy.</w:t>
            </w:r>
            <w:r w:rsidRPr="00E106BD">
              <w:rPr>
                <w:rFonts w:ascii="Arial" w:eastAsia="SimSun" w:hAnsi="Arial" w:cs="Arial"/>
                <w:sz w:val="16"/>
                <w:szCs w:val="16"/>
                <w:lang w:eastAsia="zh-CN"/>
              </w:rPr>
              <w:br/>
              <w:t>A multidisciplinary severe asthma clinic team comprises of:</w:t>
            </w:r>
            <w:r w:rsidRPr="00E106BD">
              <w:rPr>
                <w:rFonts w:ascii="Arial" w:eastAsia="SimSun" w:hAnsi="Arial" w:cs="Arial"/>
                <w:sz w:val="16"/>
                <w:szCs w:val="16"/>
                <w:lang w:eastAsia="zh-CN"/>
              </w:rPr>
              <w:br/>
              <w:t>A respiratory physician; and</w:t>
            </w:r>
            <w:r w:rsidRPr="00E106BD">
              <w:rPr>
                <w:rFonts w:ascii="Arial" w:eastAsia="SimSun" w:hAnsi="Arial" w:cs="Arial"/>
                <w:sz w:val="16"/>
                <w:szCs w:val="16"/>
                <w:lang w:eastAsia="zh-CN"/>
              </w:rPr>
              <w:br/>
              <w:t>A pharmacist, nurse or asthma educator.</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592D6B" w:rsidRPr="00E106BD" w:rsidDel="00BF453B"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C10223</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Balance of supply in a patient aged 6 to 12 years</w:t>
            </w:r>
            <w:r w:rsidRPr="00E106BD">
              <w:rPr>
                <w:rFonts w:ascii="Arial" w:eastAsia="SimSun" w:hAnsi="Arial" w:cs="Arial"/>
                <w:sz w:val="16"/>
                <w:szCs w:val="16"/>
                <w:lang w:eastAsia="zh-CN"/>
              </w:rPr>
              <w:br/>
              <w:t>Must be treated by a paediatric respiratory physician, clinical immunologist, allergist; or paediatrician or general physician experienced in the management of patients with severe asthma, in consultation with a respiratory physician.</w:t>
            </w:r>
            <w:r w:rsidRPr="00E106BD">
              <w:rPr>
                <w:rFonts w:ascii="Arial" w:eastAsia="SimSun" w:hAnsi="Arial" w:cs="Arial"/>
                <w:sz w:val="16"/>
                <w:szCs w:val="16"/>
                <w:lang w:eastAsia="zh-CN"/>
              </w:rPr>
              <w:br/>
              <w:t>Patient must have received insufficient therapy with this drug under the Initial treatment restriction to complete 28 weeks treatment; OR</w:t>
            </w:r>
            <w:r w:rsidRPr="00E106BD">
              <w:rPr>
                <w:rFonts w:ascii="Arial" w:eastAsia="SimSun" w:hAnsi="Arial" w:cs="Arial"/>
                <w:sz w:val="16"/>
                <w:szCs w:val="16"/>
                <w:lang w:eastAsia="zh-CN"/>
              </w:rPr>
              <w:br/>
              <w:t>Patient must have received insufficient therapy with this drug under the Continuing treatment restriction to complete 24 weeks treatment; AND</w:t>
            </w:r>
            <w:r w:rsidRPr="00E106BD">
              <w:rPr>
                <w:rFonts w:ascii="Arial" w:eastAsia="SimSun" w:hAnsi="Arial" w:cs="Arial"/>
                <w:sz w:val="16"/>
                <w:szCs w:val="16"/>
                <w:lang w:eastAsia="zh-CN"/>
              </w:rPr>
              <w:br/>
              <w:t>The treatment must provide no more than the balance of up to 28 weeks treatment available under the Initial restriction or up to 24 weeks treatment available under the Continuing restriction.</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592D6B" w:rsidRPr="00E106BD" w:rsidDel="00BF453B"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C10226</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Patient must have a documented history of severe allergic asthma; AND</w:t>
            </w:r>
            <w:r w:rsidRPr="00E106BD">
              <w:rPr>
                <w:rFonts w:ascii="Arial" w:eastAsia="SimSun" w:hAnsi="Arial" w:cs="Arial"/>
                <w:sz w:val="16"/>
                <w:szCs w:val="16"/>
                <w:lang w:eastAsia="zh-CN"/>
              </w:rPr>
              <w:br/>
              <w:t>Patient must have demonstrated or sustained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Must be treated by a paediatric respiratory physician, clinical immunologist, allergist; or paediatrician or general physician experienced in the management of patients with severe asthma, in consultation with a respiratory physician.</w:t>
            </w:r>
            <w:r w:rsidRPr="00E106BD">
              <w:rPr>
                <w:rFonts w:ascii="Arial" w:eastAsia="SimSun" w:hAnsi="Arial" w:cs="Arial"/>
                <w:sz w:val="16"/>
                <w:szCs w:val="16"/>
                <w:lang w:eastAsia="zh-CN"/>
              </w:rPr>
              <w:br/>
              <w:t>An adequate response to omalizumab treatment is defined as:</w:t>
            </w:r>
            <w:r w:rsidRPr="00E106BD">
              <w:rPr>
                <w:rFonts w:ascii="Arial" w:eastAsia="SimSun" w:hAnsi="Arial" w:cs="Arial"/>
                <w:sz w:val="16"/>
                <w:szCs w:val="16"/>
                <w:lang w:eastAsia="zh-CN"/>
              </w:rPr>
              <w:br/>
              <w:t>(a) a reduction in the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or ACQ</w:t>
            </w:r>
            <w:r>
              <w:rPr>
                <w:rFonts w:ascii="Arial" w:eastAsia="SimSun" w:hAnsi="Arial" w:cs="Arial"/>
                <w:sz w:val="16"/>
                <w:szCs w:val="16"/>
                <w:lang w:eastAsia="zh-CN"/>
              </w:rPr>
              <w:noBreakHyphen/>
            </w:r>
            <w:r w:rsidRPr="00E106BD">
              <w:rPr>
                <w:rFonts w:ascii="Arial" w:eastAsia="SimSun" w:hAnsi="Arial" w:cs="Arial"/>
                <w:sz w:val="16"/>
                <w:szCs w:val="16"/>
                <w:lang w:eastAsia="zh-CN"/>
              </w:rPr>
              <w:t>IA score of at least 0.5 from baseline, OR</w:t>
            </w:r>
            <w:r w:rsidRPr="00E106BD">
              <w:rPr>
                <w:rFonts w:ascii="Arial" w:eastAsia="SimSun" w:hAnsi="Arial" w:cs="Arial"/>
                <w:sz w:val="16"/>
                <w:szCs w:val="16"/>
                <w:lang w:eastAsia="zh-CN"/>
              </w:rPr>
              <w:br/>
              <w:t>(b) maintenance oral corticosteroid dose reduced by at least 25% from baseline, and no deterioration in ACQ</w:t>
            </w:r>
            <w:r>
              <w:rPr>
                <w:rFonts w:ascii="Arial" w:eastAsia="SimSun" w:hAnsi="Arial" w:cs="Arial"/>
                <w:sz w:val="16"/>
                <w:szCs w:val="16"/>
                <w:lang w:eastAsia="zh-CN"/>
              </w:rPr>
              <w:noBreakHyphen/>
            </w:r>
            <w:r w:rsidRPr="00E106BD">
              <w:rPr>
                <w:rFonts w:ascii="Arial" w:eastAsia="SimSun" w:hAnsi="Arial" w:cs="Arial"/>
                <w:sz w:val="16"/>
                <w:szCs w:val="16"/>
                <w:lang w:eastAsia="zh-CN"/>
              </w:rPr>
              <w:t>5 or ACQ</w:t>
            </w:r>
            <w:r>
              <w:rPr>
                <w:rFonts w:ascii="Arial" w:eastAsia="SimSun" w:hAnsi="Arial" w:cs="Arial"/>
                <w:sz w:val="16"/>
                <w:szCs w:val="16"/>
                <w:lang w:eastAsia="zh-CN"/>
              </w:rPr>
              <w:noBreakHyphen/>
            </w:r>
            <w:r w:rsidRPr="00E106BD">
              <w:rPr>
                <w:rFonts w:ascii="Arial" w:eastAsia="SimSun" w:hAnsi="Arial" w:cs="Arial"/>
                <w:sz w:val="16"/>
                <w:szCs w:val="16"/>
                <w:lang w:eastAsia="zh-CN"/>
              </w:rPr>
              <w:t>IA score from baseline, OR</w:t>
            </w:r>
            <w:r w:rsidRPr="00E106BD">
              <w:rPr>
                <w:rFonts w:ascii="Arial" w:eastAsia="SimSun" w:hAnsi="Arial" w:cs="Arial"/>
                <w:sz w:val="16"/>
                <w:szCs w:val="16"/>
                <w:lang w:eastAsia="zh-CN"/>
              </w:rPr>
              <w:br/>
              <w:t>(c) a reduction in the time</w:t>
            </w:r>
            <w:r>
              <w:rPr>
                <w:rFonts w:ascii="Arial" w:eastAsia="SimSun" w:hAnsi="Arial" w:cs="Arial"/>
                <w:sz w:val="16"/>
                <w:szCs w:val="16"/>
                <w:lang w:eastAsia="zh-CN"/>
              </w:rPr>
              <w:noBreakHyphen/>
            </w:r>
            <w:r w:rsidRPr="00E106BD">
              <w:rPr>
                <w:rFonts w:ascii="Arial" w:eastAsia="SimSun" w:hAnsi="Arial" w:cs="Arial"/>
                <w:sz w:val="16"/>
                <w:szCs w:val="16"/>
                <w:lang w:eastAsia="zh-CN"/>
              </w:rPr>
              <w:t>adjusted exacerbation rates compared to the 12 months prior to baseline.</w:t>
            </w:r>
            <w:r w:rsidRPr="00E106BD">
              <w:rPr>
                <w:rFonts w:ascii="Arial" w:eastAsia="SimSun" w:hAnsi="Arial" w:cs="Arial"/>
                <w:sz w:val="16"/>
                <w:szCs w:val="16"/>
                <w:lang w:eastAsia="zh-CN"/>
              </w:rPr>
              <w:br/>
              <w:t>All applications for continuing treatment with omalizumab must include a measurement of response to the prior course of therapy. The Asthma Control Questionnaire (5 item version) or Asthma Control Questionnaire interviewer administered version (ACQ</w:t>
            </w:r>
            <w:r>
              <w:rPr>
                <w:rFonts w:ascii="Arial" w:eastAsia="SimSun" w:hAnsi="Arial" w:cs="Arial"/>
                <w:sz w:val="16"/>
                <w:szCs w:val="16"/>
                <w:lang w:eastAsia="zh-CN"/>
              </w:rPr>
              <w:noBreakHyphen/>
            </w:r>
            <w:r w:rsidRPr="00E106BD">
              <w:rPr>
                <w:rFonts w:ascii="Arial" w:eastAsia="SimSun" w:hAnsi="Arial" w:cs="Arial"/>
                <w:sz w:val="16"/>
                <w:szCs w:val="16"/>
                <w:lang w:eastAsia="zh-CN"/>
              </w:rPr>
              <w:t>IA)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the prior course of treatment, the assessment of systemic corticosteroid dose, and the assessment of time</w:t>
            </w:r>
            <w:r>
              <w:rPr>
                <w:rFonts w:ascii="Arial" w:eastAsia="SimSun" w:hAnsi="Arial" w:cs="Arial"/>
                <w:sz w:val="16"/>
                <w:szCs w:val="16"/>
                <w:lang w:eastAsia="zh-CN"/>
              </w:rPr>
              <w:noBreakHyphen/>
            </w:r>
            <w:r w:rsidRPr="00E106BD">
              <w:rPr>
                <w:rFonts w:ascii="Arial" w:eastAsia="SimSun" w:hAnsi="Arial" w:cs="Arial"/>
                <w:sz w:val="16"/>
                <w:szCs w:val="16"/>
                <w:lang w:eastAsia="zh-CN"/>
              </w:rPr>
              <w:t>adjusted exacerbation rate must be made at around 20 weeks after the first dose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so that there is adequate time for a response to be demonstrated and for the application for continuing therapy to be processed.</w:t>
            </w:r>
            <w:r w:rsidRPr="00E106BD">
              <w:rPr>
                <w:rFonts w:ascii="Arial" w:eastAsia="SimSun" w:hAnsi="Arial" w:cs="Arial"/>
                <w:sz w:val="16"/>
                <w:szCs w:val="16"/>
                <w:lang w:eastAsia="zh-CN"/>
              </w:rPr>
              <w:br/>
              <w:t>The first assessment should, where possible, be completed by the same physician who initiated treatment with omalizumab.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omalizumab.</w:t>
            </w:r>
            <w:r w:rsidRPr="00E106BD">
              <w:rPr>
                <w:rFonts w:ascii="Arial" w:eastAsia="SimSun" w:hAnsi="Arial" w:cs="Arial"/>
                <w:sz w:val="16"/>
                <w:szCs w:val="16"/>
                <w:lang w:eastAsia="zh-CN"/>
              </w:rPr>
              <w:br/>
              <w:t>A patient who fails to respond to a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for the treatment of uncontrolled severe allergic asthma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omalizumab for this condition within 6 months of the date on which treatment was ceased.</w:t>
            </w:r>
            <w:r w:rsidRPr="00E106BD">
              <w:rPr>
                <w:rFonts w:ascii="Arial" w:eastAsia="SimSun" w:hAnsi="Arial" w:cs="Arial"/>
                <w:sz w:val="16"/>
                <w:szCs w:val="16"/>
                <w:lang w:eastAsia="zh-CN"/>
              </w:rPr>
              <w:br/>
              <w:t>At the time of the authority application, medical practitioners should request the appropriate quantity and number of repeats to provide for a continuing course of omalizumab consisting of the recommended number of doses for the baseline IgE level and body weight of the patient (refer to the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sufficient for 24 weeks of therapy.</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Severe Allergic Asthma Continuing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details of:</w:t>
            </w:r>
            <w:r w:rsidRPr="00E106BD">
              <w:rPr>
                <w:rFonts w:ascii="Arial" w:eastAsia="SimSun" w:hAnsi="Arial" w:cs="Arial"/>
                <w:sz w:val="16"/>
                <w:szCs w:val="16"/>
                <w:lang w:eastAsia="zh-CN"/>
              </w:rPr>
              <w:br/>
              <w:t>(i) maintenance oral corticosteroid dose; and</w:t>
            </w:r>
            <w:r w:rsidRPr="00E106BD">
              <w:rPr>
                <w:rFonts w:ascii="Arial" w:eastAsia="SimSun" w:hAnsi="Arial" w:cs="Arial"/>
                <w:sz w:val="16"/>
                <w:szCs w:val="16"/>
                <w:lang w:eastAsia="zh-CN"/>
              </w:rPr>
              <w:br/>
              <w:t>(ii)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or</w:t>
            </w:r>
            <w:r w:rsidRPr="00E106BD">
              <w:rPr>
                <w:rFonts w:ascii="Arial" w:eastAsia="SimSun" w:hAnsi="Arial" w:cs="Arial"/>
                <w:sz w:val="16"/>
                <w:szCs w:val="16"/>
                <w:lang w:eastAsia="zh-CN"/>
              </w:rPr>
              <w:br/>
              <w:t>(iii) Asthma Control Questionnaire interviewer administered version (ACQ</w:t>
            </w:r>
            <w:r>
              <w:rPr>
                <w:rFonts w:ascii="Arial" w:eastAsia="SimSun" w:hAnsi="Arial" w:cs="Arial"/>
                <w:sz w:val="16"/>
                <w:szCs w:val="16"/>
                <w:lang w:eastAsia="zh-CN"/>
              </w:rPr>
              <w:noBreakHyphen/>
            </w:r>
            <w:r w:rsidRPr="00E106BD">
              <w:rPr>
                <w:rFonts w:ascii="Arial" w:eastAsia="SimSun" w:hAnsi="Arial" w:cs="Arial"/>
                <w:sz w:val="16"/>
                <w:szCs w:val="16"/>
                <w:lang w:eastAsia="zh-CN"/>
              </w:rPr>
              <w:t>IA) score.</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592D6B" w:rsidRPr="00E106BD" w:rsidDel="00BF453B"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C10265</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Patient must have a diagnosis of asthma confirmed and documented by a paediatric respiratory physician, clinical immunologist, or allergist; or paediatrician or general physician experienced in the management of patients with severe asthma in consultation with a respiratory physician, defined by the following standard clinical features: forced expiratory volume (FEV1) reversibility or airway hyperresponsiveness or peak expiratory flow (PEF) variability; AND</w:t>
            </w:r>
            <w:r w:rsidRPr="00E106BD">
              <w:rPr>
                <w:rFonts w:ascii="Arial" w:eastAsia="SimSun" w:hAnsi="Arial" w:cs="Arial"/>
                <w:sz w:val="16"/>
                <w:szCs w:val="16"/>
                <w:lang w:eastAsia="zh-CN"/>
              </w:rPr>
              <w:br/>
              <w:t>Patient must have a duration of asthma of at least 1 year; AND</w:t>
            </w:r>
            <w:r w:rsidRPr="00E106BD">
              <w:rPr>
                <w:rFonts w:ascii="Arial" w:eastAsia="SimSun" w:hAnsi="Arial" w:cs="Arial"/>
                <w:sz w:val="16"/>
                <w:szCs w:val="16"/>
                <w:lang w:eastAsia="zh-CN"/>
              </w:rPr>
              <w:br/>
              <w:t>Patient must have past or current evidence of atopy, documented by skin prick testing or an in vitro measure of specific IgE; AND</w:t>
            </w:r>
            <w:r w:rsidRPr="00E106BD">
              <w:rPr>
                <w:rFonts w:ascii="Arial" w:eastAsia="SimSun" w:hAnsi="Arial" w:cs="Arial"/>
                <w:sz w:val="16"/>
                <w:szCs w:val="16"/>
                <w:lang w:eastAsia="zh-CN"/>
              </w:rPr>
              <w:br/>
              <w:t>Patient must have total serum human immunoglobulin E greater than or equal to 30 IU/mL; AND</w:t>
            </w:r>
            <w:r w:rsidRPr="00E106BD">
              <w:rPr>
                <w:rFonts w:ascii="Arial" w:eastAsia="SimSun" w:hAnsi="Arial" w:cs="Arial"/>
                <w:sz w:val="16"/>
                <w:szCs w:val="16"/>
                <w:lang w:eastAsia="zh-CN"/>
              </w:rPr>
              <w:br/>
              <w:t>Patient must have failed to achieve adequate control with optimised asthma therapy, despite formal assessment of and adherence to correct inhaler technique, which has been documented; AND</w:t>
            </w:r>
            <w:r w:rsidRPr="00E106BD">
              <w:rPr>
                <w:rFonts w:ascii="Arial" w:eastAsia="SimSun" w:hAnsi="Arial" w:cs="Arial"/>
                <w:sz w:val="16"/>
                <w:szCs w:val="16"/>
                <w:lang w:eastAsia="zh-CN"/>
              </w:rPr>
              <w:br/>
              <w:t>Patient must not receive more than 28 weeks of treatment under this restriction.</w:t>
            </w:r>
            <w:r w:rsidRPr="00E106BD">
              <w:rPr>
                <w:rFonts w:ascii="Arial" w:eastAsia="SimSun" w:hAnsi="Arial" w:cs="Arial"/>
                <w:sz w:val="16"/>
                <w:szCs w:val="16"/>
                <w:lang w:eastAsia="zh-CN"/>
              </w:rPr>
              <w:br/>
              <w:t>Patient must be aged 6 to less than 12 years.</w:t>
            </w:r>
            <w:r w:rsidRPr="00E106BD">
              <w:rPr>
                <w:rFonts w:ascii="Arial" w:eastAsia="SimSun" w:hAnsi="Arial" w:cs="Arial"/>
                <w:sz w:val="16"/>
                <w:szCs w:val="16"/>
                <w:lang w:eastAsia="zh-CN"/>
              </w:rPr>
              <w:br/>
              <w:t>Must be treated by a paediatric respiratory physician, clinical immunologist, allergist; or paediatrician or general physician experienced in the management of patients with severe asthma, in consultation with a respiratory physician.</w:t>
            </w:r>
            <w:r w:rsidRPr="00E106BD">
              <w:rPr>
                <w:rFonts w:ascii="Arial" w:eastAsia="SimSun" w:hAnsi="Arial" w:cs="Arial"/>
                <w:sz w:val="16"/>
                <w:szCs w:val="16"/>
                <w:lang w:eastAsia="zh-CN"/>
              </w:rPr>
              <w:br/>
              <w:t>Patient must be under the care of the same physician for at least 6 months.</w:t>
            </w:r>
            <w:r w:rsidRPr="00E106BD">
              <w:rPr>
                <w:rFonts w:ascii="Arial" w:eastAsia="SimSun" w:hAnsi="Arial" w:cs="Arial"/>
                <w:sz w:val="16"/>
                <w:szCs w:val="16"/>
                <w:lang w:eastAsia="zh-CN"/>
              </w:rPr>
              <w:br/>
              <w:t>Optimised asthma therapy includes:</w:t>
            </w:r>
            <w:r w:rsidRPr="00E106BD">
              <w:rPr>
                <w:rFonts w:ascii="Arial" w:eastAsia="SimSun" w:hAnsi="Arial" w:cs="Arial"/>
                <w:sz w:val="16"/>
                <w:szCs w:val="16"/>
                <w:lang w:eastAsia="zh-CN"/>
              </w:rPr>
              <w:br/>
              <w:t>(i) Adherence to optimal inhaled therapy, including high dose inhaled corticosteroid (ICS) and long</w:t>
            </w:r>
            <w:r>
              <w:rPr>
                <w:rFonts w:ascii="Arial" w:eastAsia="SimSun" w:hAnsi="Arial" w:cs="Arial"/>
                <w:sz w:val="16"/>
                <w:szCs w:val="16"/>
                <w:lang w:eastAsia="zh-CN"/>
              </w:rPr>
              <w:noBreakHyphen/>
            </w:r>
            <w:r w:rsidRPr="00E106BD">
              <w:rPr>
                <w:rFonts w:ascii="Arial" w:eastAsia="SimSun" w:hAnsi="Arial" w:cs="Arial"/>
                <w:sz w:val="16"/>
                <w:szCs w:val="16"/>
                <w:lang w:eastAsia="zh-CN"/>
              </w:rPr>
              <w:t>acting beta</w:t>
            </w:r>
            <w:r>
              <w:rPr>
                <w:rFonts w:ascii="Arial" w:eastAsia="SimSun" w:hAnsi="Arial" w:cs="Arial"/>
                <w:sz w:val="16"/>
                <w:szCs w:val="16"/>
                <w:lang w:eastAsia="zh-CN"/>
              </w:rPr>
              <w:noBreakHyphen/>
            </w:r>
            <w:r w:rsidRPr="00E106BD">
              <w:rPr>
                <w:rFonts w:ascii="Arial" w:eastAsia="SimSun" w:hAnsi="Arial" w:cs="Arial"/>
                <w:sz w:val="16"/>
                <w:szCs w:val="16"/>
                <w:lang w:eastAsia="zh-CN"/>
              </w:rPr>
              <w:t>2 agonist (LABA) therapy for at least six months. If LABA therapy is contraindicated, not tolerated or not effective, montelukast, cromoglycate or nedocromil may be used as an alternative;</w:t>
            </w:r>
            <w:r w:rsidRPr="00E106BD">
              <w:rPr>
                <w:rFonts w:ascii="Arial" w:eastAsia="SimSun" w:hAnsi="Arial" w:cs="Arial"/>
                <w:sz w:val="16"/>
                <w:szCs w:val="16"/>
                <w:lang w:eastAsia="zh-CN"/>
              </w:rPr>
              <w:br/>
              <w:t>AND</w:t>
            </w:r>
            <w:r w:rsidRPr="00E106BD">
              <w:rPr>
                <w:rFonts w:ascii="Arial" w:eastAsia="SimSun" w:hAnsi="Arial" w:cs="Arial"/>
                <w:sz w:val="16"/>
                <w:szCs w:val="16"/>
                <w:lang w:eastAsia="zh-CN"/>
              </w:rPr>
              <w:br/>
              <w:t>(ii) treatment with at least 2 courses of oral or IV corticosteroids (daily or alternate day maintenance treatment courses, or 3</w:t>
            </w:r>
            <w:r>
              <w:rPr>
                <w:rFonts w:ascii="Arial" w:eastAsia="SimSun" w:hAnsi="Arial" w:cs="Arial"/>
                <w:sz w:val="16"/>
                <w:szCs w:val="16"/>
                <w:lang w:eastAsia="zh-CN"/>
              </w:rPr>
              <w:noBreakHyphen/>
            </w:r>
            <w:r w:rsidRPr="00E106BD">
              <w:rPr>
                <w:rFonts w:ascii="Arial" w:eastAsia="SimSun" w:hAnsi="Arial" w:cs="Arial"/>
                <w:sz w:val="16"/>
                <w:szCs w:val="16"/>
                <w:lang w:eastAsia="zh-CN"/>
              </w:rPr>
              <w:t>5 day exacerbation treatment courses), in the previous 12 months, unless contraindicated or not tolerated.</w:t>
            </w:r>
            <w:r w:rsidRPr="00E106BD">
              <w:rPr>
                <w:rFonts w:ascii="Arial" w:eastAsia="SimSun" w:hAnsi="Arial" w:cs="Arial"/>
                <w:sz w:val="16"/>
                <w:szCs w:val="16"/>
                <w:lang w:eastAsia="zh-CN"/>
              </w:rPr>
              <w:br/>
              <w:t>If the requirement for treatment with optimised asthma therapy cannot be met because of contraindications (including those specified in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and/or intolerances of a severity necessitating permanent treatment withdrawal, details of the contraindication and/or intolerance must be provided in the Authority application.</w:t>
            </w:r>
            <w:r w:rsidRPr="00E106BD">
              <w:rPr>
                <w:rFonts w:ascii="Arial" w:eastAsia="SimSun" w:hAnsi="Arial" w:cs="Arial"/>
                <w:sz w:val="16"/>
                <w:szCs w:val="16"/>
                <w:lang w:eastAsia="zh-CN"/>
              </w:rPr>
              <w:br/>
              <w:t>The initial IgE assessment must be no more than 12 months old at the time of application.</w:t>
            </w:r>
            <w:r w:rsidRPr="00E106BD">
              <w:rPr>
                <w:rFonts w:ascii="Arial" w:eastAsia="SimSun" w:hAnsi="Arial" w:cs="Arial"/>
                <w:sz w:val="16"/>
                <w:szCs w:val="16"/>
                <w:lang w:eastAsia="zh-CN"/>
              </w:rPr>
              <w:br/>
              <w:t>The following initiation criteria indicate failure to achieve adequate control and must be demonstrated in all patients at the time of the application:</w:t>
            </w:r>
            <w:r w:rsidRPr="00E106BD">
              <w:rPr>
                <w:rFonts w:ascii="Arial" w:eastAsia="SimSun" w:hAnsi="Arial" w:cs="Arial"/>
                <w:sz w:val="16"/>
                <w:szCs w:val="16"/>
                <w:lang w:eastAsia="zh-CN"/>
              </w:rPr>
              <w:br/>
              <w:t>(a) An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5) score of at least 2.0, as assessed in the previous month (for children aged 6 to 10 years it is recommended that the Interviewer Administered version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the ACQ</w:t>
            </w:r>
            <w:r>
              <w:rPr>
                <w:rFonts w:ascii="Arial" w:eastAsia="SimSun" w:hAnsi="Arial" w:cs="Arial"/>
                <w:sz w:val="16"/>
                <w:szCs w:val="16"/>
                <w:lang w:eastAsia="zh-CN"/>
              </w:rPr>
              <w:noBreakHyphen/>
            </w:r>
            <w:r w:rsidRPr="00E106BD">
              <w:rPr>
                <w:rFonts w:ascii="Arial" w:eastAsia="SimSun" w:hAnsi="Arial" w:cs="Arial"/>
                <w:sz w:val="16"/>
                <w:szCs w:val="16"/>
                <w:lang w:eastAsia="zh-CN"/>
              </w:rPr>
              <w:t>IA be used),</w:t>
            </w:r>
            <w:r w:rsidRPr="00E106BD">
              <w:rPr>
                <w:rFonts w:ascii="Arial" w:eastAsia="SimSun" w:hAnsi="Arial" w:cs="Arial"/>
                <w:sz w:val="16"/>
                <w:szCs w:val="16"/>
                <w:lang w:eastAsia="zh-CN"/>
              </w:rPr>
              <w:br/>
              <w:t>AND</w:t>
            </w:r>
            <w:r w:rsidRPr="00E106BD">
              <w:rPr>
                <w:rFonts w:ascii="Arial" w:eastAsia="SimSun" w:hAnsi="Arial" w:cs="Arial"/>
                <w:sz w:val="16"/>
                <w:szCs w:val="16"/>
                <w:lang w:eastAsia="zh-CN"/>
              </w:rPr>
              <w:br/>
              <w:t>(b) while receiving optimised asthma therapy in the previous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E106BD">
              <w:rPr>
                <w:rFonts w:ascii="Arial" w:eastAsia="SimSun" w:hAnsi="Arial" w:cs="Arial"/>
                <w:sz w:val="16"/>
                <w:szCs w:val="16"/>
                <w:lang w:eastAsia="zh-CN"/>
              </w:rPr>
              <w:br/>
              <w:t>The Asthma Control Questionnaire (5 item version) or ACQ</w:t>
            </w:r>
            <w:r>
              <w:rPr>
                <w:rFonts w:ascii="Arial" w:eastAsia="SimSun" w:hAnsi="Arial" w:cs="Arial"/>
                <w:sz w:val="16"/>
                <w:szCs w:val="16"/>
                <w:lang w:eastAsia="zh-CN"/>
              </w:rPr>
              <w:noBreakHyphen/>
            </w:r>
            <w:r w:rsidRPr="00E106BD">
              <w:rPr>
                <w:rFonts w:ascii="Arial" w:eastAsia="SimSun" w:hAnsi="Arial" w:cs="Arial"/>
                <w:sz w:val="16"/>
                <w:szCs w:val="16"/>
                <w:lang w:eastAsia="zh-CN"/>
              </w:rPr>
              <w:t>IA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the assessment of oral corticosteroid dose, and the assessment of exacerbation rate should be made at around 24 weeks after the first dose so that there is adequate time for a response to be demonstrated and for the application for continuing therapy to be processed.</w:t>
            </w:r>
            <w:r w:rsidRPr="00E106BD">
              <w:rPr>
                <w:rFonts w:ascii="Arial" w:eastAsia="SimSun" w:hAnsi="Arial" w:cs="Arial"/>
                <w:sz w:val="16"/>
                <w:szCs w:val="16"/>
                <w:lang w:eastAsia="zh-CN"/>
              </w:rPr>
              <w:br/>
              <w:t>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omalizumab.</w:t>
            </w:r>
            <w:r w:rsidRPr="00E106BD">
              <w:rPr>
                <w:rFonts w:ascii="Arial" w:eastAsia="SimSun" w:hAnsi="Arial" w:cs="Arial"/>
                <w:sz w:val="16"/>
                <w:szCs w:val="16"/>
                <w:lang w:eastAsia="zh-CN"/>
              </w:rPr>
              <w:br/>
              <w:t>A patient who fails to respond to a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for the treatment of uncontrolled severe allergic asthma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omalizumab for this condition within 6 months of the date on which treatment was ceased.</w:t>
            </w:r>
            <w:r w:rsidRPr="00E106BD">
              <w:rPr>
                <w:rFonts w:ascii="Arial" w:eastAsia="SimSun" w:hAnsi="Arial" w:cs="Arial"/>
                <w:sz w:val="16"/>
                <w:szCs w:val="16"/>
                <w:lang w:eastAsia="zh-CN"/>
              </w:rPr>
              <w:br/>
              <w:t>At the time of the authority application, medical practitioners should request the appropriate maximum quantity and number of repeats to provide for an initial course of omalizumab of up to 28 weeks, consisting of the recommended number of doses for the baseline IgE level and body weight of the patient (refer to the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to be administered every 2 or 4 weeks.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Severe Allergic Asthma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which includes the following:</w:t>
            </w:r>
            <w:r w:rsidRPr="00E106BD">
              <w:rPr>
                <w:rFonts w:ascii="Arial" w:eastAsia="SimSun" w:hAnsi="Arial" w:cs="Arial"/>
                <w:sz w:val="16"/>
                <w:szCs w:val="16"/>
                <w:lang w:eastAsia="zh-CN"/>
              </w:rPr>
              <w:br/>
              <w:t>(i) details of prior optimised asthma drug therapy (dosage, date of commencement and duration of therapy); and</w:t>
            </w:r>
            <w:r w:rsidRPr="00E106BD">
              <w:rPr>
                <w:rFonts w:ascii="Arial" w:eastAsia="SimSun" w:hAnsi="Arial" w:cs="Arial"/>
                <w:sz w:val="16"/>
                <w:szCs w:val="16"/>
                <w:lang w:eastAsia="zh-CN"/>
              </w:rPr>
              <w:br/>
              <w:t>(ii) details of severe exacerbation/s experienced in the past 12 months while receiving optimised asthma therapy (date and treatment); and</w:t>
            </w:r>
            <w:r w:rsidRPr="00E106BD">
              <w:rPr>
                <w:rFonts w:ascii="Arial" w:eastAsia="SimSun" w:hAnsi="Arial" w:cs="Arial"/>
                <w:sz w:val="16"/>
                <w:szCs w:val="16"/>
                <w:lang w:eastAsia="zh-CN"/>
              </w:rPr>
              <w:br/>
              <w:t>(iii) the IgE result; and</w:t>
            </w:r>
            <w:r w:rsidRPr="00E106BD">
              <w:rPr>
                <w:rFonts w:ascii="Arial" w:eastAsia="SimSun" w:hAnsi="Arial" w:cs="Arial"/>
                <w:sz w:val="16"/>
                <w:szCs w:val="16"/>
                <w:lang w:eastAsia="zh-CN"/>
              </w:rPr>
              <w:br/>
              <w:t>(iv)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or</w:t>
            </w:r>
            <w:r w:rsidRPr="00E106BD">
              <w:rPr>
                <w:rFonts w:ascii="Arial" w:eastAsia="SimSun" w:hAnsi="Arial" w:cs="Arial"/>
                <w:sz w:val="16"/>
                <w:szCs w:val="16"/>
                <w:lang w:eastAsia="zh-CN"/>
              </w:rPr>
              <w:br/>
              <w:t>(v) Asthma Control Questionnaire interviewer administered version (ACQ</w:t>
            </w:r>
            <w:r>
              <w:rPr>
                <w:rFonts w:ascii="Arial" w:eastAsia="SimSun" w:hAnsi="Arial" w:cs="Arial"/>
                <w:sz w:val="16"/>
                <w:szCs w:val="16"/>
                <w:lang w:eastAsia="zh-CN"/>
              </w:rPr>
              <w:noBreakHyphen/>
            </w:r>
            <w:r w:rsidRPr="00E106BD">
              <w:rPr>
                <w:rFonts w:ascii="Arial" w:eastAsia="SimSun" w:hAnsi="Arial" w:cs="Arial"/>
                <w:sz w:val="16"/>
                <w:szCs w:val="16"/>
                <w:lang w:eastAsia="zh-CN"/>
              </w:rPr>
              <w:t>IA) score.</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592D6B" w:rsidRPr="00E106BD" w:rsidDel="00BF453B"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C10279</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Patient must have demonstrated or sustained an adequate response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not receive more than 24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An adequate response to omalizumab treatment is defined as:</w:t>
            </w:r>
            <w:r w:rsidRPr="00E106BD">
              <w:rPr>
                <w:rFonts w:ascii="Arial" w:eastAsia="SimSun" w:hAnsi="Arial" w:cs="Arial"/>
                <w:sz w:val="16"/>
                <w:szCs w:val="16"/>
                <w:lang w:eastAsia="zh-CN"/>
              </w:rPr>
              <w:br/>
              <w:t>(a) a reduction in the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of at least 0.5 from baseline, OR</w:t>
            </w:r>
            <w:r w:rsidRPr="00E106BD">
              <w:rPr>
                <w:rFonts w:ascii="Arial" w:eastAsia="SimSun" w:hAnsi="Arial" w:cs="Arial"/>
                <w:sz w:val="16"/>
                <w:szCs w:val="16"/>
                <w:lang w:eastAsia="zh-CN"/>
              </w:rPr>
              <w:br/>
              <w:t>(b) maintenance oral corticosteroid dose reduced by at least 25% from baseline, and no deterioration in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from baseline or an increase in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from baseline less than or equal to 0.5, OR</w:t>
            </w:r>
            <w:r w:rsidRPr="00E106BD">
              <w:rPr>
                <w:rFonts w:ascii="Arial" w:eastAsia="SimSun" w:hAnsi="Arial" w:cs="Arial"/>
                <w:sz w:val="16"/>
                <w:szCs w:val="16"/>
                <w:lang w:eastAsia="zh-CN"/>
              </w:rPr>
              <w:br/>
              <w:t>(c) a reduction in the time</w:t>
            </w:r>
            <w:r>
              <w:rPr>
                <w:rFonts w:ascii="Arial" w:eastAsia="SimSun" w:hAnsi="Arial" w:cs="Arial"/>
                <w:sz w:val="16"/>
                <w:szCs w:val="16"/>
                <w:lang w:eastAsia="zh-CN"/>
              </w:rPr>
              <w:noBreakHyphen/>
            </w:r>
            <w:r w:rsidRPr="00E106BD">
              <w:rPr>
                <w:rFonts w:ascii="Arial" w:eastAsia="SimSun" w:hAnsi="Arial" w:cs="Arial"/>
                <w:sz w:val="16"/>
                <w:szCs w:val="16"/>
                <w:lang w:eastAsia="zh-CN"/>
              </w:rPr>
              <w:t>adjusted exacerbation rates compared to the 12 months prior to baseline (this criterion is only applicable for patients transitioned from the paediatric to the adolescent/adult restriction).</w:t>
            </w:r>
            <w:r w:rsidRPr="00E106BD">
              <w:rPr>
                <w:rFonts w:ascii="Arial" w:eastAsia="SimSun" w:hAnsi="Arial" w:cs="Arial"/>
                <w:sz w:val="16"/>
                <w:szCs w:val="16"/>
                <w:lang w:eastAsia="zh-CN"/>
              </w:rPr>
              <w:br/>
              <w:t>All applications for second and subsequent continuing treatments with this drug must include a measurement of response to the prior course of therapy. The Asthma Control Questionnaire (5 item version)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the prior course of treatment, the assessment of oral corticosteroid dose or the assessment of time adjusted exacerbation rate must be made at around 20 weeks after the first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drug under this restriction so that there is adequate time for a response to be demonstrated and for the application for continuing therapy to be processed.</w:t>
            </w:r>
            <w:r w:rsidRPr="00E106BD">
              <w:rPr>
                <w:rFonts w:ascii="Arial" w:eastAsia="SimSun" w:hAnsi="Arial" w:cs="Arial"/>
                <w:sz w:val="16"/>
                <w:szCs w:val="16"/>
                <w:lang w:eastAsia="zh-CN"/>
              </w:rPr>
              <w:br/>
              <w:t>The assessment should, where possible, be completed by the same physician who initiated treatment with this drug.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E106BD">
              <w:rPr>
                <w:rFonts w:ascii="Arial" w:eastAsia="SimSun" w:hAnsi="Arial" w:cs="Arial"/>
                <w:sz w:val="16"/>
                <w:szCs w:val="16"/>
                <w:lang w:eastAsia="zh-CN"/>
              </w:rPr>
              <w:br/>
              <w:t>Where treatment was ceased for clinical reasons despite the patient experiencing improvement, an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treatment made at the time of treatment cessation or retrospectively will be considered to determine whether the patient demonstrated or sustained an adequate response to treatment.</w:t>
            </w:r>
            <w:r w:rsidRPr="00E106BD">
              <w:rPr>
                <w:rFonts w:ascii="Arial" w:eastAsia="SimSun" w:hAnsi="Arial" w:cs="Arial"/>
                <w:sz w:val="16"/>
                <w:szCs w:val="16"/>
                <w:lang w:eastAsia="zh-CN"/>
              </w:rPr>
              <w:br/>
              <w:t>A patient who fails to respond to treatment with this biological medicine for uncontrolled severe asthma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biological medicine for severe asthma within the current treatment cycle.</w:t>
            </w:r>
            <w:r w:rsidRPr="00E106BD">
              <w:rPr>
                <w:rFonts w:ascii="Arial" w:eastAsia="SimSun" w:hAnsi="Arial" w:cs="Arial"/>
                <w:sz w:val="16"/>
                <w:szCs w:val="16"/>
                <w:lang w:eastAsia="zh-CN"/>
              </w:rPr>
              <w:br/>
              <w:t>At the time of the authority application, medical practitioners should request the appropriate quantity and number of repeats to provide for a continuing course of this biological medicine consisting of the recommended number of doses for the baseline IgE level and body weight of the patient (refer to the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sufficient for up to 24 weeks of therapy.</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form(s); and</w:t>
            </w:r>
            <w:r w:rsidRPr="00E106BD">
              <w:rPr>
                <w:rFonts w:ascii="Arial" w:eastAsia="SimSun" w:hAnsi="Arial" w:cs="Arial"/>
                <w:sz w:val="16"/>
                <w:szCs w:val="16"/>
                <w:lang w:eastAsia="zh-CN"/>
              </w:rPr>
              <w:br/>
              <w:t>(b) a completed Severe Allergic Asthma PBS Authority Application and Supporting Information Form which includes details of:</w:t>
            </w:r>
            <w:r w:rsidRPr="00E106BD">
              <w:rPr>
                <w:rFonts w:ascii="Arial" w:eastAsia="SimSun" w:hAnsi="Arial" w:cs="Arial"/>
                <w:sz w:val="16"/>
                <w:szCs w:val="16"/>
                <w:lang w:eastAsia="zh-CN"/>
              </w:rPr>
              <w:br/>
              <w:t>(i) maintenance oral corticosteroid dose; or</w:t>
            </w:r>
            <w:r w:rsidRPr="00E106BD">
              <w:rPr>
                <w:rFonts w:ascii="Arial" w:eastAsia="SimSun" w:hAnsi="Arial" w:cs="Arial"/>
                <w:sz w:val="16"/>
                <w:szCs w:val="16"/>
                <w:lang w:eastAsia="zh-CN"/>
              </w:rPr>
              <w:br/>
              <w:t>(ii)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including the date of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symptoms; or</w:t>
            </w:r>
            <w:r w:rsidRPr="00E106BD">
              <w:rPr>
                <w:rFonts w:ascii="Arial" w:eastAsia="SimSun" w:hAnsi="Arial" w:cs="Arial"/>
                <w:sz w:val="16"/>
                <w:szCs w:val="16"/>
                <w:lang w:eastAsia="zh-CN"/>
              </w:rPr>
              <w:br/>
              <w:t>(iii) for patients transitioned from the paediatric to the adolescent/adult restrictions, confirmation that the exacerbation rate has reduced.</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592D6B" w:rsidRPr="00E106BD" w:rsidDel="00BF453B" w:rsidTr="008929EB">
        <w:tc>
          <w:tcPr>
            <w:tcW w:w="172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C10299</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patients; or Recommencement of treatment in a new treatment cycle following a break in PBS subsidised biological medicine therapy)</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under the care of the same physician for at least 6 months; OR</w:t>
            </w:r>
            <w:r w:rsidRPr="00E106BD">
              <w:rPr>
                <w:rFonts w:ascii="Arial" w:eastAsia="SimSun" w:hAnsi="Arial" w:cs="Arial"/>
                <w:sz w:val="16"/>
                <w:szCs w:val="16"/>
                <w:lang w:eastAsia="zh-CN"/>
              </w:rPr>
              <w:br/>
              <w:t>Patient must have been diagnosed by a multidisciplinary severe asthma clinic team; AND</w:t>
            </w:r>
            <w:r w:rsidRPr="00E106BD">
              <w:rPr>
                <w:rFonts w:ascii="Arial" w:eastAsia="SimSun" w:hAnsi="Arial" w:cs="Arial"/>
                <w:sz w:val="16"/>
                <w:szCs w:val="16"/>
                <w:lang w:eastAsia="zh-CN"/>
              </w:rPr>
              <w:br/>
              <w:t>Patient must not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OR</w:t>
            </w:r>
            <w:r w:rsidRPr="00E106BD">
              <w:rPr>
                <w:rFonts w:ascii="Arial" w:eastAsia="SimSun" w:hAnsi="Arial" w:cs="Arial"/>
                <w:sz w:val="16"/>
                <w:szCs w:val="16"/>
                <w:lang w:eastAsia="zh-CN"/>
              </w:rPr>
              <w:br/>
              <w:t>Patient must have had a break in treatment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severe asthma; AND</w:t>
            </w:r>
            <w:r w:rsidRPr="00E106BD">
              <w:rPr>
                <w:rFonts w:ascii="Arial" w:eastAsia="SimSun" w:hAnsi="Arial" w:cs="Arial"/>
                <w:sz w:val="16"/>
                <w:szCs w:val="16"/>
                <w:lang w:eastAsia="zh-CN"/>
              </w:rPr>
              <w:b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E106BD">
              <w:rPr>
                <w:rFonts w:ascii="Arial" w:eastAsia="SimSun" w:hAnsi="Arial" w:cs="Arial"/>
                <w:sz w:val="16"/>
                <w:szCs w:val="16"/>
                <w:lang w:eastAsia="zh-CN"/>
              </w:rPr>
              <w:br/>
              <w:t>Patient must have a diagnosis of asthma from at least two physicians experienced in the management of patients with severe asthma; AND</w:t>
            </w:r>
            <w:r w:rsidRPr="00E106BD">
              <w:rPr>
                <w:rFonts w:ascii="Arial" w:eastAsia="SimSun" w:hAnsi="Arial" w:cs="Arial"/>
                <w:sz w:val="16"/>
                <w:szCs w:val="16"/>
                <w:lang w:eastAsia="zh-CN"/>
              </w:rPr>
              <w:br/>
              <w:t>Patient must have a duration of asthma of at least 1 year; AND</w:t>
            </w:r>
            <w:r w:rsidRPr="00E106BD">
              <w:rPr>
                <w:rFonts w:ascii="Arial" w:eastAsia="SimSun" w:hAnsi="Arial" w:cs="Arial"/>
                <w:sz w:val="16"/>
                <w:szCs w:val="16"/>
                <w:lang w:eastAsia="zh-CN"/>
              </w:rPr>
              <w:br/>
              <w:t>Patient must have past or current evidence of atopy, documented by skin prick testing or an in vitro measure of specific IgE, that is no more than 1 year old; AND</w:t>
            </w:r>
            <w:r w:rsidRPr="00E106BD">
              <w:rPr>
                <w:rFonts w:ascii="Arial" w:eastAsia="SimSun" w:hAnsi="Arial" w:cs="Arial"/>
                <w:sz w:val="16"/>
                <w:szCs w:val="16"/>
                <w:lang w:eastAsia="zh-CN"/>
              </w:rPr>
              <w:br/>
              <w:t>Patient must have total serum human immunoglobulin E greater than or equal to 30 IU/mL; AND</w:t>
            </w:r>
            <w:r w:rsidRPr="00E106BD">
              <w:rPr>
                <w:rFonts w:ascii="Arial" w:eastAsia="SimSun" w:hAnsi="Arial" w:cs="Arial"/>
                <w:sz w:val="16"/>
                <w:szCs w:val="16"/>
                <w:lang w:eastAsia="zh-CN"/>
              </w:rPr>
              <w:br/>
              <w:t>Patient must have failed to achieve adequate control with optimised asthma therapy, despite formal assessment of and adherence to correct inhaler technique, which has been documented; AND</w:t>
            </w:r>
            <w:r w:rsidRPr="00E106BD">
              <w:rPr>
                <w:rFonts w:ascii="Arial" w:eastAsia="SimSun" w:hAnsi="Arial" w:cs="Arial"/>
                <w:sz w:val="16"/>
                <w:szCs w:val="16"/>
                <w:lang w:eastAsia="zh-CN"/>
              </w:rPr>
              <w:br/>
              <w:t>Patient must not receive more than 32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Optimised asthma therapy includes:</w:t>
            </w:r>
            <w:r w:rsidRPr="00E106BD">
              <w:rPr>
                <w:rFonts w:ascii="Arial" w:eastAsia="SimSun" w:hAnsi="Arial" w:cs="Arial"/>
                <w:sz w:val="16"/>
                <w:szCs w:val="16"/>
                <w:lang w:eastAsia="zh-CN"/>
              </w:rPr>
              <w:br/>
              <w:t>(i) Adherence to maximal inhaled therapy, including high dose inhaled corticosteroid (ICS) plus long</w:t>
            </w:r>
            <w:r>
              <w:rPr>
                <w:rFonts w:ascii="Arial" w:eastAsia="SimSun" w:hAnsi="Arial" w:cs="Arial"/>
                <w:sz w:val="16"/>
                <w:szCs w:val="16"/>
                <w:lang w:eastAsia="zh-CN"/>
              </w:rPr>
              <w:noBreakHyphen/>
            </w:r>
            <w:r w:rsidRPr="00E106BD">
              <w:rPr>
                <w:rFonts w:ascii="Arial" w:eastAsia="SimSun" w:hAnsi="Arial" w:cs="Arial"/>
                <w:sz w:val="16"/>
                <w:szCs w:val="16"/>
                <w:lang w:eastAsia="zh-CN"/>
              </w:rPr>
              <w:t>acting beta</w:t>
            </w:r>
            <w:r>
              <w:rPr>
                <w:rFonts w:ascii="Arial" w:eastAsia="SimSun" w:hAnsi="Arial" w:cs="Arial"/>
                <w:sz w:val="16"/>
                <w:szCs w:val="16"/>
                <w:lang w:eastAsia="zh-CN"/>
              </w:rPr>
              <w:noBreakHyphen/>
            </w:r>
            <w:r w:rsidRPr="00E106BD">
              <w:rPr>
                <w:rFonts w:ascii="Arial" w:eastAsia="SimSun" w:hAnsi="Arial" w:cs="Arial"/>
                <w:sz w:val="16"/>
                <w:szCs w:val="16"/>
                <w:lang w:eastAsia="zh-CN"/>
              </w:rPr>
              <w:t>2 agonist (LABA) therapy for at least 12 months, unless contraindicated or not tolerated;</w:t>
            </w:r>
            <w:r w:rsidRPr="00E106BD">
              <w:rPr>
                <w:rFonts w:ascii="Arial" w:eastAsia="SimSun" w:hAnsi="Arial" w:cs="Arial"/>
                <w:sz w:val="16"/>
                <w:szCs w:val="16"/>
                <w:lang w:eastAsia="zh-CN"/>
              </w:rPr>
              <w:br/>
              <w:t>AND</w:t>
            </w:r>
            <w:r w:rsidRPr="00E106BD">
              <w:rPr>
                <w:rFonts w:ascii="Arial" w:eastAsia="SimSun" w:hAnsi="Arial" w:cs="Arial"/>
                <w:sz w:val="16"/>
                <w:szCs w:val="16"/>
                <w:lang w:eastAsia="zh-CN"/>
              </w:rPr>
              <w:br/>
              <w:t>(ii) treatment with oral corticosteroids, either daily oral corticosteroids for at least 6 weeks, OR a cumulative dose of oral corticosteroids of at least 500 mg prednisolone equivalent in the previous 12 months, unless contraindicated or not tolerated.</w:t>
            </w:r>
            <w:r w:rsidRPr="00E106BD">
              <w:rPr>
                <w:rFonts w:ascii="Arial" w:eastAsia="SimSun" w:hAnsi="Arial" w:cs="Arial"/>
                <w:sz w:val="16"/>
                <w:szCs w:val="16"/>
                <w:lang w:eastAsia="zh-CN"/>
              </w:rPr>
              <w:br/>
              <w:t>If the requirement for treatment with optimised asthma therapy cannot be met because of contraindications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and/or intolerances of a severity necessitating permanent treatment withdrawal, details of the contraindication and/or intolerance must be provided in the Authority application.</w:t>
            </w:r>
            <w:r w:rsidRPr="00E106BD">
              <w:rPr>
                <w:rFonts w:ascii="Arial" w:eastAsia="SimSun" w:hAnsi="Arial" w:cs="Arial"/>
                <w:sz w:val="16"/>
                <w:szCs w:val="16"/>
                <w:lang w:eastAsia="zh-CN"/>
              </w:rPr>
              <w:br/>
              <w:t>The initial IgE assessment must be no more than 12 months old at the time of application.</w:t>
            </w:r>
            <w:r w:rsidRPr="00E106BD">
              <w:rPr>
                <w:rFonts w:ascii="Arial" w:eastAsia="SimSun" w:hAnsi="Arial" w:cs="Arial"/>
                <w:sz w:val="16"/>
                <w:szCs w:val="16"/>
                <w:lang w:eastAsia="zh-CN"/>
              </w:rPr>
              <w:br/>
              <w:t>The following initiation criteria indicate failure to achieve adequate control and must be demonstrated in all patients at the time of the application:</w:t>
            </w:r>
            <w:r w:rsidRPr="00E106BD">
              <w:rPr>
                <w:rFonts w:ascii="Arial" w:eastAsia="SimSun" w:hAnsi="Arial" w:cs="Arial"/>
                <w:sz w:val="16"/>
                <w:szCs w:val="16"/>
                <w:lang w:eastAsia="zh-CN"/>
              </w:rPr>
              <w:br/>
              <w:t>(a) an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of at least 2.0, as assessed in the previous month, AND</w:t>
            </w:r>
            <w:r w:rsidRPr="00E106BD">
              <w:rPr>
                <w:rFonts w:ascii="Arial" w:eastAsia="SimSun" w:hAnsi="Arial" w:cs="Arial"/>
                <w:sz w:val="16"/>
                <w:szCs w:val="16"/>
                <w:lang w:eastAsia="zh-CN"/>
              </w:rPr>
              <w:b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E106BD">
              <w:rPr>
                <w:rFonts w:ascii="Arial" w:eastAsia="SimSun" w:hAnsi="Arial" w:cs="Arial"/>
                <w:sz w:val="16"/>
                <w:szCs w:val="16"/>
                <w:lang w:eastAsia="zh-CN"/>
              </w:rPr>
              <w:br/>
              <w:t>The Asthma Control Questionnaire (5 item version) assessment of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and the assessment of oral corticosteroid dose, should be made at around 28 weeks after the first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drug under this restriction so that there is adequate time for a response to be demonstrated and for the application for the first continuing therapy to be processed.</w:t>
            </w:r>
            <w:r w:rsidRPr="00E106BD">
              <w:rPr>
                <w:rFonts w:ascii="Arial" w:eastAsia="SimSun" w:hAnsi="Arial" w:cs="Arial"/>
                <w:sz w:val="16"/>
                <w:szCs w:val="16"/>
                <w:lang w:eastAsia="zh-CN"/>
              </w:rPr>
              <w:br/>
              <w:t>This assessment,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severe asthma within the same treatment cycle.</w:t>
            </w:r>
            <w:r w:rsidRPr="00E106BD">
              <w:rPr>
                <w:rFonts w:ascii="Arial" w:eastAsia="SimSun" w:hAnsi="Arial" w:cs="Arial"/>
                <w:sz w:val="16"/>
                <w:szCs w:val="16"/>
                <w:lang w:eastAsia="zh-CN"/>
              </w:rPr>
              <w:br/>
              <w:t>A treatment break in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of at least 12 months must be observed in a patient who has either failed to achieve or sustain a response to treatment with 3 biological medicines for severe asthma within the same treatment cycle.</w:t>
            </w:r>
            <w:r w:rsidRPr="00E106BD">
              <w:rPr>
                <w:rFonts w:ascii="Arial" w:eastAsia="SimSun" w:hAnsi="Arial" w:cs="Arial"/>
                <w:sz w:val="16"/>
                <w:szCs w:val="16"/>
                <w:lang w:eastAsia="zh-CN"/>
              </w:rPr>
              <w:br/>
              <w:t>A treatment break in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therapy of at least 6 months must be observed in a patient with uncontrolled severe allergic asthma, in whom omalizumab is the only appropriate treatment option, and who has either failed to achieve or sustain a response to the most recent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therapy.</w:t>
            </w:r>
            <w:r w:rsidRPr="00E106BD">
              <w:rPr>
                <w:rFonts w:ascii="Arial" w:eastAsia="SimSun" w:hAnsi="Arial" w:cs="Arial"/>
                <w:sz w:val="16"/>
                <w:szCs w:val="16"/>
                <w:lang w:eastAsia="zh-CN"/>
              </w:rPr>
              <w:br/>
              <w:t>The length of the break in therapy is measured from the date the most recent treatment with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administered until the date of the first application for recommencement of treatment with a biological medicine under the new treatment cycle.</w:t>
            </w:r>
            <w:r w:rsidRPr="00E106BD">
              <w:rPr>
                <w:rFonts w:ascii="Arial" w:eastAsia="SimSun" w:hAnsi="Arial" w:cs="Arial"/>
                <w:sz w:val="16"/>
                <w:szCs w:val="16"/>
                <w:lang w:eastAsia="zh-CN"/>
              </w:rPr>
              <w:br/>
              <w:t>There is no limit to the number of treatment cycles that a patient may undertake in their lifetime.</w:t>
            </w:r>
            <w:r w:rsidRPr="00E106BD">
              <w:rPr>
                <w:rFonts w:ascii="Arial" w:eastAsia="SimSun" w:hAnsi="Arial" w:cs="Arial"/>
                <w:sz w:val="16"/>
                <w:szCs w:val="16"/>
                <w:lang w:eastAsia="zh-CN"/>
              </w:rPr>
              <w:br/>
              <w:t>At the time of the authority application, medical practitioners should request the appropriate maximum quantity and number of repeats to provide for an initial course of omalizumab consisting of the recommended number of doses for the baseline IgE level and body weight of the patient (refer to the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to be administered every 2 or 4 weeks.</w:t>
            </w:r>
            <w:r w:rsidRPr="00E106BD">
              <w:rPr>
                <w:rFonts w:ascii="Arial" w:eastAsia="SimSun" w:hAnsi="Arial" w:cs="Arial"/>
                <w:sz w:val="16"/>
                <w:szCs w:val="16"/>
                <w:lang w:eastAsia="zh-CN"/>
              </w:rPr>
              <w:br/>
              <w:t>A multidisciplinary severe asthma clinic team comprises of:</w:t>
            </w:r>
            <w:r w:rsidRPr="00E106BD">
              <w:rPr>
                <w:rFonts w:ascii="Arial" w:eastAsia="SimSun" w:hAnsi="Arial" w:cs="Arial"/>
                <w:sz w:val="16"/>
                <w:szCs w:val="16"/>
                <w:lang w:eastAsia="zh-CN"/>
              </w:rPr>
              <w:br/>
              <w:t>A respiratory physician; and</w:t>
            </w:r>
            <w:r w:rsidRPr="00E106BD">
              <w:rPr>
                <w:rFonts w:ascii="Arial" w:eastAsia="SimSun" w:hAnsi="Arial" w:cs="Arial"/>
                <w:sz w:val="16"/>
                <w:szCs w:val="16"/>
                <w:lang w:eastAsia="zh-CN"/>
              </w:rPr>
              <w:br/>
              <w:t>A pharmacist, nurse or asthma educator.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Allergic Asthma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which includes the following:</w:t>
            </w:r>
            <w:r w:rsidRPr="00E106BD">
              <w:rPr>
                <w:rFonts w:ascii="Arial" w:eastAsia="SimSun" w:hAnsi="Arial" w:cs="Arial"/>
                <w:sz w:val="16"/>
                <w:szCs w:val="16"/>
                <w:lang w:eastAsia="zh-CN"/>
              </w:rPr>
              <w:br/>
              <w:t>(i) details of prior optimised asthma drug therapy (date of commencement and duration of therapy); and</w:t>
            </w:r>
            <w:r w:rsidRPr="00E106BD">
              <w:rPr>
                <w:rFonts w:ascii="Arial" w:eastAsia="SimSun" w:hAnsi="Arial" w:cs="Arial"/>
                <w:sz w:val="16"/>
                <w:szCs w:val="16"/>
                <w:lang w:eastAsia="zh-CN"/>
              </w:rPr>
              <w:br/>
              <w:t>(ii) details of severe exacerbation/s experienced in the past 12 months while receiving optimised asthma therapy (date and treatment); and</w:t>
            </w:r>
            <w:r w:rsidRPr="00E106BD">
              <w:rPr>
                <w:rFonts w:ascii="Arial" w:eastAsia="SimSun" w:hAnsi="Arial" w:cs="Arial"/>
                <w:sz w:val="16"/>
                <w:szCs w:val="16"/>
                <w:lang w:eastAsia="zh-CN"/>
              </w:rPr>
              <w:br/>
              <w:t>(iii) the IgE result; and</w:t>
            </w:r>
            <w:r w:rsidRPr="00E106BD">
              <w:rPr>
                <w:rFonts w:ascii="Arial" w:eastAsia="SimSun" w:hAnsi="Arial" w:cs="Arial"/>
                <w:sz w:val="16"/>
                <w:szCs w:val="16"/>
                <w:lang w:eastAsia="zh-CN"/>
              </w:rPr>
              <w:br/>
              <w:t>(iv)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592D6B" w:rsidRPr="00E106BD" w:rsidDel="00BF453B" w:rsidTr="008929EB">
        <w:tc>
          <w:tcPr>
            <w:tcW w:w="172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bookmarkStart w:id="210" w:name="CU_417687284"/>
            <w:bookmarkEnd w:id="210"/>
            <w:r w:rsidRPr="00E106BD">
              <w:rPr>
                <w:rFonts w:ascii="Arial" w:eastAsia="SimSun" w:hAnsi="Arial" w:cs="Arial"/>
                <w:sz w:val="16"/>
                <w:szCs w:val="16"/>
                <w:lang w:eastAsia="zh-CN"/>
              </w:rPr>
              <w:t>Pamidronic Acid</w:t>
            </w: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C4433</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Hypercalcaemia of malignancy</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a malignancy refractory to anti</w:t>
            </w:r>
            <w:r>
              <w:rPr>
                <w:rFonts w:ascii="Arial" w:eastAsia="SimSun" w:hAnsi="Arial" w:cs="Arial"/>
                <w:sz w:val="16"/>
                <w:szCs w:val="16"/>
                <w:lang w:eastAsia="zh-CN"/>
              </w:rPr>
              <w:noBreakHyphen/>
            </w:r>
            <w:r w:rsidRPr="00E106BD">
              <w:rPr>
                <w:rFonts w:ascii="Arial" w:eastAsia="SimSun" w:hAnsi="Arial" w:cs="Arial"/>
                <w:sz w:val="16"/>
                <w:szCs w:val="16"/>
                <w:lang w:eastAsia="zh-CN"/>
              </w:rPr>
              <w:t>neoplastic therapy</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 – Streamlined Authority Code 4433</w:t>
            </w:r>
          </w:p>
        </w:tc>
      </w:tr>
      <w:tr w:rsidR="00592D6B" w:rsidRPr="00E106BD" w:rsidDel="00BF453B" w:rsidTr="008929EB">
        <w:tc>
          <w:tcPr>
            <w:tcW w:w="172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C5218</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Multiple Myeloma</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5218</w:t>
            </w:r>
          </w:p>
        </w:tc>
      </w:tr>
      <w:tr w:rsidR="00592D6B" w:rsidRPr="00E106BD" w:rsidDel="00BF453B" w:rsidTr="008929EB">
        <w:tc>
          <w:tcPr>
            <w:tcW w:w="172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C5291</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Bone metastases</w:t>
            </w:r>
          </w:p>
          <w:p w:rsidR="00592D6B" w:rsidRPr="00E106BD"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due to breast cancer.</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5291</w:t>
            </w:r>
          </w:p>
        </w:tc>
      </w:tr>
      <w:tr w:rsidR="00592D6B" w:rsidRPr="00E106BD" w:rsidDel="00BF453B" w:rsidTr="008929EB">
        <w:tc>
          <w:tcPr>
            <w:tcW w:w="172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C9234</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Hypercalcaemia of malignancy</w:t>
            </w:r>
            <w:r w:rsidRPr="00E106BD">
              <w:rPr>
                <w:szCs w:val="16"/>
              </w:rPr>
              <w:br/>
            </w:r>
            <w:r w:rsidRPr="00E106BD">
              <w:rPr>
                <w:rFonts w:ascii="Arial" w:hAnsi="Arial" w:cs="Arial"/>
                <w:sz w:val="16"/>
                <w:szCs w:val="16"/>
              </w:rPr>
              <w:t>Patient must have a malignancy refractory to anti</w:t>
            </w:r>
            <w:r>
              <w:rPr>
                <w:rFonts w:ascii="Arial" w:hAnsi="Arial" w:cs="Arial"/>
                <w:sz w:val="16"/>
                <w:szCs w:val="16"/>
              </w:rPr>
              <w:noBreakHyphen/>
            </w:r>
            <w:r w:rsidRPr="00E106BD">
              <w:rPr>
                <w:rFonts w:ascii="Arial" w:hAnsi="Arial" w:cs="Arial"/>
                <w:sz w:val="16"/>
                <w:szCs w:val="16"/>
              </w:rPr>
              <w:t>neoplastic therapy.</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9234</w:t>
            </w:r>
          </w:p>
        </w:tc>
      </w:tr>
      <w:tr w:rsidR="00592D6B" w:rsidRPr="00E106BD" w:rsidDel="00BF453B" w:rsidTr="008929EB">
        <w:tc>
          <w:tcPr>
            <w:tcW w:w="172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C9315</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Bone metastases</w:t>
            </w:r>
            <w:r w:rsidRPr="00E106BD">
              <w:rPr>
                <w:szCs w:val="16"/>
              </w:rPr>
              <w:br/>
            </w:r>
            <w:r w:rsidRPr="00E106BD">
              <w:rPr>
                <w:rFonts w:ascii="Arial" w:hAnsi="Arial" w:cs="Arial"/>
                <w:sz w:val="16"/>
                <w:szCs w:val="16"/>
              </w:rPr>
              <w:t>The condition must be due to breast cancer.</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9315</w:t>
            </w:r>
          </w:p>
        </w:tc>
      </w:tr>
      <w:tr w:rsidR="00592D6B" w:rsidRPr="00E106BD" w:rsidDel="00BF453B" w:rsidTr="008929EB">
        <w:tc>
          <w:tcPr>
            <w:tcW w:w="172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C9335</w:t>
            </w:r>
          </w:p>
        </w:tc>
        <w:tc>
          <w:tcPr>
            <w:tcW w:w="709" w:type="dxa"/>
            <w:tcMar>
              <w:top w:w="28" w:type="dxa"/>
              <w:left w:w="28" w:type="dxa"/>
            </w:tcMar>
          </w:tcPr>
          <w:p w:rsidR="00592D6B" w:rsidRPr="00E106BD" w:rsidDel="00BF453B"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Multiple myeloma</w:t>
            </w:r>
          </w:p>
        </w:tc>
        <w:tc>
          <w:tcPr>
            <w:tcW w:w="2552" w:type="dxa"/>
            <w:tcMar>
              <w:top w:w="28" w:type="dxa"/>
              <w:left w:w="28" w:type="dxa"/>
              <w:right w:w="57" w:type="dxa"/>
            </w:tcMar>
          </w:tcPr>
          <w:p w:rsidR="00592D6B" w:rsidRPr="00E106BD" w:rsidRDefault="00592D6B" w:rsidP="00F637F0">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9335</w:t>
            </w:r>
          </w:p>
        </w:tc>
      </w:tr>
      <w:tr w:rsidR="00592D6B" w:rsidRPr="00E106BD" w:rsidDel="004B1F90" w:rsidTr="008929EB">
        <w:tc>
          <w:tcPr>
            <w:tcW w:w="1729" w:type="dxa"/>
            <w:tcMar>
              <w:top w:w="28" w:type="dxa"/>
              <w:left w:w="28" w:type="dxa"/>
            </w:tcMar>
          </w:tcPr>
          <w:p w:rsidR="00592D6B" w:rsidRPr="00E106BD" w:rsidDel="004B1F90"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Pasireotide</w:t>
            </w:r>
          </w:p>
        </w:tc>
        <w:tc>
          <w:tcPr>
            <w:tcW w:w="709" w:type="dxa"/>
            <w:tcMar>
              <w:top w:w="28" w:type="dxa"/>
              <w:left w:w="28" w:type="dxa"/>
            </w:tcMar>
          </w:tcPr>
          <w:p w:rsidR="00592D6B" w:rsidRPr="00E106BD" w:rsidDel="004B1F90"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C9088</w:t>
            </w:r>
          </w:p>
        </w:tc>
        <w:tc>
          <w:tcPr>
            <w:tcW w:w="709" w:type="dxa"/>
            <w:tcMar>
              <w:top w:w="28" w:type="dxa"/>
              <w:left w:w="28" w:type="dxa"/>
            </w:tcMar>
          </w:tcPr>
          <w:p w:rsidR="00592D6B" w:rsidRPr="00E106BD" w:rsidDel="004B1F90"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Del="004B1F90" w:rsidRDefault="00592D6B"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Acromegaly</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Patient must not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a mean growth hormone (GH) level greater than 1 microgram per litre or 3 mlU/L; OR</w:t>
            </w:r>
            <w:r w:rsidRPr="00E106BD">
              <w:rPr>
                <w:rFonts w:ascii="Arial" w:eastAsia="SimSun" w:hAnsi="Arial" w:cs="Arial"/>
                <w:sz w:val="16"/>
                <w:szCs w:val="16"/>
                <w:lang w:eastAsia="zh-CN"/>
              </w:rPr>
              <w:br/>
              <w:t>Patient must have an age</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and sex</w:t>
            </w:r>
            <w:r>
              <w:rPr>
                <w:rFonts w:ascii="Arial" w:eastAsia="SimSun" w:hAnsi="Arial" w:cs="Arial"/>
                <w:sz w:val="16"/>
                <w:szCs w:val="16"/>
                <w:lang w:eastAsia="zh-CN"/>
              </w:rPr>
              <w:noBreakHyphen/>
            </w:r>
            <w:r w:rsidRPr="00E106BD">
              <w:rPr>
                <w:rFonts w:ascii="Arial" w:eastAsia="SimSun" w:hAnsi="Arial" w:cs="Arial"/>
                <w:sz w:val="16"/>
                <w:szCs w:val="16"/>
                <w:lang w:eastAsia="zh-CN"/>
              </w:rPr>
              <w:t>adjusted insulin</w:t>
            </w:r>
            <w:r>
              <w:rPr>
                <w:rFonts w:ascii="Arial" w:eastAsia="SimSun" w:hAnsi="Arial" w:cs="Arial"/>
                <w:sz w:val="16"/>
                <w:szCs w:val="16"/>
                <w:lang w:eastAsia="zh-CN"/>
              </w:rPr>
              <w:noBreakHyphen/>
            </w:r>
            <w:r w:rsidRPr="00E106BD">
              <w:rPr>
                <w:rFonts w:ascii="Arial" w:eastAsia="SimSun" w:hAnsi="Arial" w:cs="Arial"/>
                <w:sz w:val="16"/>
                <w:szCs w:val="16"/>
                <w:lang w:eastAsia="zh-CN"/>
              </w:rPr>
              <w:t>like growth factor 1 (IGF</w:t>
            </w:r>
            <w:r>
              <w:rPr>
                <w:rFonts w:ascii="Arial" w:eastAsia="SimSun" w:hAnsi="Arial" w:cs="Arial"/>
                <w:sz w:val="16"/>
                <w:szCs w:val="16"/>
                <w:lang w:eastAsia="zh-CN"/>
              </w:rPr>
              <w:noBreakHyphen/>
            </w:r>
            <w:r w:rsidRPr="00E106BD">
              <w:rPr>
                <w:rFonts w:ascii="Arial" w:eastAsia="SimSun" w:hAnsi="Arial" w:cs="Arial"/>
                <w:sz w:val="16"/>
                <w:szCs w:val="16"/>
                <w:lang w:eastAsia="zh-CN"/>
              </w:rPr>
              <w:t>1) concentration greater than the upper limit of normal (ULN); AND</w:t>
            </w:r>
            <w:r w:rsidRPr="00E106BD">
              <w:rPr>
                <w:rFonts w:ascii="Arial" w:eastAsia="SimSun" w:hAnsi="Arial" w:cs="Arial"/>
                <w:sz w:val="16"/>
                <w:szCs w:val="16"/>
                <w:lang w:eastAsia="zh-CN"/>
              </w:rPr>
              <w:br/>
              <w:t>The treatment must be after failure to achieve biochemical control with a maximum indicated dose of either 30 mg octreotide LAR or 120 mg lanreotide ATG every 28 days for 24 weeks; unless contraindicated or not tolerated according to the TGA approved Product Information; AND</w:t>
            </w:r>
            <w:r w:rsidRPr="00E106BD">
              <w:rPr>
                <w:rFonts w:ascii="Arial" w:eastAsia="SimSun" w:hAnsi="Arial" w:cs="Arial"/>
                <w:sz w:val="16"/>
                <w:szCs w:val="16"/>
                <w:lang w:eastAsia="zh-CN"/>
              </w:rPr>
              <w:br/>
              <w:t>The treatment must not be given concomitantly with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pegvisomant.</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If treatment with either octreotide or lanreotide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the application must provide details of contraindication.</w:t>
            </w:r>
            <w:r w:rsidRPr="00E106BD">
              <w:rPr>
                <w:rFonts w:ascii="Arial" w:eastAsia="SimSun" w:hAnsi="Arial" w:cs="Arial"/>
                <w:sz w:val="16"/>
                <w:szCs w:val="16"/>
                <w:lang w:eastAsia="zh-CN"/>
              </w:rPr>
              <w:br/>
              <w:t>If intolerance to either octreotide or lanreotide treatment developed during the relevant period of use which is of a severity to necessitate withdrawal of the treatment, the application must provide details of the nature and severity of this intolerance.</w:t>
            </w:r>
            <w:r w:rsidRPr="00E106BD">
              <w:rPr>
                <w:rFonts w:ascii="Arial" w:eastAsia="SimSun" w:hAnsi="Arial" w:cs="Arial"/>
                <w:sz w:val="16"/>
                <w:szCs w:val="16"/>
                <w:lang w:eastAsia="zh-CN"/>
              </w:rPr>
              <w:br/>
              <w:t>Failure to achieve biochemical control after completion of a prior therapy with either octreotide or lanreotide is defined as:</w:t>
            </w:r>
            <w:r w:rsidRPr="00E106BD">
              <w:rPr>
                <w:rFonts w:ascii="Arial" w:eastAsia="SimSun" w:hAnsi="Arial" w:cs="Arial"/>
                <w:sz w:val="16"/>
                <w:szCs w:val="16"/>
                <w:lang w:eastAsia="zh-CN"/>
              </w:rPr>
              <w:br/>
              <w:t>1) Growth hormone level greater than 1 mcg/L or 3 mIU/L; OR</w:t>
            </w:r>
            <w:r w:rsidRPr="00E106BD">
              <w:rPr>
                <w:rFonts w:ascii="Arial" w:eastAsia="SimSun" w:hAnsi="Arial" w:cs="Arial"/>
                <w:sz w:val="16"/>
                <w:szCs w:val="16"/>
                <w:lang w:eastAsia="zh-CN"/>
              </w:rPr>
              <w:br/>
              <w:t>2) IGF</w:t>
            </w:r>
            <w:r>
              <w:rPr>
                <w:rFonts w:ascii="Arial" w:eastAsia="SimSun" w:hAnsi="Arial" w:cs="Arial"/>
                <w:sz w:val="16"/>
                <w:szCs w:val="16"/>
                <w:lang w:eastAsia="zh-CN"/>
              </w:rPr>
              <w:noBreakHyphen/>
            </w:r>
            <w:r w:rsidRPr="00E106BD">
              <w:rPr>
                <w:rFonts w:ascii="Arial" w:eastAsia="SimSun" w:hAnsi="Arial" w:cs="Arial"/>
                <w:sz w:val="16"/>
                <w:szCs w:val="16"/>
                <w:lang w:eastAsia="zh-CN"/>
              </w:rPr>
              <w:t>1 level is greater than the age</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and sex</w:t>
            </w:r>
            <w:r>
              <w:rPr>
                <w:rFonts w:ascii="Arial" w:eastAsia="SimSun" w:hAnsi="Arial" w:cs="Arial"/>
                <w:sz w:val="16"/>
                <w:szCs w:val="16"/>
                <w:lang w:eastAsia="zh-CN"/>
              </w:rPr>
              <w:noBreakHyphen/>
            </w:r>
            <w:r w:rsidRPr="00E106BD">
              <w:rPr>
                <w:rFonts w:ascii="Arial" w:eastAsia="SimSun" w:hAnsi="Arial" w:cs="Arial"/>
                <w:sz w:val="16"/>
                <w:szCs w:val="16"/>
                <w:lang w:eastAsia="zh-CN"/>
              </w:rPr>
              <w:t>adjusted ULN.</w:t>
            </w:r>
            <w:r w:rsidRPr="00E106BD">
              <w:rPr>
                <w:rFonts w:ascii="Arial" w:eastAsia="SimSun" w:hAnsi="Arial" w:cs="Arial"/>
                <w:sz w:val="16"/>
                <w:szCs w:val="16"/>
                <w:lang w:eastAsia="zh-CN"/>
              </w:rPr>
              <w:br/>
              <w:t>In a patient treated with radiotherapy, pasireotide should be withdrawn every 2 years in the 10 years after completion of radiotherapy for assessment of remission. Pasireotide should be withdrawn at least 8 weeks prior to the assessment of remission.</w:t>
            </w:r>
            <w:r w:rsidRPr="00E106BD">
              <w:rPr>
                <w:rFonts w:ascii="Arial" w:eastAsia="SimSun" w:hAnsi="Arial" w:cs="Arial"/>
                <w:sz w:val="16"/>
                <w:szCs w:val="16"/>
                <w:lang w:eastAsia="zh-CN"/>
              </w:rPr>
              <w:br/>
              <w:t>Biochemical evidence of remission is defined as:</w:t>
            </w:r>
            <w:r w:rsidRPr="00E106BD">
              <w:rPr>
                <w:rFonts w:ascii="Arial" w:eastAsia="SimSun" w:hAnsi="Arial" w:cs="Arial"/>
                <w:sz w:val="16"/>
                <w:szCs w:val="16"/>
                <w:lang w:eastAsia="zh-CN"/>
              </w:rPr>
              <w:br/>
              <w:t>1) Growth hormone (GH) levels of less than 1 mcg/L or 3 mlU/L; OR</w:t>
            </w:r>
            <w:r w:rsidRPr="00E106BD">
              <w:rPr>
                <w:rFonts w:ascii="Arial" w:eastAsia="SimSun" w:hAnsi="Arial" w:cs="Arial"/>
                <w:sz w:val="16"/>
                <w:szCs w:val="16"/>
                <w:lang w:eastAsia="zh-CN"/>
              </w:rPr>
              <w:br/>
              <w:t>2) normalisation of sex</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and age</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adjusted insulin</w:t>
            </w:r>
            <w:r>
              <w:rPr>
                <w:rFonts w:ascii="Arial" w:eastAsia="SimSun" w:hAnsi="Arial" w:cs="Arial"/>
                <w:sz w:val="16"/>
                <w:szCs w:val="16"/>
                <w:lang w:eastAsia="zh-CN"/>
              </w:rPr>
              <w:noBreakHyphen/>
            </w:r>
            <w:r w:rsidRPr="00E106BD">
              <w:rPr>
                <w:rFonts w:ascii="Arial" w:eastAsia="SimSun" w:hAnsi="Arial" w:cs="Arial"/>
                <w:sz w:val="16"/>
                <w:szCs w:val="16"/>
                <w:lang w:eastAsia="zh-CN"/>
              </w:rPr>
              <w:t>like growth factor 1 (IGF</w:t>
            </w:r>
            <w:r>
              <w:rPr>
                <w:rFonts w:ascii="Arial" w:eastAsia="SimSun" w:hAnsi="Arial" w:cs="Arial"/>
                <w:sz w:val="16"/>
                <w:szCs w:val="16"/>
                <w:lang w:eastAsia="zh-CN"/>
              </w:rPr>
              <w:noBreakHyphen/>
            </w:r>
            <w:r w:rsidRPr="00E106BD">
              <w:rPr>
                <w:rFonts w:ascii="Arial" w:eastAsia="SimSun" w:hAnsi="Arial" w:cs="Arial"/>
                <w:sz w:val="16"/>
                <w:szCs w:val="16"/>
                <w:lang w:eastAsia="zh-CN"/>
              </w:rPr>
              <w:t>1)</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Acromegaly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and</w:t>
            </w:r>
            <w:r w:rsidRPr="00E106BD">
              <w:rPr>
                <w:rFonts w:ascii="Arial" w:eastAsia="SimSun" w:hAnsi="Arial" w:cs="Arial"/>
                <w:sz w:val="16"/>
                <w:szCs w:val="16"/>
                <w:lang w:eastAsia="zh-CN"/>
              </w:rPr>
              <w:br/>
              <w:t>c) in a patient who has been previously treated with radiotherapy for this condition, the date of completion of radiotherapy must be provided; the date and result of GH or IGF</w:t>
            </w:r>
            <w:r>
              <w:rPr>
                <w:rFonts w:ascii="Arial" w:eastAsia="SimSun" w:hAnsi="Arial" w:cs="Arial"/>
                <w:sz w:val="16"/>
                <w:szCs w:val="16"/>
                <w:lang w:eastAsia="zh-CN"/>
              </w:rPr>
              <w:noBreakHyphen/>
            </w:r>
            <w:r w:rsidRPr="00E106BD">
              <w:rPr>
                <w:rFonts w:ascii="Arial" w:eastAsia="SimSun" w:hAnsi="Arial" w:cs="Arial"/>
                <w:sz w:val="16"/>
                <w:szCs w:val="16"/>
                <w:lang w:eastAsia="zh-CN"/>
              </w:rPr>
              <w:t>1 levels taken at the most recent two yearly assessment in the 10 years after completion of radiotherapy must be provided; and</w:t>
            </w:r>
            <w:r w:rsidRPr="00E106BD">
              <w:rPr>
                <w:rFonts w:ascii="Arial" w:eastAsia="SimSun" w:hAnsi="Arial" w:cs="Arial"/>
                <w:sz w:val="16"/>
                <w:szCs w:val="16"/>
                <w:lang w:eastAsia="zh-CN"/>
              </w:rPr>
              <w:br/>
              <w:t>d) a recent result of GH or IGF</w:t>
            </w:r>
            <w:r>
              <w:rPr>
                <w:rFonts w:ascii="Arial" w:eastAsia="SimSun" w:hAnsi="Arial" w:cs="Arial"/>
                <w:sz w:val="16"/>
                <w:szCs w:val="16"/>
                <w:lang w:eastAsia="zh-CN"/>
              </w:rPr>
              <w:noBreakHyphen/>
            </w:r>
            <w:r w:rsidRPr="00E106BD">
              <w:rPr>
                <w:rFonts w:ascii="Arial" w:eastAsia="SimSun" w:hAnsi="Arial" w:cs="Arial"/>
                <w:sz w:val="16"/>
                <w:szCs w:val="16"/>
                <w:lang w:eastAsia="zh-CN"/>
              </w:rPr>
              <w:t>1 levels must be provided.</w:t>
            </w:r>
          </w:p>
        </w:tc>
        <w:tc>
          <w:tcPr>
            <w:tcW w:w="2552" w:type="dxa"/>
            <w:tcMar>
              <w:top w:w="28" w:type="dxa"/>
              <w:left w:w="28" w:type="dxa"/>
              <w:right w:w="57" w:type="dxa"/>
            </w:tcMar>
          </w:tcPr>
          <w:p w:rsidR="00592D6B" w:rsidRPr="00E106BD" w:rsidDel="004B1F90" w:rsidRDefault="00592D6B"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592D6B" w:rsidRPr="00E106BD" w:rsidDel="00054366" w:rsidTr="008929EB">
        <w:tc>
          <w:tcPr>
            <w:tcW w:w="1729" w:type="dxa"/>
            <w:tcMar>
              <w:top w:w="28" w:type="dxa"/>
              <w:left w:w="28" w:type="dxa"/>
            </w:tcMar>
          </w:tcPr>
          <w:p w:rsidR="00592D6B" w:rsidRPr="00E106BD" w:rsidDel="00054366"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054366" w:rsidRDefault="00592D6B" w:rsidP="00881477">
            <w:pPr>
              <w:spacing w:line="240" w:lineRule="auto"/>
              <w:rPr>
                <w:rFonts w:ascii="Arial" w:hAnsi="Arial" w:cs="Arial"/>
                <w:sz w:val="16"/>
                <w:szCs w:val="16"/>
              </w:rPr>
            </w:pPr>
            <w:r w:rsidRPr="00E106BD">
              <w:rPr>
                <w:rFonts w:ascii="Arial" w:hAnsi="Arial" w:cs="Arial"/>
                <w:sz w:val="16"/>
                <w:szCs w:val="16"/>
              </w:rPr>
              <w:t>C9089</w:t>
            </w:r>
          </w:p>
        </w:tc>
        <w:tc>
          <w:tcPr>
            <w:tcW w:w="709" w:type="dxa"/>
            <w:tcMar>
              <w:top w:w="28" w:type="dxa"/>
              <w:left w:w="28" w:type="dxa"/>
            </w:tcMar>
          </w:tcPr>
          <w:p w:rsidR="00592D6B" w:rsidRPr="00E106BD" w:rsidDel="00054366"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Del="00054366" w:rsidRDefault="00592D6B" w:rsidP="00881477">
            <w:pPr>
              <w:pStyle w:val="mps3-data"/>
              <w:spacing w:before="0" w:after="0"/>
              <w:rPr>
                <w:szCs w:val="16"/>
              </w:rPr>
            </w:pPr>
            <w:r w:rsidRPr="00E106BD">
              <w:rPr>
                <w:szCs w:val="16"/>
              </w:rPr>
              <w:t>Acromegaly</w:t>
            </w:r>
            <w:r w:rsidRPr="00E106BD">
              <w:rPr>
                <w:szCs w:val="16"/>
              </w:rPr>
              <w:br/>
              <w:t>Continuing treatment</w:t>
            </w:r>
            <w:r w:rsidRPr="00E106BD">
              <w:rPr>
                <w:szCs w:val="16"/>
              </w:rPr>
              <w:br/>
              <w:t>Patient must have previously received PBS</w:t>
            </w:r>
            <w:r>
              <w:rPr>
                <w:szCs w:val="16"/>
              </w:rPr>
              <w:noBreakHyphen/>
            </w:r>
            <w:r w:rsidRPr="00E106BD">
              <w:rPr>
                <w:szCs w:val="16"/>
              </w:rPr>
              <w:t>subsidised treatment with this drug for this condition; AND</w:t>
            </w:r>
            <w:r w:rsidRPr="00E106BD">
              <w:rPr>
                <w:szCs w:val="16"/>
              </w:rPr>
              <w:br/>
              <w:t>The treatment must not be given concomitantly with PBS</w:t>
            </w:r>
            <w:r>
              <w:rPr>
                <w:szCs w:val="16"/>
              </w:rPr>
              <w:noBreakHyphen/>
            </w:r>
            <w:r w:rsidRPr="00E106BD">
              <w:rPr>
                <w:szCs w:val="16"/>
              </w:rPr>
              <w:t>subsidised pegvisomant.</w:t>
            </w:r>
            <w:r w:rsidRPr="00E106BD">
              <w:rPr>
                <w:szCs w:val="16"/>
              </w:rPr>
              <w:br/>
              <w:t>Patient must be aged 18 years or older.</w:t>
            </w:r>
            <w:r w:rsidRPr="00E106BD">
              <w:rPr>
                <w:szCs w:val="16"/>
              </w:rPr>
              <w:br/>
              <w:t>In a patient treated with radiotherapy, pasireotide should be withdrawn every 2 years in the 10 years after completion of radiotherapy for assessment of remission. Pasireotide should be withdrawn at least 8 weeks prior to the assessment of remission.</w:t>
            </w:r>
            <w:r w:rsidRPr="00E106BD">
              <w:rPr>
                <w:szCs w:val="16"/>
              </w:rPr>
              <w:br/>
              <w:t>Biochemical evidence of remission is defined as:</w:t>
            </w:r>
            <w:r w:rsidRPr="00E106BD">
              <w:rPr>
                <w:szCs w:val="16"/>
              </w:rPr>
              <w:br/>
              <w:t>1) Growth hormone (GH) levels of less than 1 mcg/L or 3 mlU/L; OR</w:t>
            </w:r>
            <w:r w:rsidRPr="00E106BD">
              <w:rPr>
                <w:szCs w:val="16"/>
              </w:rPr>
              <w:br/>
              <w:t>2) normalisation of sex</w:t>
            </w:r>
            <w:r>
              <w:rPr>
                <w:szCs w:val="16"/>
              </w:rPr>
              <w:noBreakHyphen/>
            </w:r>
            <w:r w:rsidRPr="00E106BD">
              <w:rPr>
                <w:szCs w:val="16"/>
              </w:rPr>
              <w:t xml:space="preserve"> and age</w:t>
            </w:r>
            <w:r>
              <w:rPr>
                <w:szCs w:val="16"/>
              </w:rPr>
              <w:noBreakHyphen/>
            </w:r>
            <w:r w:rsidRPr="00E106BD">
              <w:rPr>
                <w:szCs w:val="16"/>
              </w:rPr>
              <w:t xml:space="preserve"> adjusted insulin</w:t>
            </w:r>
            <w:r>
              <w:rPr>
                <w:szCs w:val="16"/>
              </w:rPr>
              <w:noBreakHyphen/>
            </w:r>
            <w:r w:rsidRPr="00E106BD">
              <w:rPr>
                <w:szCs w:val="16"/>
              </w:rPr>
              <w:t>like growth factor 1 (IGF</w:t>
            </w:r>
            <w:r>
              <w:rPr>
                <w:szCs w:val="16"/>
              </w:rPr>
              <w:noBreakHyphen/>
            </w:r>
            <w:r w:rsidRPr="00E106BD">
              <w:rPr>
                <w:szCs w:val="16"/>
              </w:rPr>
              <w:t>1)</w:t>
            </w:r>
            <w:r w:rsidRPr="00E106BD">
              <w:rPr>
                <w:szCs w:val="16"/>
              </w:rPr>
              <w:br/>
              <w:t>In a patient who has been previously treated with radiotherapy for this condition, the date of completion of radiotherapy and the GH and IGF</w:t>
            </w:r>
            <w:r>
              <w:rPr>
                <w:szCs w:val="16"/>
              </w:rPr>
              <w:noBreakHyphen/>
            </w:r>
            <w:r w:rsidRPr="00E106BD">
              <w:rPr>
                <w:szCs w:val="16"/>
              </w:rPr>
              <w:t>1 levels taken at the most recent two yearly assessment in the 10 years after completion of radiotherapy must be provided at the time of approval.</w:t>
            </w:r>
          </w:p>
        </w:tc>
        <w:tc>
          <w:tcPr>
            <w:tcW w:w="2552" w:type="dxa"/>
            <w:tcMar>
              <w:top w:w="28" w:type="dxa"/>
              <w:left w:w="28" w:type="dxa"/>
              <w:right w:w="57" w:type="dxa"/>
            </w:tcMar>
          </w:tcPr>
          <w:p w:rsidR="00592D6B" w:rsidRPr="00E106BD" w:rsidDel="00054366" w:rsidRDefault="00592D6B" w:rsidP="00F637F0">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592D6B" w:rsidRPr="00E106BD" w:rsidDel="004B1F90" w:rsidTr="008929EB">
        <w:tc>
          <w:tcPr>
            <w:tcW w:w="1729" w:type="dxa"/>
            <w:tcMar>
              <w:top w:w="28" w:type="dxa"/>
              <w:left w:w="28" w:type="dxa"/>
            </w:tcMar>
          </w:tcPr>
          <w:p w:rsidR="00592D6B" w:rsidRPr="00E106BD" w:rsidDel="004B1F90" w:rsidRDefault="00592D6B" w:rsidP="00881477">
            <w:pPr>
              <w:spacing w:line="240" w:lineRule="auto"/>
              <w:rPr>
                <w:rFonts w:ascii="Arial" w:eastAsia="SimSun" w:hAnsi="Arial" w:cs="Arial"/>
                <w:sz w:val="16"/>
                <w:szCs w:val="16"/>
                <w:lang w:eastAsia="zh-CN"/>
              </w:rPr>
            </w:pPr>
            <w:r w:rsidRPr="00E106BD">
              <w:rPr>
                <w:rFonts w:ascii="Arial" w:hAnsi="Arial" w:cs="Arial"/>
                <w:sz w:val="16"/>
                <w:szCs w:val="16"/>
              </w:rPr>
              <w:t>Pegfilgrastim</w:t>
            </w: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C7822</w:t>
            </w:r>
          </w:p>
        </w:tc>
        <w:tc>
          <w:tcPr>
            <w:tcW w:w="709" w:type="dxa"/>
            <w:tcMar>
              <w:top w:w="28" w:type="dxa"/>
              <w:left w:w="28" w:type="dxa"/>
            </w:tcMar>
          </w:tcPr>
          <w:p w:rsidR="00592D6B" w:rsidRPr="00E106BD" w:rsidDel="004B1F90"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Chemotherapy</w:t>
            </w:r>
            <w:r>
              <w:rPr>
                <w:rFonts w:ascii="Arial" w:eastAsia="Times New Roman" w:hAnsi="Arial" w:cs="Arial"/>
                <w:sz w:val="16"/>
                <w:szCs w:val="16"/>
              </w:rPr>
              <w:noBreakHyphen/>
            </w:r>
            <w:r w:rsidRPr="00E106BD">
              <w:rPr>
                <w:rFonts w:ascii="Arial" w:eastAsia="Times New Roman" w:hAnsi="Arial" w:cs="Arial"/>
                <w:sz w:val="16"/>
                <w:szCs w:val="16"/>
              </w:rPr>
              <w:t>induced neutropenia</w:t>
            </w:r>
          </w:p>
          <w:p w:rsidR="00592D6B" w:rsidRPr="00E106BD" w:rsidRDefault="00592D6B" w:rsidP="00881477">
            <w:pPr>
              <w:pStyle w:val="mps3-data"/>
              <w:spacing w:before="0" w:after="0"/>
              <w:rPr>
                <w:szCs w:val="16"/>
              </w:rPr>
            </w:pPr>
            <w:r w:rsidRPr="00E106BD">
              <w:rPr>
                <w:rFonts w:eastAsia="Times New Roman"/>
                <w:szCs w:val="16"/>
                <w:lang w:eastAsia="en-US"/>
              </w:rPr>
              <w:t>Patient must be receiving chemotherapy with the intention of achieving a cure or a substantial remission; AND</w:t>
            </w:r>
            <w:r w:rsidRPr="00E106BD">
              <w:rPr>
                <w:rFonts w:eastAsia="Times New Roman"/>
                <w:szCs w:val="16"/>
                <w:lang w:eastAsia="en-US"/>
              </w:rPr>
              <w:br/>
              <w:t>Patient must be at greater than 20% risk of developing febrile neutropenia; OR</w:t>
            </w:r>
            <w:r w:rsidRPr="00E106BD">
              <w:rPr>
                <w:rFonts w:eastAsia="Times New Roman"/>
                <w:szCs w:val="16"/>
                <w:lang w:eastAsia="en-US"/>
              </w:rPr>
              <w:br/>
              <w:t>Patient must be at substantial risk (greater than 20%) of prolonged severe neutropenia for more than or equal to seven days.</w:t>
            </w:r>
          </w:p>
        </w:tc>
        <w:tc>
          <w:tcPr>
            <w:tcW w:w="2552" w:type="dxa"/>
            <w:tcMar>
              <w:top w:w="28" w:type="dxa"/>
              <w:left w:w="28" w:type="dxa"/>
              <w:right w:w="57" w:type="dxa"/>
            </w:tcMar>
          </w:tcPr>
          <w:p w:rsidR="00592D6B" w:rsidRPr="00E106BD" w:rsidRDefault="00592D6B" w:rsidP="00F637F0">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7822</w:t>
            </w:r>
          </w:p>
        </w:tc>
      </w:tr>
      <w:tr w:rsidR="00592D6B" w:rsidRPr="00E106BD" w:rsidDel="004B1F90" w:rsidTr="008929EB">
        <w:tc>
          <w:tcPr>
            <w:tcW w:w="1729" w:type="dxa"/>
            <w:tcMar>
              <w:top w:w="28" w:type="dxa"/>
              <w:left w:w="28" w:type="dxa"/>
            </w:tcMar>
          </w:tcPr>
          <w:p w:rsidR="00592D6B" w:rsidRPr="00E106BD" w:rsidDel="004B1F90"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RDefault="00592D6B" w:rsidP="00881477">
            <w:pPr>
              <w:spacing w:line="240" w:lineRule="auto"/>
              <w:rPr>
                <w:rFonts w:ascii="Arial" w:hAnsi="Arial" w:cs="Arial"/>
                <w:sz w:val="16"/>
                <w:szCs w:val="16"/>
              </w:rPr>
            </w:pPr>
            <w:r w:rsidRPr="00E106BD">
              <w:rPr>
                <w:rFonts w:ascii="Arial" w:hAnsi="Arial" w:cs="Arial"/>
                <w:sz w:val="16"/>
                <w:szCs w:val="16"/>
              </w:rPr>
              <w:t>C7843</w:t>
            </w:r>
          </w:p>
        </w:tc>
        <w:tc>
          <w:tcPr>
            <w:tcW w:w="709" w:type="dxa"/>
            <w:tcMar>
              <w:top w:w="28" w:type="dxa"/>
              <w:left w:w="28" w:type="dxa"/>
            </w:tcMar>
          </w:tcPr>
          <w:p w:rsidR="00592D6B" w:rsidRPr="00E106BD" w:rsidDel="004B1F90"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RDefault="00592D6B"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Chemotherapy</w:t>
            </w:r>
            <w:r>
              <w:rPr>
                <w:rFonts w:ascii="Arial" w:eastAsia="Times New Roman" w:hAnsi="Arial" w:cs="Arial"/>
                <w:sz w:val="16"/>
                <w:szCs w:val="16"/>
              </w:rPr>
              <w:noBreakHyphen/>
            </w:r>
            <w:r w:rsidRPr="00E106BD">
              <w:rPr>
                <w:rFonts w:ascii="Arial" w:eastAsia="Times New Roman" w:hAnsi="Arial" w:cs="Arial"/>
                <w:sz w:val="16"/>
                <w:szCs w:val="16"/>
              </w:rPr>
              <w:t>induced neutropenia</w:t>
            </w:r>
          </w:p>
          <w:p w:rsidR="00592D6B" w:rsidRPr="00E106BD" w:rsidRDefault="00592D6B" w:rsidP="00881477">
            <w:pPr>
              <w:pStyle w:val="mps3-data"/>
              <w:spacing w:before="0" w:after="0"/>
              <w:rPr>
                <w:szCs w:val="16"/>
              </w:rPr>
            </w:pPr>
            <w:r w:rsidRPr="00E106BD">
              <w:rPr>
                <w:rFonts w:eastAsia="Times New Roman"/>
                <w:szCs w:val="16"/>
                <w:lang w:eastAsia="en-US"/>
              </w:rPr>
              <w:t>Patient must be receiving chemotherapy with the intention of achieving a cure or a substantial remission; AND</w:t>
            </w:r>
            <w:r w:rsidRPr="00E106BD">
              <w:rPr>
                <w:rFonts w:eastAsia="Times New Roman"/>
                <w:szCs w:val="16"/>
                <w:lang w:eastAsia="en-US"/>
              </w:rPr>
              <w:br/>
              <w:t>Patient must have had a prior episode of febrile neutropenia; OR</w:t>
            </w:r>
            <w:r w:rsidRPr="00E106BD">
              <w:rPr>
                <w:rFonts w:eastAsia="Times New Roman"/>
                <w:szCs w:val="16"/>
                <w:lang w:eastAsia="en-US"/>
              </w:rPr>
              <w:br/>
              <w:t>Patient must have had a prior episode of prolonged severe neutropenia for more than or equal to seven days.</w:t>
            </w:r>
          </w:p>
        </w:tc>
        <w:tc>
          <w:tcPr>
            <w:tcW w:w="2552" w:type="dxa"/>
            <w:tcMar>
              <w:top w:w="28" w:type="dxa"/>
              <w:left w:w="28" w:type="dxa"/>
              <w:right w:w="57" w:type="dxa"/>
            </w:tcMar>
          </w:tcPr>
          <w:p w:rsidR="00592D6B" w:rsidRPr="00E106BD" w:rsidRDefault="00592D6B" w:rsidP="00F637F0">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7843</w:t>
            </w:r>
          </w:p>
        </w:tc>
      </w:tr>
      <w:tr w:rsidR="00592D6B" w:rsidRPr="00E106BD" w:rsidDel="00B91391" w:rsidTr="008929EB">
        <w:tc>
          <w:tcPr>
            <w:tcW w:w="1729" w:type="dxa"/>
            <w:tcMar>
              <w:top w:w="28" w:type="dxa"/>
              <w:left w:w="28" w:type="dxa"/>
            </w:tcMar>
          </w:tcPr>
          <w:p w:rsidR="00592D6B" w:rsidRPr="00E106BD" w:rsidDel="00B91391"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B91391" w:rsidRDefault="00592D6B" w:rsidP="00881477">
            <w:pPr>
              <w:spacing w:line="240" w:lineRule="auto"/>
              <w:rPr>
                <w:rFonts w:ascii="Arial" w:hAnsi="Arial" w:cs="Arial"/>
                <w:sz w:val="16"/>
                <w:szCs w:val="16"/>
              </w:rPr>
            </w:pPr>
            <w:r w:rsidRPr="00E106BD">
              <w:rPr>
                <w:rFonts w:ascii="Arial" w:hAnsi="Arial" w:cs="Arial"/>
                <w:sz w:val="16"/>
                <w:szCs w:val="16"/>
              </w:rPr>
              <w:t>C9235</w:t>
            </w:r>
          </w:p>
        </w:tc>
        <w:tc>
          <w:tcPr>
            <w:tcW w:w="709" w:type="dxa"/>
            <w:tcMar>
              <w:top w:w="28" w:type="dxa"/>
              <w:left w:w="28" w:type="dxa"/>
            </w:tcMar>
          </w:tcPr>
          <w:p w:rsidR="00592D6B" w:rsidRPr="00E106BD" w:rsidDel="00B91391"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Del="00B91391" w:rsidRDefault="00592D6B" w:rsidP="00881477">
            <w:pPr>
              <w:spacing w:after="60" w:line="240" w:lineRule="auto"/>
              <w:rPr>
                <w:rFonts w:ascii="Arial" w:eastAsia="Times New Roman"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szCs w:val="16"/>
              </w:rPr>
              <w:br/>
            </w:r>
            <w:r w:rsidRPr="00E106BD">
              <w:rPr>
                <w:rFonts w:ascii="Arial" w:hAnsi="Arial" w:cs="Arial"/>
                <w:sz w:val="16"/>
                <w:szCs w:val="16"/>
              </w:rPr>
              <w:t>Patient must be receiving chemotherapy with the intention of achieving a cure or a substantial remission; AND</w:t>
            </w:r>
            <w:r w:rsidRPr="00E106BD">
              <w:rPr>
                <w:szCs w:val="16"/>
              </w:rPr>
              <w:br/>
            </w:r>
            <w:r w:rsidRPr="00E106BD">
              <w:rPr>
                <w:rFonts w:ascii="Arial" w:hAnsi="Arial" w:cs="Arial"/>
                <w:sz w:val="16"/>
                <w:szCs w:val="16"/>
              </w:rPr>
              <w:t>Patient must be at greater than 20% risk of developing febrile neutropenia; OR</w:t>
            </w:r>
            <w:r w:rsidRPr="00E106BD">
              <w:rPr>
                <w:szCs w:val="16"/>
              </w:rPr>
              <w:br/>
            </w:r>
            <w:r w:rsidRPr="00E106BD">
              <w:rPr>
                <w:rFonts w:ascii="Arial" w:hAnsi="Arial" w:cs="Arial"/>
                <w:sz w:val="16"/>
                <w:szCs w:val="16"/>
              </w:rPr>
              <w:t>Patient must be at substantial risk (greater than 20%) of prolonged severe neutropenia for more than or equal to seven days.</w:t>
            </w:r>
          </w:p>
        </w:tc>
        <w:tc>
          <w:tcPr>
            <w:tcW w:w="2552" w:type="dxa"/>
            <w:tcMar>
              <w:top w:w="28" w:type="dxa"/>
              <w:left w:w="28" w:type="dxa"/>
              <w:right w:w="57" w:type="dxa"/>
            </w:tcMar>
          </w:tcPr>
          <w:p w:rsidR="00592D6B" w:rsidRPr="00E106BD" w:rsidDel="00B91391" w:rsidRDefault="00592D6B" w:rsidP="00F637F0">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9235</w:t>
            </w:r>
          </w:p>
        </w:tc>
      </w:tr>
      <w:tr w:rsidR="00592D6B" w:rsidRPr="00E106BD" w:rsidDel="00B91391" w:rsidTr="008929EB">
        <w:tc>
          <w:tcPr>
            <w:tcW w:w="1729" w:type="dxa"/>
            <w:tcMar>
              <w:top w:w="28" w:type="dxa"/>
              <w:left w:w="28" w:type="dxa"/>
            </w:tcMar>
          </w:tcPr>
          <w:p w:rsidR="00592D6B" w:rsidRPr="00E106BD" w:rsidDel="00B91391" w:rsidRDefault="00592D6B" w:rsidP="00881477">
            <w:pPr>
              <w:spacing w:line="240" w:lineRule="auto"/>
              <w:rPr>
                <w:rFonts w:ascii="Arial" w:eastAsia="SimSun" w:hAnsi="Arial" w:cs="Arial"/>
                <w:sz w:val="16"/>
                <w:szCs w:val="16"/>
                <w:lang w:eastAsia="zh-CN"/>
              </w:rPr>
            </w:pPr>
          </w:p>
        </w:tc>
        <w:tc>
          <w:tcPr>
            <w:tcW w:w="709" w:type="dxa"/>
            <w:tcMar>
              <w:top w:w="28" w:type="dxa"/>
              <w:left w:w="28" w:type="dxa"/>
            </w:tcMar>
          </w:tcPr>
          <w:p w:rsidR="00592D6B" w:rsidRPr="00E106BD" w:rsidDel="00B91391" w:rsidRDefault="00592D6B" w:rsidP="00881477">
            <w:pPr>
              <w:spacing w:line="240" w:lineRule="auto"/>
              <w:rPr>
                <w:rFonts w:ascii="Arial" w:hAnsi="Arial" w:cs="Arial"/>
                <w:sz w:val="16"/>
                <w:szCs w:val="16"/>
              </w:rPr>
            </w:pPr>
            <w:r w:rsidRPr="00E106BD">
              <w:rPr>
                <w:rFonts w:ascii="Arial" w:hAnsi="Arial" w:cs="Arial"/>
                <w:sz w:val="16"/>
                <w:szCs w:val="16"/>
              </w:rPr>
              <w:t>C9303</w:t>
            </w:r>
          </w:p>
        </w:tc>
        <w:tc>
          <w:tcPr>
            <w:tcW w:w="709" w:type="dxa"/>
            <w:tcMar>
              <w:top w:w="28" w:type="dxa"/>
              <w:left w:w="28" w:type="dxa"/>
            </w:tcMar>
          </w:tcPr>
          <w:p w:rsidR="00592D6B" w:rsidRPr="00E106BD" w:rsidDel="00B91391" w:rsidRDefault="00592D6B" w:rsidP="00881477">
            <w:pPr>
              <w:spacing w:line="240" w:lineRule="auto"/>
              <w:rPr>
                <w:rFonts w:ascii="Arial" w:eastAsia="SimSun" w:hAnsi="Arial" w:cs="Arial"/>
                <w:sz w:val="16"/>
                <w:szCs w:val="16"/>
                <w:lang w:eastAsia="zh-CN"/>
              </w:rPr>
            </w:pPr>
          </w:p>
        </w:tc>
        <w:tc>
          <w:tcPr>
            <w:tcW w:w="7654" w:type="dxa"/>
            <w:tcMar>
              <w:top w:w="28" w:type="dxa"/>
              <w:left w:w="28" w:type="dxa"/>
            </w:tcMar>
          </w:tcPr>
          <w:p w:rsidR="00592D6B" w:rsidRPr="00E106BD" w:rsidDel="00B91391" w:rsidRDefault="00592D6B" w:rsidP="00881477">
            <w:pPr>
              <w:spacing w:after="60" w:line="240" w:lineRule="auto"/>
              <w:rPr>
                <w:rFonts w:ascii="Arial" w:eastAsia="Times New Roman"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szCs w:val="16"/>
              </w:rPr>
              <w:br/>
            </w:r>
            <w:r w:rsidRPr="00E106BD">
              <w:rPr>
                <w:rFonts w:ascii="Arial" w:hAnsi="Arial" w:cs="Arial"/>
                <w:sz w:val="16"/>
                <w:szCs w:val="16"/>
              </w:rPr>
              <w:t>Patient must be receiving chemotherapy with the intention of achieving a cure or a substantial remission; AND</w:t>
            </w:r>
            <w:r w:rsidRPr="00E106BD">
              <w:rPr>
                <w:szCs w:val="16"/>
              </w:rPr>
              <w:br/>
            </w:r>
            <w:r w:rsidRPr="00E106BD">
              <w:rPr>
                <w:rFonts w:ascii="Arial" w:hAnsi="Arial" w:cs="Arial"/>
                <w:sz w:val="16"/>
                <w:szCs w:val="16"/>
              </w:rPr>
              <w:t>Patient must have had a prior episode of febrile neutropenia; OR</w:t>
            </w:r>
            <w:r w:rsidRPr="00E106BD">
              <w:rPr>
                <w:szCs w:val="16"/>
              </w:rPr>
              <w:br/>
            </w:r>
            <w:r w:rsidRPr="00E106BD">
              <w:rPr>
                <w:rFonts w:ascii="Arial" w:hAnsi="Arial" w:cs="Arial"/>
                <w:sz w:val="16"/>
                <w:szCs w:val="16"/>
              </w:rPr>
              <w:t>Patient must have had a prior episode of prolonged severe neutropenia for more than or equal to seven days.</w:t>
            </w:r>
          </w:p>
        </w:tc>
        <w:tc>
          <w:tcPr>
            <w:tcW w:w="2552" w:type="dxa"/>
            <w:tcMar>
              <w:top w:w="28" w:type="dxa"/>
              <w:left w:w="28" w:type="dxa"/>
              <w:right w:w="57" w:type="dxa"/>
            </w:tcMar>
          </w:tcPr>
          <w:p w:rsidR="00592D6B" w:rsidRPr="00E106BD" w:rsidDel="00B91391" w:rsidRDefault="00592D6B" w:rsidP="00F637F0">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9303</w:t>
            </w:r>
          </w:p>
        </w:tc>
      </w:tr>
      <w:tr w:rsidR="00BD18B1" w:rsidRPr="00E106BD" w:rsidTr="008929EB">
        <w:tblPrEx>
          <w:tblLook w:val="01E0" w:firstRow="1" w:lastRow="1" w:firstColumn="1" w:lastColumn="1" w:noHBand="0" w:noVBand="0"/>
        </w:tblPrEx>
        <w:tc>
          <w:tcPr>
            <w:tcW w:w="1729"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bookmarkStart w:id="211" w:name="CU_425690122"/>
            <w:bookmarkStart w:id="212" w:name="CU_433692579"/>
            <w:bookmarkStart w:id="213" w:name="CU_439696226"/>
            <w:bookmarkStart w:id="214" w:name="CU_446699235"/>
            <w:bookmarkStart w:id="215" w:name="CU_451700951"/>
            <w:bookmarkStart w:id="216" w:name="CU_455704412"/>
            <w:bookmarkEnd w:id="211"/>
            <w:bookmarkEnd w:id="212"/>
            <w:bookmarkEnd w:id="213"/>
            <w:bookmarkEnd w:id="214"/>
            <w:bookmarkEnd w:id="215"/>
            <w:bookmarkEnd w:id="216"/>
            <w:r w:rsidRPr="00E106BD">
              <w:rPr>
                <w:rFonts w:ascii="Arial" w:eastAsia="SimSun" w:hAnsi="Arial" w:cs="Arial"/>
                <w:sz w:val="16"/>
                <w:szCs w:val="16"/>
                <w:lang w:eastAsia="zh-CN"/>
              </w:rPr>
              <w:t xml:space="preserve">Peginterferon </w:t>
            </w:r>
            <w:r w:rsidRPr="00E106BD">
              <w:rPr>
                <w:rFonts w:ascii="Arial" w:eastAsia="SimSun" w:hAnsi="Arial" w:cs="Arial"/>
                <w:sz w:val="16"/>
                <w:szCs w:val="16"/>
                <w:lang w:eastAsia="zh-CN"/>
              </w:rPr>
              <w:br/>
              <w:t>alfa</w:t>
            </w:r>
            <w:r>
              <w:rPr>
                <w:rFonts w:ascii="Arial" w:eastAsia="SimSun" w:hAnsi="Arial" w:cs="Arial"/>
                <w:sz w:val="16"/>
                <w:szCs w:val="16"/>
                <w:lang w:eastAsia="zh-CN"/>
              </w:rPr>
              <w:noBreakHyphen/>
            </w:r>
            <w:r w:rsidRPr="00E106BD">
              <w:rPr>
                <w:rFonts w:ascii="Arial" w:eastAsia="SimSun" w:hAnsi="Arial" w:cs="Arial"/>
                <w:sz w:val="16"/>
                <w:szCs w:val="16"/>
                <w:lang w:eastAsia="zh-CN"/>
              </w:rPr>
              <w:t>2a</w:t>
            </w:r>
          </w:p>
        </w:tc>
        <w:tc>
          <w:tcPr>
            <w:tcW w:w="709" w:type="dxa"/>
            <w:tcMar>
              <w:top w:w="28" w:type="dxa"/>
              <w:left w:w="28" w:type="dxa"/>
            </w:tcMar>
          </w:tcPr>
          <w:p w:rsidR="00BD18B1" w:rsidRPr="00553514" w:rsidRDefault="00BD18B1" w:rsidP="00881477">
            <w:pPr>
              <w:spacing w:line="240" w:lineRule="auto"/>
              <w:rPr>
                <w:rFonts w:ascii="Arial" w:eastAsia="SimSun" w:hAnsi="Arial" w:cs="Arial"/>
                <w:sz w:val="16"/>
                <w:szCs w:val="16"/>
                <w:lang w:eastAsia="zh-CN"/>
              </w:rPr>
            </w:pPr>
            <w:r w:rsidRPr="00913CDF">
              <w:rPr>
                <w:rFonts w:ascii="Arial" w:hAnsi="Arial" w:cs="Arial"/>
                <w:sz w:val="16"/>
                <w:szCs w:val="16"/>
              </w:rPr>
              <w:t>C5004</w:t>
            </w:r>
          </w:p>
        </w:tc>
        <w:tc>
          <w:tcPr>
            <w:tcW w:w="709" w:type="dxa"/>
            <w:tcMar>
              <w:top w:w="28" w:type="dxa"/>
              <w:left w:w="28" w:type="dxa"/>
            </w:tcMar>
          </w:tcPr>
          <w:p w:rsidR="00BD18B1" w:rsidRPr="00913CDF" w:rsidRDefault="00BD18B1" w:rsidP="00881477">
            <w:pPr>
              <w:spacing w:line="240" w:lineRule="auto"/>
              <w:rPr>
                <w:rFonts w:ascii="Arial" w:hAnsi="Arial" w:cs="Arial"/>
                <w:sz w:val="16"/>
                <w:szCs w:val="16"/>
              </w:rPr>
            </w:pPr>
          </w:p>
        </w:tc>
        <w:tc>
          <w:tcPr>
            <w:tcW w:w="7654" w:type="dxa"/>
            <w:tcMar>
              <w:top w:w="28" w:type="dxa"/>
              <w:left w:w="28" w:type="dxa"/>
            </w:tcMar>
          </w:tcPr>
          <w:p w:rsidR="00BD18B1" w:rsidRPr="00553514" w:rsidRDefault="00BD18B1" w:rsidP="00881477">
            <w:pPr>
              <w:spacing w:line="240" w:lineRule="auto"/>
              <w:rPr>
                <w:rFonts w:ascii="Arial" w:eastAsia="SimSun" w:hAnsi="Arial" w:cs="Arial"/>
                <w:sz w:val="16"/>
                <w:szCs w:val="16"/>
                <w:lang w:eastAsia="zh-CN"/>
              </w:rPr>
            </w:pPr>
            <w:r w:rsidRPr="00913CDF">
              <w:rPr>
                <w:rFonts w:ascii="Arial" w:hAnsi="Arial" w:cs="Arial"/>
                <w:sz w:val="16"/>
                <w:szCs w:val="16"/>
              </w:rPr>
              <w:t>Chronic hepatitis C infection</w:t>
            </w:r>
            <w:r w:rsidRPr="00913CDF">
              <w:rPr>
                <w:rFonts w:ascii="Arial" w:hAnsi="Arial" w:cs="Arial"/>
                <w:sz w:val="16"/>
                <w:szCs w:val="16"/>
              </w:rPr>
              <w:br/>
              <w:t>Must be treated in an accredited treatment centre.</w:t>
            </w:r>
            <w:r w:rsidRPr="00913CDF">
              <w:rPr>
                <w:rFonts w:ascii="Arial" w:hAnsi="Arial" w:cs="Arial"/>
                <w:sz w:val="16"/>
                <w:szCs w:val="16"/>
              </w:rPr>
              <w:br/>
              <w:t>Patient must be aged 18 years or older; AND</w:t>
            </w:r>
            <w:r w:rsidRPr="00913CDF">
              <w:rPr>
                <w:rFonts w:ascii="Arial" w:hAnsi="Arial" w:cs="Arial"/>
                <w:sz w:val="16"/>
                <w:szCs w:val="16"/>
              </w:rPr>
              <w:br/>
              <w:t>Patient must not be pregnant or breastfeeding, and must be using an effective form of contraception if female and of child-bearing age.</w:t>
            </w:r>
            <w:r w:rsidRPr="00913CDF">
              <w:rPr>
                <w:rFonts w:ascii="Arial" w:hAnsi="Arial" w:cs="Arial"/>
                <w:sz w:val="16"/>
                <w:szCs w:val="16"/>
              </w:rPr>
              <w:br/>
              <w:t>Patient must have compensated liver disease; AND</w:t>
            </w:r>
            <w:r w:rsidRPr="00913CDF">
              <w:rPr>
                <w:rFonts w:ascii="Arial" w:hAnsi="Arial" w:cs="Arial"/>
                <w:sz w:val="16"/>
                <w:szCs w:val="16"/>
              </w:rPr>
              <w:br/>
              <w:t>Patient must not have received prior interferon alfa or peginterferon alfa treatment for hepatitis C; AND</w:t>
            </w:r>
            <w:r w:rsidRPr="00913CDF">
              <w:rPr>
                <w:rFonts w:ascii="Arial" w:hAnsi="Arial" w:cs="Arial"/>
                <w:sz w:val="16"/>
                <w:szCs w:val="16"/>
              </w:rPr>
              <w:br/>
              <w:t>Patient must have a contraindication to ribavirin; AND</w:t>
            </w:r>
            <w:r w:rsidRPr="00913CDF">
              <w:rPr>
                <w:rFonts w:ascii="Arial" w:hAnsi="Arial" w:cs="Arial"/>
                <w:sz w:val="16"/>
                <w:szCs w:val="16"/>
              </w:rPr>
              <w:br/>
              <w:t>The treatment must cease unless the results of an HCV RNA quantitative assay at week 12 (performed at the same laboratory using the same test) show that plasma HCV RNA has become undetectable or the viral load has decreased by at least a 2 log drop; AND</w:t>
            </w:r>
            <w:r w:rsidRPr="00913CDF">
              <w:rPr>
                <w:rFonts w:ascii="Arial" w:hAnsi="Arial" w:cs="Arial"/>
                <w:sz w:val="16"/>
                <w:szCs w:val="16"/>
              </w:rPr>
              <w:br/>
              <w:t>The treatment must be limited to a maximum duration of 48 weeks.</w:t>
            </w:r>
            <w:r w:rsidRPr="00913CDF">
              <w:rPr>
                <w:rFonts w:ascii="Arial" w:hAnsi="Arial" w:cs="Arial"/>
                <w:sz w:val="16"/>
                <w:szCs w:val="16"/>
              </w:rPr>
              <w:br/>
              <w:t>Evidence of chronic hepatitis C infection (repeatedly anti-HCV positive and HCV RNA positive) must be documented in the patient</w:t>
            </w:r>
            <w:r w:rsidR="00A653CA">
              <w:rPr>
                <w:rFonts w:ascii="Arial" w:hAnsi="Arial" w:cs="Arial"/>
                <w:sz w:val="16"/>
                <w:szCs w:val="16"/>
              </w:rPr>
              <w:t>’</w:t>
            </w:r>
            <w:r w:rsidRPr="00913CDF">
              <w:rPr>
                <w:rFonts w:ascii="Arial" w:hAnsi="Arial" w:cs="Arial"/>
                <w:sz w:val="16"/>
                <w:szCs w:val="16"/>
              </w:rPr>
              <w:t>s medical records.</w:t>
            </w:r>
          </w:p>
        </w:tc>
        <w:tc>
          <w:tcPr>
            <w:tcW w:w="2552" w:type="dxa"/>
            <w:tcMar>
              <w:top w:w="28" w:type="dxa"/>
              <w:left w:w="28" w:type="dxa"/>
              <w:right w:w="57" w:type="dxa"/>
            </w:tcMar>
          </w:tcPr>
          <w:p w:rsidR="00BD18B1" w:rsidRPr="00553514" w:rsidRDefault="00BD18B1" w:rsidP="00F637F0">
            <w:pPr>
              <w:keepNext/>
              <w:spacing w:line="240" w:lineRule="auto"/>
              <w:rPr>
                <w:rFonts w:ascii="Arial" w:eastAsia="SimSun" w:hAnsi="Arial" w:cs="Arial"/>
                <w:sz w:val="16"/>
                <w:szCs w:val="16"/>
                <w:lang w:eastAsia="zh-CN"/>
              </w:rPr>
            </w:pPr>
            <w:r w:rsidRPr="00913CDF">
              <w:rPr>
                <w:rFonts w:ascii="Arial" w:hAnsi="Arial" w:cs="Arial"/>
                <w:sz w:val="16"/>
                <w:szCs w:val="16"/>
              </w:rPr>
              <w:t>Compliance with Authority Required procedures - Streamlined Authority Code 5004</w:t>
            </w:r>
          </w:p>
        </w:tc>
      </w:tr>
      <w:tr w:rsidR="00BD18B1" w:rsidRPr="00E106BD" w:rsidDel="00407C96" w:rsidTr="008929EB">
        <w:tc>
          <w:tcPr>
            <w:tcW w:w="1729" w:type="dxa"/>
            <w:tcMar>
              <w:top w:w="28" w:type="dxa"/>
              <w:left w:w="28" w:type="dxa"/>
            </w:tcMar>
          </w:tcPr>
          <w:p w:rsidR="00BD18B1" w:rsidRPr="00E106BD" w:rsidDel="00407C96" w:rsidRDefault="00BD18B1" w:rsidP="00881477">
            <w:pPr>
              <w:spacing w:line="240" w:lineRule="auto"/>
              <w:rPr>
                <w:rFonts w:ascii="Arial" w:eastAsia="SimSun" w:hAnsi="Arial" w:cs="Arial"/>
                <w:sz w:val="16"/>
                <w:szCs w:val="16"/>
                <w:lang w:eastAsia="zh-CN"/>
              </w:rPr>
            </w:pPr>
          </w:p>
        </w:tc>
        <w:tc>
          <w:tcPr>
            <w:tcW w:w="709"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C9603</w:t>
            </w:r>
          </w:p>
        </w:tc>
        <w:tc>
          <w:tcPr>
            <w:tcW w:w="709"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p>
        </w:tc>
        <w:tc>
          <w:tcPr>
            <w:tcW w:w="7654"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Must be treated in an accredited treatment centre.</w:t>
            </w:r>
            <w:r w:rsidRPr="00E106BD">
              <w:rPr>
                <w:rFonts w:ascii="Arial" w:eastAsia="SimSun" w:hAnsi="Arial" w:cs="Arial"/>
                <w:sz w:val="16"/>
                <w:szCs w:val="16"/>
                <w:lang w:eastAsia="zh-CN"/>
              </w:rPr>
              <w:br/>
              <w:t>Patient must be aged 18 years or older; AND</w:t>
            </w:r>
            <w:r w:rsidRPr="00E106BD">
              <w:rPr>
                <w:rFonts w:ascii="Arial" w:eastAsia="SimSun" w:hAnsi="Arial" w:cs="Arial"/>
                <w:sz w:val="16"/>
                <w:szCs w:val="16"/>
                <w:lang w:eastAsia="zh-CN"/>
              </w:rPr>
              <w:br/>
              <w:t>Patient must not be pregnant or breastfeeding, and must be using an effective form of contraception if female and of child</w:t>
            </w:r>
            <w:r>
              <w:rPr>
                <w:rFonts w:ascii="Arial" w:eastAsia="SimSun" w:hAnsi="Arial" w:cs="Arial"/>
                <w:sz w:val="16"/>
                <w:szCs w:val="16"/>
                <w:lang w:eastAsia="zh-CN"/>
              </w:rPr>
              <w:noBreakHyphen/>
            </w:r>
            <w:r w:rsidRPr="00E106BD">
              <w:rPr>
                <w:rFonts w:ascii="Arial" w:eastAsia="SimSun" w:hAnsi="Arial" w:cs="Arial"/>
                <w:sz w:val="16"/>
                <w:szCs w:val="16"/>
                <w:lang w:eastAsia="zh-CN"/>
              </w:rPr>
              <w:t>bearing age.</w:t>
            </w:r>
            <w:r w:rsidRPr="00E106BD">
              <w:rPr>
                <w:rFonts w:ascii="Arial" w:eastAsia="SimSun" w:hAnsi="Arial" w:cs="Arial"/>
                <w:sz w:val="16"/>
                <w:szCs w:val="16"/>
                <w:lang w:eastAsia="zh-CN"/>
              </w:rPr>
              <w:br/>
              <w:t>Patient must have compensated liver disease; AND</w:t>
            </w:r>
            <w:r w:rsidRPr="00E106BD">
              <w:rPr>
                <w:rFonts w:ascii="Arial" w:eastAsia="SimSun" w:hAnsi="Arial" w:cs="Arial"/>
                <w:sz w:val="16"/>
                <w:szCs w:val="16"/>
                <w:lang w:eastAsia="zh-CN"/>
              </w:rPr>
              <w:br/>
              <w:t>Patient must not have received prior interferon alfa or peginterferon alfa treatment for hepatitis C; AND</w:t>
            </w:r>
            <w:r w:rsidRPr="00E106BD">
              <w:rPr>
                <w:rFonts w:ascii="Arial" w:eastAsia="SimSun" w:hAnsi="Arial" w:cs="Arial"/>
                <w:sz w:val="16"/>
                <w:szCs w:val="16"/>
                <w:lang w:eastAsia="zh-CN"/>
              </w:rPr>
              <w:br/>
              <w:t>Patient must have a contraindication to ribavirin; AND</w:t>
            </w:r>
            <w:r w:rsidRPr="00E106BD">
              <w:rPr>
                <w:rFonts w:ascii="Arial" w:eastAsia="SimSun" w:hAnsi="Arial" w:cs="Arial"/>
                <w:sz w:val="16"/>
                <w:szCs w:val="16"/>
                <w:lang w:eastAsia="zh-CN"/>
              </w:rPr>
              <w:br/>
              <w:t>The treatment must cease unless the results of an HCV RNA quantitative assay at week 12 (performed at the same laboratory using the same test) show that plasma HCV RNA has become undetectable or the viral load has decreased by at least a 2 log drop; AND</w:t>
            </w:r>
            <w:r w:rsidRPr="00E106BD">
              <w:rPr>
                <w:rFonts w:ascii="Arial" w:eastAsia="SimSun" w:hAnsi="Arial" w:cs="Arial"/>
                <w:sz w:val="16"/>
                <w:szCs w:val="16"/>
                <w:lang w:eastAsia="zh-CN"/>
              </w:rPr>
              <w:br/>
              <w:t>The treatment must be limited to a maximum duration of 48 weeks.</w:t>
            </w:r>
            <w:r w:rsidRPr="00E106BD">
              <w:rPr>
                <w:rFonts w:ascii="Arial" w:eastAsia="SimSun" w:hAnsi="Arial" w:cs="Arial"/>
                <w:sz w:val="16"/>
                <w:szCs w:val="16"/>
                <w:lang w:eastAsia="zh-CN"/>
              </w:rPr>
              <w:br/>
              <w:t>Evidence of chronic hepatitis C infection (repeatedly anti</w:t>
            </w:r>
            <w:r>
              <w:rPr>
                <w:rFonts w:ascii="Arial" w:eastAsia="SimSun" w:hAnsi="Arial" w:cs="Arial"/>
                <w:sz w:val="16"/>
                <w:szCs w:val="16"/>
                <w:lang w:eastAsia="zh-CN"/>
              </w:rPr>
              <w:noBreakHyphen/>
            </w:r>
            <w:r w:rsidRPr="00E106BD">
              <w:rPr>
                <w:rFonts w:ascii="Arial" w:eastAsia="SimSun" w:hAnsi="Arial" w:cs="Arial"/>
                <w:sz w:val="16"/>
                <w:szCs w:val="16"/>
                <w:lang w:eastAsia="zh-CN"/>
              </w:rPr>
              <w:t>HCV positive and HCV RNA positive) must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records.</w:t>
            </w:r>
          </w:p>
        </w:tc>
        <w:tc>
          <w:tcPr>
            <w:tcW w:w="2552" w:type="dxa"/>
            <w:tcMar>
              <w:top w:w="28" w:type="dxa"/>
              <w:left w:w="28" w:type="dxa"/>
              <w:right w:w="57" w:type="dxa"/>
            </w:tcMar>
          </w:tcPr>
          <w:p w:rsidR="00BD18B1" w:rsidRPr="00E106BD" w:rsidRDefault="00BD18B1"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9603</w:t>
            </w:r>
          </w:p>
        </w:tc>
      </w:tr>
      <w:tr w:rsidR="00BD18B1" w:rsidRPr="00E106BD" w:rsidDel="00407C96" w:rsidTr="008929EB">
        <w:tc>
          <w:tcPr>
            <w:tcW w:w="1729"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Pegvisomant</w:t>
            </w:r>
          </w:p>
        </w:tc>
        <w:tc>
          <w:tcPr>
            <w:tcW w:w="709"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C7087</w:t>
            </w:r>
          </w:p>
        </w:tc>
        <w:tc>
          <w:tcPr>
            <w:tcW w:w="709"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p>
        </w:tc>
        <w:tc>
          <w:tcPr>
            <w:tcW w:w="7654"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Acromegaly</w:t>
            </w:r>
          </w:p>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Continuing treatment</w:t>
            </w:r>
          </w:p>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p>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not be given concomitantly with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somatostatin analogue; AND</w:t>
            </w:r>
          </w:p>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cease if IGF</w:t>
            </w:r>
            <w:r>
              <w:rPr>
                <w:rFonts w:ascii="Arial" w:eastAsia="SimSun" w:hAnsi="Arial" w:cs="Arial"/>
                <w:sz w:val="16"/>
                <w:szCs w:val="16"/>
                <w:lang w:eastAsia="zh-CN"/>
              </w:rPr>
              <w:noBreakHyphen/>
            </w:r>
            <w:r w:rsidRPr="00E106BD">
              <w:rPr>
                <w:rFonts w:ascii="Arial" w:eastAsia="SimSun" w:hAnsi="Arial" w:cs="Arial"/>
                <w:sz w:val="16"/>
                <w:szCs w:val="16"/>
                <w:lang w:eastAsia="zh-CN"/>
              </w:rPr>
              <w:t>1 is not lower after 3 months of pegvisomant treatment at the maximum tolerated dose.</w:t>
            </w:r>
          </w:p>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Somatostatin analogues include octreotide, lanreotide and pasireotide</w:t>
            </w:r>
          </w:p>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 a patient treated with radiotherapy, pegvisomant should be withdrawn every 2 years in the 10 years after completion of radiotherapy for assessment of remission. Pegvisomant should be withdrawn at least 8 weeks prior to the assessment of remission.</w:t>
            </w:r>
          </w:p>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Biochemical evidence of remission is defined as normalisation of sex</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and age</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adjusted insulin</w:t>
            </w:r>
            <w:r>
              <w:rPr>
                <w:rFonts w:ascii="Arial" w:eastAsia="SimSun" w:hAnsi="Arial" w:cs="Arial"/>
                <w:sz w:val="16"/>
                <w:szCs w:val="16"/>
                <w:lang w:eastAsia="zh-CN"/>
              </w:rPr>
              <w:noBreakHyphen/>
            </w:r>
            <w:r w:rsidRPr="00E106BD">
              <w:rPr>
                <w:rFonts w:ascii="Arial" w:eastAsia="SimSun" w:hAnsi="Arial" w:cs="Arial"/>
                <w:sz w:val="16"/>
                <w:szCs w:val="16"/>
                <w:lang w:eastAsia="zh-CN"/>
              </w:rPr>
              <w:t>like growth factor 1 (IGF</w:t>
            </w:r>
            <w:r>
              <w:rPr>
                <w:rFonts w:ascii="Arial" w:eastAsia="SimSun" w:hAnsi="Arial" w:cs="Arial"/>
                <w:sz w:val="16"/>
                <w:szCs w:val="16"/>
                <w:lang w:eastAsia="zh-CN"/>
              </w:rPr>
              <w:noBreakHyphen/>
            </w:r>
            <w:r w:rsidRPr="00E106BD">
              <w:rPr>
                <w:rFonts w:ascii="Arial" w:eastAsia="SimSun" w:hAnsi="Arial" w:cs="Arial"/>
                <w:sz w:val="16"/>
                <w:szCs w:val="16"/>
                <w:lang w:eastAsia="zh-CN"/>
              </w:rPr>
              <w:t>1).</w:t>
            </w:r>
          </w:p>
          <w:p w:rsidR="00BD18B1" w:rsidRPr="00E106BD" w:rsidRDefault="00BD18B1" w:rsidP="00881477">
            <w:pPr>
              <w:spacing w:line="240" w:lineRule="auto"/>
              <w:rPr>
                <w:rFonts w:eastAsia="SimSun"/>
                <w:szCs w:val="16"/>
              </w:rPr>
            </w:pPr>
            <w:r w:rsidRPr="00E106BD">
              <w:rPr>
                <w:rFonts w:ascii="Arial" w:eastAsia="SimSun" w:hAnsi="Arial" w:cs="Arial"/>
                <w:sz w:val="16"/>
                <w:szCs w:val="16"/>
                <w:lang w:eastAsia="zh-CN"/>
              </w:rPr>
              <w:t>In a patient who has been previously treated with radiotherapy for this condition, the date of completion of radiotherapy must be provided; and a copy of IGF</w:t>
            </w:r>
            <w:r>
              <w:rPr>
                <w:rFonts w:ascii="Arial" w:eastAsia="SimSun" w:hAnsi="Arial" w:cs="Arial"/>
                <w:sz w:val="16"/>
                <w:szCs w:val="16"/>
                <w:lang w:eastAsia="zh-CN"/>
              </w:rPr>
              <w:noBreakHyphen/>
            </w:r>
            <w:r w:rsidRPr="00E106BD">
              <w:rPr>
                <w:rFonts w:ascii="Arial" w:eastAsia="SimSun" w:hAnsi="Arial" w:cs="Arial"/>
                <w:sz w:val="16"/>
                <w:szCs w:val="16"/>
                <w:lang w:eastAsia="zh-CN"/>
              </w:rPr>
              <w:t>1 level taken at the most recent two yearly assessment in the 10 years after completion of radiotherapy must be provided at the time of application.</w:t>
            </w:r>
          </w:p>
        </w:tc>
        <w:tc>
          <w:tcPr>
            <w:tcW w:w="2552" w:type="dxa"/>
            <w:tcMar>
              <w:top w:w="28" w:type="dxa"/>
              <w:left w:w="28" w:type="dxa"/>
              <w:right w:w="57" w:type="dxa"/>
            </w:tcMar>
          </w:tcPr>
          <w:p w:rsidR="00BD18B1" w:rsidRPr="00E106BD" w:rsidRDefault="00BD18B1" w:rsidP="00E9495D">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BD18B1" w:rsidRPr="00E106BD" w:rsidDel="00407C96" w:rsidTr="008929EB">
        <w:tc>
          <w:tcPr>
            <w:tcW w:w="1729"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p>
        </w:tc>
        <w:tc>
          <w:tcPr>
            <w:tcW w:w="709"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r w:rsidRPr="00E106BD">
              <w:rPr>
                <w:rFonts w:ascii="Arial" w:hAnsi="Arial" w:cs="Arial"/>
                <w:sz w:val="16"/>
                <w:szCs w:val="16"/>
              </w:rPr>
              <w:t>C9041</w:t>
            </w:r>
          </w:p>
        </w:tc>
        <w:tc>
          <w:tcPr>
            <w:tcW w:w="709"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p>
        </w:tc>
        <w:tc>
          <w:tcPr>
            <w:tcW w:w="7654" w:type="dxa"/>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r w:rsidRPr="00E106BD">
              <w:rPr>
                <w:rFonts w:ascii="Arial" w:hAnsi="Arial" w:cs="Arial"/>
                <w:sz w:val="16"/>
                <w:szCs w:val="16"/>
              </w:rPr>
              <w:t>Acromegaly</w:t>
            </w:r>
            <w:r w:rsidRPr="00E106BD">
              <w:rPr>
                <w:rFonts w:ascii="Arial" w:hAnsi="Arial" w:cs="Arial"/>
                <w:sz w:val="16"/>
                <w:szCs w:val="16"/>
              </w:rPr>
              <w:br/>
              <w:t>Initial treatment</w:t>
            </w:r>
            <w:r w:rsidRPr="00E106BD">
              <w:rPr>
                <w:rFonts w:ascii="Arial" w:hAnsi="Arial" w:cs="Arial"/>
                <w:sz w:val="16"/>
                <w:szCs w:val="16"/>
              </w:rPr>
              <w:br/>
              <w:t>Patient must not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an age</w:t>
            </w:r>
            <w:r>
              <w:rPr>
                <w:rFonts w:ascii="Arial" w:hAnsi="Arial" w:cs="Arial"/>
                <w:sz w:val="16"/>
                <w:szCs w:val="16"/>
              </w:rPr>
              <w:noBreakHyphen/>
            </w:r>
            <w:r w:rsidRPr="00E106BD">
              <w:rPr>
                <w:rFonts w:ascii="Arial" w:hAnsi="Arial" w:cs="Arial"/>
                <w:sz w:val="16"/>
                <w:szCs w:val="16"/>
              </w:rPr>
              <w:t xml:space="preserve"> and sex</w:t>
            </w:r>
            <w:r>
              <w:rPr>
                <w:rFonts w:ascii="Arial" w:hAnsi="Arial" w:cs="Arial"/>
                <w:sz w:val="16"/>
                <w:szCs w:val="16"/>
              </w:rPr>
              <w:noBreakHyphen/>
            </w:r>
            <w:r w:rsidRPr="00E106BD">
              <w:rPr>
                <w:rFonts w:ascii="Arial" w:hAnsi="Arial" w:cs="Arial"/>
                <w:sz w:val="16"/>
                <w:szCs w:val="16"/>
              </w:rPr>
              <w:t>adjusted insulin</w:t>
            </w:r>
            <w:r>
              <w:rPr>
                <w:rFonts w:ascii="Arial" w:hAnsi="Arial" w:cs="Arial"/>
                <w:sz w:val="16"/>
                <w:szCs w:val="16"/>
              </w:rPr>
              <w:noBreakHyphen/>
            </w:r>
            <w:r w:rsidRPr="00E106BD">
              <w:rPr>
                <w:rFonts w:ascii="Arial" w:hAnsi="Arial" w:cs="Arial"/>
                <w:sz w:val="16"/>
                <w:szCs w:val="16"/>
              </w:rPr>
              <w:t>like growth factor 1 (IGF</w:t>
            </w:r>
            <w:r>
              <w:rPr>
                <w:rFonts w:ascii="Arial" w:hAnsi="Arial" w:cs="Arial"/>
                <w:sz w:val="16"/>
                <w:szCs w:val="16"/>
              </w:rPr>
              <w:noBreakHyphen/>
            </w:r>
            <w:r w:rsidRPr="00E106BD">
              <w:rPr>
                <w:rFonts w:ascii="Arial" w:hAnsi="Arial" w:cs="Arial"/>
                <w:sz w:val="16"/>
                <w:szCs w:val="16"/>
              </w:rPr>
              <w:t>1) concentration greater than the upper limit of normal (ULN); AND</w:t>
            </w:r>
            <w:r w:rsidRPr="00E106BD">
              <w:rPr>
                <w:rFonts w:ascii="Arial" w:hAnsi="Arial" w:cs="Arial"/>
                <w:sz w:val="16"/>
                <w:szCs w:val="16"/>
              </w:rPr>
              <w:br/>
              <w:t>The treatment must be after failure to achieve biochemical control with a maximum indicated dose of either 30 mg octreotide LAR or 120 mg lanreotide ATG every 28 days for 24 weeks; unless contraindicated or not tolerated according to the TGA approved Product Information; AND</w:t>
            </w:r>
            <w:r w:rsidRPr="00E106BD">
              <w:rPr>
                <w:rFonts w:ascii="Arial" w:hAnsi="Arial" w:cs="Arial"/>
                <w:sz w:val="16"/>
                <w:szCs w:val="16"/>
              </w:rPr>
              <w:br/>
              <w:t>The treatment must not be given concomitantly with a PBS</w:t>
            </w:r>
            <w:r>
              <w:rPr>
                <w:rFonts w:ascii="Arial" w:hAnsi="Arial" w:cs="Arial"/>
                <w:sz w:val="16"/>
                <w:szCs w:val="16"/>
              </w:rPr>
              <w:noBreakHyphen/>
            </w:r>
            <w:r w:rsidRPr="00E106BD">
              <w:rPr>
                <w:rFonts w:ascii="Arial" w:hAnsi="Arial" w:cs="Arial"/>
                <w:sz w:val="16"/>
                <w:szCs w:val="16"/>
              </w:rPr>
              <w:t>subsidised somatostatin analogue.</w:t>
            </w:r>
            <w:r w:rsidRPr="00E106BD">
              <w:rPr>
                <w:rFonts w:ascii="Arial" w:hAnsi="Arial" w:cs="Arial"/>
                <w:sz w:val="16"/>
                <w:szCs w:val="16"/>
              </w:rPr>
              <w:br/>
              <w:t>Somatostatin analogues include octreotide, lanreotide and pasireotide</w:t>
            </w:r>
            <w:r w:rsidRPr="00E106BD">
              <w:rPr>
                <w:rFonts w:ascii="Arial" w:hAnsi="Arial" w:cs="Arial"/>
                <w:sz w:val="16"/>
                <w:szCs w:val="16"/>
              </w:rPr>
              <w:br/>
              <w:t>Failure to achieve biochemical control after completion of a prior therapy with either octreotide or lanreotide is defined as:</w:t>
            </w:r>
            <w:r w:rsidRPr="00E106BD">
              <w:rPr>
                <w:rFonts w:ascii="Arial" w:hAnsi="Arial" w:cs="Arial"/>
                <w:sz w:val="16"/>
                <w:szCs w:val="16"/>
              </w:rPr>
              <w:br/>
              <w:t>1) Growth hormone level greater than 1 mcg/L or 3 mIU/L; OR</w:t>
            </w:r>
            <w:r w:rsidRPr="00E106BD">
              <w:rPr>
                <w:rFonts w:ascii="Arial" w:hAnsi="Arial" w:cs="Arial"/>
                <w:sz w:val="16"/>
                <w:szCs w:val="16"/>
              </w:rPr>
              <w:br/>
              <w:t>2) IGF</w:t>
            </w:r>
            <w:r>
              <w:rPr>
                <w:rFonts w:ascii="Arial" w:hAnsi="Arial" w:cs="Arial"/>
                <w:sz w:val="16"/>
                <w:szCs w:val="16"/>
              </w:rPr>
              <w:noBreakHyphen/>
            </w:r>
            <w:r w:rsidRPr="00E106BD">
              <w:rPr>
                <w:rFonts w:ascii="Arial" w:hAnsi="Arial" w:cs="Arial"/>
                <w:sz w:val="16"/>
                <w:szCs w:val="16"/>
              </w:rPr>
              <w:t>1 level is greater than the age</w:t>
            </w:r>
            <w:r>
              <w:rPr>
                <w:rFonts w:ascii="Arial" w:hAnsi="Arial" w:cs="Arial"/>
                <w:sz w:val="16"/>
                <w:szCs w:val="16"/>
              </w:rPr>
              <w:noBreakHyphen/>
            </w:r>
            <w:r w:rsidRPr="00E106BD">
              <w:rPr>
                <w:rFonts w:ascii="Arial" w:hAnsi="Arial" w:cs="Arial"/>
                <w:sz w:val="16"/>
                <w:szCs w:val="16"/>
              </w:rPr>
              <w:t xml:space="preserve"> and sex</w:t>
            </w:r>
            <w:r>
              <w:rPr>
                <w:rFonts w:ascii="Arial" w:hAnsi="Arial" w:cs="Arial"/>
                <w:sz w:val="16"/>
                <w:szCs w:val="16"/>
              </w:rPr>
              <w:noBreakHyphen/>
            </w:r>
            <w:r w:rsidRPr="00E106BD">
              <w:rPr>
                <w:rFonts w:ascii="Arial" w:hAnsi="Arial" w:cs="Arial"/>
                <w:sz w:val="16"/>
                <w:szCs w:val="16"/>
              </w:rPr>
              <w:t>adjusted ULN.</w:t>
            </w:r>
            <w:r w:rsidRPr="00E106BD">
              <w:rPr>
                <w:rFonts w:ascii="Arial" w:hAnsi="Arial" w:cs="Arial"/>
                <w:sz w:val="16"/>
                <w:szCs w:val="16"/>
              </w:rPr>
              <w:br/>
              <w:t>If treatment with either octreotide or lanreotide is contraindicated according to the relevant TGA</w:t>
            </w:r>
            <w:r>
              <w:rPr>
                <w:rFonts w:ascii="Arial" w:hAnsi="Arial" w:cs="Arial"/>
                <w:sz w:val="16"/>
                <w:szCs w:val="16"/>
              </w:rPr>
              <w:noBreakHyphen/>
            </w:r>
            <w:r w:rsidRPr="00E106BD">
              <w:rPr>
                <w:rFonts w:ascii="Arial" w:hAnsi="Arial" w:cs="Arial"/>
                <w:sz w:val="16"/>
                <w:szCs w:val="16"/>
              </w:rPr>
              <w:t>approved Product Information, the application must provide details of contraindication.</w:t>
            </w:r>
            <w:r w:rsidRPr="00E106BD">
              <w:rPr>
                <w:rFonts w:ascii="Arial" w:hAnsi="Arial" w:cs="Arial"/>
                <w:sz w:val="16"/>
                <w:szCs w:val="16"/>
              </w:rPr>
              <w:br/>
              <w:t>If intolerance to either octreotide or lanreotide treatment developed during the relevant period of use which is of a severity to necessitate withdrawal of the treatment, the application must provide details of the nature and severity of this intolerance.</w:t>
            </w:r>
            <w:r w:rsidRPr="00E106BD">
              <w:rPr>
                <w:rFonts w:ascii="Arial" w:hAnsi="Arial" w:cs="Arial"/>
                <w:sz w:val="16"/>
                <w:szCs w:val="16"/>
              </w:rPr>
              <w:br/>
              <w:t>In a patient treated with radiotherapy, pegvisomant should be withdrawn every 2 years in the 10 years after completion of radiotherapy for assessment of remission. Pegvisomant should be withdrawn at least 8 weeks prior to the assessment of remission.</w:t>
            </w:r>
            <w:r w:rsidRPr="00E106BD">
              <w:rPr>
                <w:rFonts w:ascii="Arial" w:hAnsi="Arial" w:cs="Arial"/>
                <w:sz w:val="16"/>
                <w:szCs w:val="16"/>
              </w:rPr>
              <w:br/>
              <w:t>Biochemical evidence of remission is defined as normalisation of sex</w:t>
            </w:r>
            <w:r>
              <w:rPr>
                <w:rFonts w:ascii="Arial" w:hAnsi="Arial" w:cs="Arial"/>
                <w:sz w:val="16"/>
                <w:szCs w:val="16"/>
              </w:rPr>
              <w:noBreakHyphen/>
            </w:r>
            <w:r w:rsidRPr="00E106BD">
              <w:rPr>
                <w:rFonts w:ascii="Arial" w:hAnsi="Arial" w:cs="Arial"/>
                <w:sz w:val="16"/>
                <w:szCs w:val="16"/>
              </w:rPr>
              <w:t xml:space="preserve"> and age</w:t>
            </w:r>
            <w:r>
              <w:rPr>
                <w:rFonts w:ascii="Arial" w:hAnsi="Arial" w:cs="Arial"/>
                <w:sz w:val="16"/>
                <w:szCs w:val="16"/>
              </w:rPr>
              <w:noBreakHyphen/>
            </w:r>
            <w:r w:rsidRPr="00E106BD">
              <w:rPr>
                <w:rFonts w:ascii="Arial" w:hAnsi="Arial" w:cs="Arial"/>
                <w:sz w:val="16"/>
                <w:szCs w:val="16"/>
              </w:rPr>
              <w:t xml:space="preserve"> adjusted insulin</w:t>
            </w:r>
            <w:r>
              <w:rPr>
                <w:rFonts w:ascii="Arial" w:hAnsi="Arial" w:cs="Arial"/>
                <w:sz w:val="16"/>
                <w:szCs w:val="16"/>
              </w:rPr>
              <w:noBreakHyphen/>
            </w:r>
            <w:r w:rsidRPr="00E106BD">
              <w:rPr>
                <w:rFonts w:ascii="Arial" w:hAnsi="Arial" w:cs="Arial"/>
                <w:sz w:val="16"/>
                <w:szCs w:val="16"/>
              </w:rPr>
              <w:t>like growth factor 1 (IGF</w:t>
            </w:r>
            <w:r>
              <w:rPr>
                <w:rFonts w:ascii="Arial" w:hAnsi="Arial" w:cs="Arial"/>
                <w:sz w:val="16"/>
                <w:szCs w:val="16"/>
              </w:rPr>
              <w:noBreakHyphen/>
            </w:r>
            <w:r w:rsidRPr="00E106BD">
              <w:rPr>
                <w:rFonts w:ascii="Arial" w:hAnsi="Arial" w:cs="Arial"/>
                <w:sz w:val="16"/>
                <w:szCs w:val="16"/>
              </w:rPr>
              <w:t>1).</w:t>
            </w:r>
            <w:r w:rsidRPr="00E106BD">
              <w:rPr>
                <w:rFonts w:ascii="Arial" w:hAnsi="Arial" w:cs="Arial"/>
                <w:sz w:val="16"/>
                <w:szCs w:val="16"/>
              </w:rPr>
              <w:br/>
              <w:t>Two completed authority prescriptions should be submitted with the initial application for this drug. One prescription should be for the loading dose of 80 mg for a quantity of 4 vials of 20 mg with no repeats. The second prescription should be for subsequent doses, starting from 10 mg daily, and allowing dose adjustments in increments of 5 mg based on serum IGF</w:t>
            </w:r>
            <w:r>
              <w:rPr>
                <w:rFonts w:ascii="Arial" w:hAnsi="Arial" w:cs="Arial"/>
                <w:sz w:val="16"/>
                <w:szCs w:val="16"/>
              </w:rPr>
              <w:noBreakHyphen/>
            </w:r>
            <w:r w:rsidRPr="00E106BD">
              <w:rPr>
                <w:rFonts w:ascii="Arial" w:hAnsi="Arial" w:cs="Arial"/>
                <w:sz w:val="16"/>
                <w:szCs w:val="16"/>
              </w:rPr>
              <w:t>1 levels measured every 4 to 6 weeks in order to maintain the serum IGF</w:t>
            </w:r>
            <w:r>
              <w:rPr>
                <w:rFonts w:ascii="Arial" w:hAnsi="Arial" w:cs="Arial"/>
                <w:sz w:val="16"/>
                <w:szCs w:val="16"/>
              </w:rPr>
              <w:noBreakHyphen/>
            </w:r>
            <w:r w:rsidRPr="00E106BD">
              <w:rPr>
                <w:rFonts w:ascii="Arial" w:hAnsi="Arial" w:cs="Arial"/>
                <w:sz w:val="16"/>
                <w:szCs w:val="16"/>
              </w:rPr>
              <w:t>1 level within the age</w:t>
            </w:r>
            <w:r>
              <w:rPr>
                <w:rFonts w:ascii="Arial" w:hAnsi="Arial" w:cs="Arial"/>
                <w:sz w:val="16"/>
                <w:szCs w:val="16"/>
              </w:rPr>
              <w:noBreakHyphen/>
            </w:r>
            <w:r w:rsidRPr="00E106BD">
              <w:rPr>
                <w:rFonts w:ascii="Arial" w:hAnsi="Arial" w:cs="Arial"/>
                <w:sz w:val="16"/>
                <w:szCs w:val="16"/>
              </w:rPr>
              <w:t>adjusted normal range based on the dosage recommendations in the TGA</w:t>
            </w:r>
            <w:r>
              <w:rPr>
                <w:rFonts w:ascii="Arial" w:hAnsi="Arial" w:cs="Arial"/>
                <w:sz w:val="16"/>
                <w:szCs w:val="16"/>
              </w:rPr>
              <w:noBreakHyphen/>
            </w:r>
            <w:r w:rsidRPr="00E106BD">
              <w:rPr>
                <w:rFonts w:ascii="Arial" w:hAnsi="Arial" w:cs="Arial"/>
                <w:sz w:val="16"/>
                <w:szCs w:val="16"/>
              </w:rPr>
              <w:t>approved Product Information.</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two completed authority prescription forms ; and</w:t>
            </w:r>
            <w:r w:rsidRPr="00E106BD">
              <w:rPr>
                <w:rFonts w:ascii="Arial" w:hAnsi="Arial" w:cs="Arial"/>
                <w:sz w:val="16"/>
                <w:szCs w:val="16"/>
              </w:rPr>
              <w:br/>
              <w:t xml:space="preserve">b) a completed Acromegaly Pegvisomant initial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c) in a patient who has been previously treated with radiotherapy for this condition, the date of completion of radiotherapy, the date and result of IGF</w:t>
            </w:r>
            <w:r>
              <w:rPr>
                <w:rFonts w:ascii="Arial" w:hAnsi="Arial" w:cs="Arial"/>
                <w:sz w:val="16"/>
                <w:szCs w:val="16"/>
              </w:rPr>
              <w:noBreakHyphen/>
            </w:r>
            <w:r w:rsidRPr="00E106BD">
              <w:rPr>
                <w:rFonts w:ascii="Arial" w:hAnsi="Arial" w:cs="Arial"/>
                <w:sz w:val="16"/>
                <w:szCs w:val="16"/>
              </w:rPr>
              <w:t>1 levels taken at the most recent two yearly assessment in the 10 years after completion of radiotherapy; and</w:t>
            </w:r>
            <w:r w:rsidRPr="00E106BD">
              <w:rPr>
                <w:rFonts w:ascii="Arial" w:hAnsi="Arial" w:cs="Arial"/>
                <w:sz w:val="16"/>
                <w:szCs w:val="16"/>
              </w:rPr>
              <w:br/>
              <w:t>d) a recent result of the IGF</w:t>
            </w:r>
            <w:r>
              <w:rPr>
                <w:rFonts w:ascii="Arial" w:hAnsi="Arial" w:cs="Arial"/>
                <w:sz w:val="16"/>
                <w:szCs w:val="16"/>
              </w:rPr>
              <w:noBreakHyphen/>
            </w:r>
            <w:r w:rsidRPr="00E106BD">
              <w:rPr>
                <w:rFonts w:ascii="Arial" w:hAnsi="Arial" w:cs="Arial"/>
                <w:sz w:val="16"/>
                <w:szCs w:val="16"/>
              </w:rPr>
              <w:t>1 level and the date of assessment ; and</w:t>
            </w:r>
            <w:r w:rsidRPr="00E106BD">
              <w:rPr>
                <w:rFonts w:ascii="Arial" w:hAnsi="Arial" w:cs="Arial"/>
                <w:sz w:val="16"/>
                <w:szCs w:val="16"/>
              </w:rPr>
              <w:br/>
              <w:t>e) demonstration of failure to achieve biochemical control after completion of a prior therapy with either octreotide or lanreotide</w:t>
            </w:r>
            <w:r w:rsidRPr="00E106BD">
              <w:rPr>
                <w:rFonts w:ascii="Arial" w:hAnsi="Arial" w:cs="Arial"/>
                <w:sz w:val="16"/>
                <w:szCs w:val="16"/>
              </w:rPr>
              <w:br/>
              <w:t>No increase in the maximum quantity or number of units may be authorised for the loading dose.</w:t>
            </w:r>
          </w:p>
        </w:tc>
        <w:tc>
          <w:tcPr>
            <w:tcW w:w="2552" w:type="dxa"/>
            <w:tcMar>
              <w:top w:w="28" w:type="dxa"/>
              <w:left w:w="28" w:type="dxa"/>
              <w:right w:w="57" w:type="dxa"/>
            </w:tcMar>
          </w:tcPr>
          <w:p w:rsidR="00BD18B1" w:rsidRPr="00E106BD" w:rsidRDefault="00BD18B1" w:rsidP="00E9495D">
            <w:pPr>
              <w:keepNext/>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BD18B1" w:rsidRPr="00E106BD" w:rsidDel="00CF0675" w:rsidTr="008929EB">
        <w:tc>
          <w:tcPr>
            <w:tcW w:w="1729" w:type="dxa"/>
            <w:tcBorders>
              <w:bottom w:val="single" w:sz="4" w:space="0" w:color="auto"/>
            </w:tcBorders>
            <w:tcMar>
              <w:top w:w="28" w:type="dxa"/>
              <w:left w:w="28" w:type="dxa"/>
            </w:tcMar>
          </w:tcPr>
          <w:p w:rsidR="00BD18B1" w:rsidRPr="00E106BD" w:rsidDel="00CF0675"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Plerixafor</w:t>
            </w:r>
          </w:p>
        </w:tc>
        <w:tc>
          <w:tcPr>
            <w:tcW w:w="709" w:type="dxa"/>
            <w:tcBorders>
              <w:bottom w:val="single" w:sz="4" w:space="0" w:color="auto"/>
            </w:tcBorders>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C4549</w:t>
            </w:r>
          </w:p>
        </w:tc>
        <w:tc>
          <w:tcPr>
            <w:tcW w:w="709" w:type="dxa"/>
            <w:tcBorders>
              <w:bottom w:val="single" w:sz="4" w:space="0" w:color="auto"/>
            </w:tcBorders>
            <w:tcMar>
              <w:top w:w="28" w:type="dxa"/>
              <w:left w:w="28" w:type="dxa"/>
            </w:tcMar>
          </w:tcPr>
          <w:p w:rsidR="00BD18B1" w:rsidRPr="00E106BD" w:rsidDel="00CF0675" w:rsidRDefault="00BD18B1" w:rsidP="00881477">
            <w:pPr>
              <w:spacing w:line="240" w:lineRule="auto"/>
              <w:rPr>
                <w:rFonts w:ascii="Arial" w:eastAsia="SimSun" w:hAnsi="Arial" w:cs="Arial"/>
                <w:sz w:val="16"/>
                <w:szCs w:val="16"/>
                <w:lang w:eastAsia="zh-CN"/>
              </w:rPr>
            </w:pPr>
          </w:p>
        </w:tc>
        <w:tc>
          <w:tcPr>
            <w:tcW w:w="7654" w:type="dxa"/>
            <w:tcBorders>
              <w:bottom w:val="single" w:sz="4" w:space="0" w:color="auto"/>
            </w:tcBorders>
            <w:tcMar>
              <w:top w:w="28" w:type="dxa"/>
              <w:left w:w="28" w:type="dxa"/>
            </w:tcMar>
          </w:tcPr>
          <w:p w:rsidR="00BD18B1" w:rsidRPr="00E106BD" w:rsidRDefault="00BD18B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Mobilisation of haematopoietic stem cells</w:t>
            </w:r>
            <w:r w:rsidRPr="00E106BD">
              <w:rPr>
                <w:rFonts w:ascii="Arial" w:eastAsia="SimSun" w:hAnsi="Arial" w:cs="Arial"/>
                <w:sz w:val="16"/>
                <w:szCs w:val="16"/>
                <w:lang w:eastAsia="zh-CN"/>
              </w:rPr>
              <w:br/>
              <w:t>The treatment must be in combination with granulocyte</w:t>
            </w:r>
            <w:r>
              <w:rPr>
                <w:rFonts w:ascii="Arial" w:eastAsia="SimSun" w:hAnsi="Arial" w:cs="Arial"/>
                <w:sz w:val="16"/>
                <w:szCs w:val="16"/>
                <w:lang w:eastAsia="zh-CN"/>
              </w:rPr>
              <w:noBreakHyphen/>
            </w:r>
            <w:r w:rsidRPr="00E106BD">
              <w:rPr>
                <w:rFonts w:ascii="Arial" w:eastAsia="SimSun" w:hAnsi="Arial" w:cs="Arial"/>
                <w:sz w:val="16"/>
                <w:szCs w:val="16"/>
                <w:lang w:eastAsia="zh-CN"/>
              </w:rPr>
              <w:t>colony stimulating factor (G</w:t>
            </w:r>
            <w:r>
              <w:rPr>
                <w:rFonts w:ascii="Arial" w:eastAsia="SimSun" w:hAnsi="Arial" w:cs="Arial"/>
                <w:sz w:val="16"/>
                <w:szCs w:val="16"/>
                <w:lang w:eastAsia="zh-CN"/>
              </w:rPr>
              <w:noBreakHyphen/>
            </w:r>
            <w:r w:rsidRPr="00E106BD">
              <w:rPr>
                <w:rFonts w:ascii="Arial" w:eastAsia="SimSun" w:hAnsi="Arial" w:cs="Arial"/>
                <w:sz w:val="16"/>
                <w:szCs w:val="16"/>
                <w:lang w:eastAsia="zh-CN"/>
              </w:rPr>
              <w:t>CSF); AND</w:t>
            </w:r>
            <w:r w:rsidRPr="00E106BD">
              <w:rPr>
                <w:rFonts w:ascii="Arial" w:eastAsia="SimSun" w:hAnsi="Arial" w:cs="Arial"/>
                <w:sz w:val="16"/>
                <w:szCs w:val="16"/>
                <w:lang w:eastAsia="zh-CN"/>
              </w:rPr>
              <w:br/>
              <w:t>Patient must have lymphoma; OR</w:t>
            </w:r>
            <w:r w:rsidRPr="00E106BD">
              <w:rPr>
                <w:rFonts w:ascii="Arial" w:eastAsia="SimSun" w:hAnsi="Arial" w:cs="Arial"/>
                <w:sz w:val="16"/>
                <w:szCs w:val="16"/>
                <w:lang w:eastAsia="zh-CN"/>
              </w:rPr>
              <w:br/>
              <w:t>Patient must have multiple myeloma; AND</w:t>
            </w:r>
            <w:r w:rsidRPr="00E106BD">
              <w:rPr>
                <w:rFonts w:ascii="Arial" w:eastAsia="SimSun" w:hAnsi="Arial" w:cs="Arial"/>
                <w:sz w:val="16"/>
                <w:szCs w:val="16"/>
                <w:lang w:eastAsia="zh-CN"/>
              </w:rPr>
              <w:br/>
              <w:t>Patient must require autologous stem cell transplantation; AND</w:t>
            </w:r>
            <w:r w:rsidRPr="00E106BD">
              <w:rPr>
                <w:rFonts w:ascii="Arial" w:eastAsia="SimSun" w:hAnsi="Arial" w:cs="Arial"/>
                <w:sz w:val="16"/>
                <w:szCs w:val="16"/>
                <w:lang w:eastAsia="zh-CN"/>
              </w:rPr>
              <w:br/>
              <w:t>Patient must have failed previous stem cell collection; OR</w:t>
            </w:r>
            <w:r w:rsidRPr="00E106BD">
              <w:rPr>
                <w:rFonts w:ascii="Arial" w:eastAsia="SimSun" w:hAnsi="Arial" w:cs="Arial"/>
                <w:sz w:val="16"/>
                <w:szCs w:val="16"/>
                <w:lang w:eastAsia="zh-CN"/>
              </w:rPr>
              <w:br/>
              <w:t>Patient must be undergoing chemotherapy plus G</w:t>
            </w:r>
            <w:r>
              <w:rPr>
                <w:rFonts w:ascii="Arial" w:eastAsia="SimSun" w:hAnsi="Arial" w:cs="Arial"/>
                <w:sz w:val="16"/>
                <w:szCs w:val="16"/>
                <w:lang w:eastAsia="zh-CN"/>
              </w:rPr>
              <w:noBreakHyphen/>
            </w:r>
            <w:r w:rsidRPr="00E106BD">
              <w:rPr>
                <w:rFonts w:ascii="Arial" w:eastAsia="SimSun" w:hAnsi="Arial" w:cs="Arial"/>
                <w:sz w:val="16"/>
                <w:szCs w:val="16"/>
                <w:lang w:eastAsia="zh-CN"/>
              </w:rPr>
              <w:t>CSF mobilisation and their peripheral blood CD34+ count is less than 10,000 per millilitre or less than 10 million per litre on the day of planned collection; OR</w:t>
            </w:r>
            <w:r w:rsidRPr="00E106BD">
              <w:rPr>
                <w:rFonts w:ascii="Arial" w:eastAsia="SimSun" w:hAnsi="Arial" w:cs="Arial"/>
                <w:sz w:val="16"/>
                <w:szCs w:val="16"/>
                <w:lang w:eastAsia="zh-CN"/>
              </w:rPr>
              <w:br/>
              <w:t>Patient must be undergoing chemotherapy plus G</w:t>
            </w:r>
            <w:r>
              <w:rPr>
                <w:rFonts w:ascii="Arial" w:eastAsia="SimSun" w:hAnsi="Arial" w:cs="Arial"/>
                <w:sz w:val="16"/>
                <w:szCs w:val="16"/>
                <w:lang w:eastAsia="zh-CN"/>
              </w:rPr>
              <w:noBreakHyphen/>
            </w:r>
            <w:r w:rsidRPr="00E106BD">
              <w:rPr>
                <w:rFonts w:ascii="Arial" w:eastAsia="SimSun" w:hAnsi="Arial" w:cs="Arial"/>
                <w:sz w:val="16"/>
                <w:szCs w:val="16"/>
                <w:lang w:eastAsia="zh-CN"/>
              </w:rPr>
              <w:t>CSF mobilisation and the first apheresis has yielded less than 1 million CD34+ cells/kg.</w:t>
            </w:r>
            <w:r w:rsidRPr="00E106BD">
              <w:rPr>
                <w:rFonts w:ascii="Arial" w:eastAsia="SimSun" w:hAnsi="Arial" w:cs="Arial"/>
                <w:sz w:val="16"/>
                <w:szCs w:val="16"/>
                <w:lang w:eastAsia="zh-CN"/>
              </w:rPr>
              <w:br/>
              <w:t>Evidence that the patient meets the PBS restriction criteria must be recorded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records</w:t>
            </w:r>
          </w:p>
        </w:tc>
        <w:tc>
          <w:tcPr>
            <w:tcW w:w="2552" w:type="dxa"/>
            <w:tcBorders>
              <w:bottom w:val="single" w:sz="4" w:space="0" w:color="auto"/>
            </w:tcBorders>
            <w:tcMar>
              <w:top w:w="28" w:type="dxa"/>
              <w:left w:w="28" w:type="dxa"/>
              <w:right w:w="57" w:type="dxa"/>
            </w:tcMar>
          </w:tcPr>
          <w:p w:rsidR="00BD18B1" w:rsidRPr="00E106BD" w:rsidRDefault="00BD18B1"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4549</w:t>
            </w:r>
          </w:p>
        </w:tc>
      </w:tr>
      <w:tr w:rsidR="00BD18B1" w:rsidRPr="00E106BD" w:rsidDel="00B91391" w:rsidTr="008929EB">
        <w:tc>
          <w:tcPr>
            <w:tcW w:w="1729" w:type="dxa"/>
            <w:shd w:val="clear" w:color="auto" w:fill="auto"/>
            <w:tcMar>
              <w:top w:w="28" w:type="dxa"/>
              <w:left w:w="28" w:type="dxa"/>
            </w:tcMar>
          </w:tcPr>
          <w:p w:rsidR="00BD18B1" w:rsidRPr="00E106BD" w:rsidDel="00B91391" w:rsidRDefault="00BD18B1" w:rsidP="00881477">
            <w:pPr>
              <w:spacing w:line="240" w:lineRule="auto"/>
              <w:rPr>
                <w:rFonts w:ascii="Arial" w:eastAsia="SimSun" w:hAnsi="Arial" w:cs="Arial"/>
                <w:sz w:val="16"/>
                <w:szCs w:val="16"/>
                <w:lang w:eastAsia="zh-CN"/>
              </w:rPr>
            </w:pPr>
            <w:bookmarkStart w:id="217" w:name="CU_458706765"/>
            <w:bookmarkEnd w:id="217"/>
          </w:p>
        </w:tc>
        <w:tc>
          <w:tcPr>
            <w:tcW w:w="709" w:type="dxa"/>
            <w:shd w:val="clear" w:color="auto" w:fill="auto"/>
            <w:tcMar>
              <w:top w:w="28" w:type="dxa"/>
              <w:left w:w="28" w:type="dxa"/>
            </w:tcMar>
          </w:tcPr>
          <w:p w:rsidR="00BD18B1" w:rsidRPr="00E106BD" w:rsidDel="00B91391" w:rsidRDefault="00BD18B1" w:rsidP="00881477">
            <w:pPr>
              <w:spacing w:line="240" w:lineRule="auto"/>
              <w:rPr>
                <w:rFonts w:ascii="Arial" w:eastAsia="SimSun" w:hAnsi="Arial" w:cs="Arial"/>
                <w:sz w:val="16"/>
                <w:szCs w:val="16"/>
                <w:lang w:eastAsia="zh-CN"/>
              </w:rPr>
            </w:pPr>
            <w:r w:rsidRPr="00E106BD">
              <w:rPr>
                <w:rFonts w:ascii="Arial" w:hAnsi="Arial" w:cs="Arial"/>
                <w:sz w:val="16"/>
                <w:szCs w:val="16"/>
              </w:rPr>
              <w:t>C9329</w:t>
            </w:r>
          </w:p>
        </w:tc>
        <w:tc>
          <w:tcPr>
            <w:tcW w:w="709" w:type="dxa"/>
            <w:shd w:val="clear" w:color="auto" w:fill="auto"/>
            <w:tcMar>
              <w:top w:w="28" w:type="dxa"/>
              <w:left w:w="28" w:type="dxa"/>
            </w:tcMar>
          </w:tcPr>
          <w:p w:rsidR="00BD18B1" w:rsidRPr="00E106BD" w:rsidDel="00B91391" w:rsidRDefault="00BD18B1"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BD18B1" w:rsidRPr="00E106BD" w:rsidDel="00B91391" w:rsidRDefault="00BD18B1" w:rsidP="00881477">
            <w:pPr>
              <w:spacing w:line="240" w:lineRule="auto"/>
              <w:rPr>
                <w:rFonts w:ascii="Arial" w:eastAsia="SimSun" w:hAnsi="Arial" w:cs="Arial"/>
                <w:sz w:val="16"/>
                <w:szCs w:val="16"/>
                <w:lang w:eastAsia="zh-CN"/>
              </w:rPr>
            </w:pPr>
            <w:r w:rsidRPr="00E106BD">
              <w:rPr>
                <w:rFonts w:ascii="Arial" w:hAnsi="Arial" w:cs="Arial"/>
                <w:sz w:val="16"/>
                <w:szCs w:val="16"/>
              </w:rPr>
              <w:t>Mobilisation of haematopoietic stem cells</w:t>
            </w:r>
            <w:r w:rsidRPr="00E106BD">
              <w:rPr>
                <w:szCs w:val="16"/>
              </w:rPr>
              <w:br/>
            </w:r>
            <w:r w:rsidRPr="00E106BD">
              <w:rPr>
                <w:rFonts w:ascii="Arial" w:hAnsi="Arial" w:cs="Arial"/>
                <w:sz w:val="16"/>
                <w:szCs w:val="16"/>
              </w:rPr>
              <w:t>The treatment must be in combination with granulocyte</w:t>
            </w:r>
            <w:r>
              <w:rPr>
                <w:rFonts w:ascii="Arial" w:hAnsi="Arial" w:cs="Arial"/>
                <w:sz w:val="16"/>
                <w:szCs w:val="16"/>
              </w:rPr>
              <w:noBreakHyphen/>
            </w:r>
            <w:r w:rsidRPr="00E106BD">
              <w:rPr>
                <w:rFonts w:ascii="Arial" w:hAnsi="Arial" w:cs="Arial"/>
                <w:sz w:val="16"/>
                <w:szCs w:val="16"/>
              </w:rPr>
              <w:t>colony stimulating factor (G</w:t>
            </w:r>
            <w:r>
              <w:rPr>
                <w:rFonts w:ascii="Arial" w:hAnsi="Arial" w:cs="Arial"/>
                <w:sz w:val="16"/>
                <w:szCs w:val="16"/>
              </w:rPr>
              <w:noBreakHyphen/>
            </w:r>
            <w:r w:rsidRPr="00E106BD">
              <w:rPr>
                <w:rFonts w:ascii="Arial" w:hAnsi="Arial" w:cs="Arial"/>
                <w:sz w:val="16"/>
                <w:szCs w:val="16"/>
              </w:rPr>
              <w:t>CSF); AND</w:t>
            </w:r>
            <w:r w:rsidRPr="00E106BD">
              <w:rPr>
                <w:szCs w:val="16"/>
              </w:rPr>
              <w:br/>
            </w:r>
            <w:r w:rsidRPr="00E106BD">
              <w:rPr>
                <w:rFonts w:ascii="Arial" w:hAnsi="Arial" w:cs="Arial"/>
                <w:sz w:val="16"/>
                <w:szCs w:val="16"/>
              </w:rPr>
              <w:t>Patient must have lymphoma; OR</w:t>
            </w:r>
            <w:r w:rsidRPr="00E106BD">
              <w:rPr>
                <w:szCs w:val="16"/>
              </w:rPr>
              <w:br/>
            </w:r>
            <w:r w:rsidRPr="00E106BD">
              <w:rPr>
                <w:rFonts w:ascii="Arial" w:hAnsi="Arial" w:cs="Arial"/>
                <w:sz w:val="16"/>
                <w:szCs w:val="16"/>
              </w:rPr>
              <w:t>Patient must have multiple myeloma; AND</w:t>
            </w:r>
            <w:r w:rsidRPr="00E106BD">
              <w:rPr>
                <w:szCs w:val="16"/>
              </w:rPr>
              <w:br/>
            </w:r>
            <w:r w:rsidRPr="00E106BD">
              <w:rPr>
                <w:rFonts w:ascii="Arial" w:hAnsi="Arial" w:cs="Arial"/>
                <w:sz w:val="16"/>
                <w:szCs w:val="16"/>
              </w:rPr>
              <w:t>Patient must require autologous stem cell transplantation; AND</w:t>
            </w:r>
            <w:r w:rsidRPr="00E106BD">
              <w:rPr>
                <w:szCs w:val="16"/>
              </w:rPr>
              <w:br/>
            </w:r>
            <w:r w:rsidRPr="00E106BD">
              <w:rPr>
                <w:rFonts w:ascii="Arial" w:hAnsi="Arial" w:cs="Arial"/>
                <w:sz w:val="16"/>
                <w:szCs w:val="16"/>
              </w:rPr>
              <w:t>Patient must have failed previous stem cell collection; OR</w:t>
            </w:r>
            <w:r w:rsidRPr="00E106BD">
              <w:rPr>
                <w:szCs w:val="16"/>
              </w:rPr>
              <w:br/>
            </w:r>
            <w:r w:rsidRPr="00E106BD">
              <w:rPr>
                <w:rFonts w:ascii="Arial" w:hAnsi="Arial" w:cs="Arial"/>
                <w:sz w:val="16"/>
                <w:szCs w:val="16"/>
              </w:rPr>
              <w:t>Patient must be undergoing chemotherapy plus G</w:t>
            </w:r>
            <w:r>
              <w:rPr>
                <w:rFonts w:ascii="Arial" w:hAnsi="Arial" w:cs="Arial"/>
                <w:sz w:val="16"/>
                <w:szCs w:val="16"/>
              </w:rPr>
              <w:noBreakHyphen/>
            </w:r>
            <w:r w:rsidRPr="00E106BD">
              <w:rPr>
                <w:rFonts w:ascii="Arial" w:hAnsi="Arial" w:cs="Arial"/>
                <w:sz w:val="16"/>
                <w:szCs w:val="16"/>
              </w:rPr>
              <w:t>CSF mobilisation and their peripheral blood CD34+ count is less than 10,000 per millilitre or less than 10 million per litre on the day of planned collection; OR</w:t>
            </w:r>
            <w:r w:rsidRPr="00E106BD">
              <w:rPr>
                <w:szCs w:val="16"/>
              </w:rPr>
              <w:br/>
            </w:r>
            <w:r w:rsidRPr="00E106BD">
              <w:rPr>
                <w:rFonts w:ascii="Arial" w:hAnsi="Arial" w:cs="Arial"/>
                <w:sz w:val="16"/>
                <w:szCs w:val="16"/>
              </w:rPr>
              <w:t>Patient must be undergoing chemotherapy plus G</w:t>
            </w:r>
            <w:r>
              <w:rPr>
                <w:rFonts w:ascii="Arial" w:hAnsi="Arial" w:cs="Arial"/>
                <w:sz w:val="16"/>
                <w:szCs w:val="16"/>
              </w:rPr>
              <w:noBreakHyphen/>
            </w:r>
            <w:r w:rsidRPr="00E106BD">
              <w:rPr>
                <w:rFonts w:ascii="Arial" w:hAnsi="Arial" w:cs="Arial"/>
                <w:sz w:val="16"/>
                <w:szCs w:val="16"/>
              </w:rPr>
              <w:t>CSF mobilisation and the first apheresis has yielded less than 1 million CD34+ cells/kg.</w:t>
            </w:r>
            <w:r w:rsidRPr="00E106BD">
              <w:rPr>
                <w:szCs w:val="16"/>
              </w:rPr>
              <w:br/>
            </w:r>
            <w:r w:rsidRPr="00E106BD">
              <w:rPr>
                <w:rFonts w:ascii="Arial" w:hAnsi="Arial" w:cs="Arial"/>
                <w:sz w:val="16"/>
                <w:szCs w:val="16"/>
              </w:rPr>
              <w:t>Evidence that the patient meets the PBS restriction criteria must be recorded in the patient</w:t>
            </w:r>
            <w:r w:rsidR="00A653CA">
              <w:rPr>
                <w:rFonts w:ascii="Arial" w:hAnsi="Arial" w:cs="Arial"/>
                <w:sz w:val="16"/>
                <w:szCs w:val="16"/>
              </w:rPr>
              <w:t>’</w:t>
            </w:r>
            <w:r w:rsidRPr="00E106BD">
              <w:rPr>
                <w:rFonts w:ascii="Arial" w:hAnsi="Arial" w:cs="Arial"/>
                <w:sz w:val="16"/>
                <w:szCs w:val="16"/>
              </w:rPr>
              <w:t>s medical records.</w:t>
            </w:r>
          </w:p>
        </w:tc>
        <w:tc>
          <w:tcPr>
            <w:tcW w:w="2552" w:type="dxa"/>
            <w:shd w:val="clear" w:color="auto" w:fill="auto"/>
            <w:tcMar>
              <w:top w:w="28" w:type="dxa"/>
              <w:left w:w="28" w:type="dxa"/>
              <w:right w:w="57" w:type="dxa"/>
            </w:tcMar>
          </w:tcPr>
          <w:p w:rsidR="00BD18B1" w:rsidRPr="00E106BD" w:rsidDel="00B91391" w:rsidRDefault="00BD18B1"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9329</w:t>
            </w:r>
          </w:p>
        </w:tc>
      </w:tr>
      <w:tr w:rsidR="00BD18B1" w:rsidRPr="00E106BD" w:rsidDel="009248F0" w:rsidTr="008929EB">
        <w:tc>
          <w:tcPr>
            <w:tcW w:w="1729" w:type="dxa"/>
            <w:shd w:val="clear" w:color="auto" w:fill="auto"/>
            <w:tcMar>
              <w:top w:w="28" w:type="dxa"/>
              <w:left w:w="28" w:type="dxa"/>
            </w:tcMar>
          </w:tcPr>
          <w:p w:rsidR="00BD18B1" w:rsidRPr="00E106BD" w:rsidDel="009248F0" w:rsidRDefault="00BD18B1" w:rsidP="00881477">
            <w:pPr>
              <w:spacing w:line="240" w:lineRule="auto"/>
              <w:rPr>
                <w:rFonts w:ascii="Arial" w:eastAsia="SimSun" w:hAnsi="Arial" w:cs="Arial"/>
                <w:sz w:val="16"/>
                <w:szCs w:val="16"/>
                <w:lang w:eastAsia="zh-CN"/>
              </w:rPr>
            </w:pPr>
            <w:r w:rsidRPr="00E106BD">
              <w:rPr>
                <w:rFonts w:ascii="Arial" w:hAnsi="Arial" w:cs="Arial"/>
                <w:sz w:val="16"/>
                <w:szCs w:val="16"/>
              </w:rPr>
              <w:t>Pomalidomide</w:t>
            </w:r>
          </w:p>
        </w:tc>
        <w:tc>
          <w:tcPr>
            <w:tcW w:w="709" w:type="dxa"/>
            <w:shd w:val="clear" w:color="auto" w:fill="auto"/>
            <w:tcMar>
              <w:top w:w="28" w:type="dxa"/>
              <w:left w:w="28" w:type="dxa"/>
            </w:tcMar>
          </w:tcPr>
          <w:p w:rsidR="00BD18B1" w:rsidRPr="00E106BD" w:rsidRDefault="00BD18B1" w:rsidP="00881477">
            <w:pPr>
              <w:spacing w:line="240" w:lineRule="auto"/>
              <w:rPr>
                <w:rFonts w:ascii="Arial" w:hAnsi="Arial" w:cs="Arial"/>
                <w:sz w:val="16"/>
                <w:szCs w:val="16"/>
              </w:rPr>
            </w:pPr>
            <w:r w:rsidRPr="00E106BD">
              <w:rPr>
                <w:rFonts w:ascii="Arial" w:hAnsi="Arial" w:cs="Arial"/>
                <w:sz w:val="16"/>
                <w:szCs w:val="16"/>
              </w:rPr>
              <w:t>C7791</w:t>
            </w:r>
          </w:p>
        </w:tc>
        <w:tc>
          <w:tcPr>
            <w:tcW w:w="709" w:type="dxa"/>
            <w:shd w:val="clear" w:color="auto" w:fill="auto"/>
            <w:tcMar>
              <w:top w:w="28" w:type="dxa"/>
              <w:left w:w="28" w:type="dxa"/>
            </w:tcMar>
          </w:tcPr>
          <w:p w:rsidR="00BD18B1" w:rsidRPr="00E106BD" w:rsidDel="009248F0" w:rsidRDefault="00BD18B1"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BD18B1" w:rsidRPr="00E106BD" w:rsidRDefault="00BD18B1" w:rsidP="00881477">
            <w:pPr>
              <w:spacing w:after="60" w:line="240" w:lineRule="auto"/>
              <w:rPr>
                <w:rFonts w:ascii="Arial" w:hAnsi="Arial" w:cs="Arial"/>
                <w:sz w:val="16"/>
                <w:szCs w:val="16"/>
              </w:rPr>
            </w:pPr>
            <w:r w:rsidRPr="00E106BD">
              <w:rPr>
                <w:rFonts w:ascii="Arial" w:hAnsi="Arial" w:cs="Arial"/>
                <w:sz w:val="16"/>
                <w:szCs w:val="16"/>
              </w:rPr>
              <w:t>Multiple myeloma</w:t>
            </w:r>
            <w:r w:rsidRPr="00E106BD">
              <w:rPr>
                <w:rFonts w:ascii="Arial" w:hAnsi="Arial" w:cs="Arial"/>
                <w:sz w:val="16"/>
                <w:szCs w:val="16"/>
              </w:rPr>
              <w:br/>
              <w:t>Continuing treatment</w:t>
            </w:r>
            <w:r w:rsidRPr="00E106BD">
              <w:rPr>
                <w:rFonts w:ascii="Arial" w:hAnsi="Arial" w:cs="Arial"/>
                <w:sz w:val="16"/>
                <w:szCs w:val="16"/>
              </w:rPr>
              <w:br/>
              <w:t>Patient must have previously been issued with an authority prescription for this drug; AND</w:t>
            </w:r>
            <w:r w:rsidRPr="00E106BD">
              <w:rPr>
                <w:rFonts w:ascii="Arial" w:hAnsi="Arial" w:cs="Arial"/>
                <w:sz w:val="16"/>
                <w:szCs w:val="16"/>
              </w:rPr>
              <w:br/>
              <w:t>Patient must not have progressive disease; AND</w:t>
            </w:r>
            <w:r w:rsidRPr="00E106BD">
              <w:rPr>
                <w:rFonts w:ascii="Arial" w:hAnsi="Arial" w:cs="Arial"/>
                <w:sz w:val="16"/>
                <w:szCs w:val="16"/>
              </w:rPr>
              <w:br/>
              <w:t>The treatment must be in combination with dexamethasone; AND</w:t>
            </w:r>
            <w:r w:rsidRPr="00E106BD">
              <w:rPr>
                <w:rFonts w:ascii="Arial" w:hAnsi="Arial" w:cs="Arial"/>
                <w:sz w:val="16"/>
                <w:szCs w:val="16"/>
              </w:rPr>
              <w:br/>
              <w:t>Patient must not be receiving concomitant PBS</w:t>
            </w:r>
            <w:r>
              <w:rPr>
                <w:rFonts w:ascii="Arial" w:hAnsi="Arial" w:cs="Arial"/>
                <w:sz w:val="16"/>
                <w:szCs w:val="16"/>
              </w:rPr>
              <w:noBreakHyphen/>
            </w:r>
            <w:r w:rsidRPr="00E106BD">
              <w:rPr>
                <w:rFonts w:ascii="Arial" w:hAnsi="Arial" w:cs="Arial"/>
                <w:sz w:val="16"/>
                <w:szCs w:val="16"/>
              </w:rPr>
              <w:t>subsidised bortezomib, carfilzomib or thalidomide or its analogues.</w:t>
            </w:r>
            <w:r w:rsidRPr="00E106BD">
              <w:rPr>
                <w:rFonts w:ascii="Arial" w:hAnsi="Arial" w:cs="Arial"/>
                <w:sz w:val="16"/>
                <w:szCs w:val="16"/>
              </w:rPr>
              <w:br/>
              <w:t>Progressive disease is defined as at least 1 of the following:</w:t>
            </w:r>
            <w:r w:rsidRPr="00E106BD">
              <w:rPr>
                <w:rFonts w:ascii="Arial" w:hAnsi="Arial" w:cs="Arial"/>
                <w:sz w:val="16"/>
                <w:szCs w:val="16"/>
              </w:rPr>
              <w:br/>
              <w:t>(a) at least a 25% increase and an absolute increase of at least 5 g per L in serum M protein (monoclonal protein); or</w:t>
            </w:r>
            <w:r w:rsidRPr="00E106BD">
              <w:rPr>
                <w:rFonts w:ascii="Arial" w:hAnsi="Arial" w:cs="Arial"/>
                <w:sz w:val="16"/>
                <w:szCs w:val="16"/>
              </w:rPr>
              <w:br/>
              <w:t>(b) at least a 25% increase in 24</w:t>
            </w:r>
            <w:r>
              <w:rPr>
                <w:rFonts w:ascii="Arial" w:hAnsi="Arial" w:cs="Arial"/>
                <w:sz w:val="16"/>
                <w:szCs w:val="16"/>
              </w:rPr>
              <w:noBreakHyphen/>
            </w:r>
            <w:r w:rsidRPr="00E106BD">
              <w:rPr>
                <w:rFonts w:ascii="Arial" w:hAnsi="Arial" w:cs="Arial"/>
                <w:sz w:val="16"/>
                <w:szCs w:val="16"/>
              </w:rPr>
              <w:t>hour urinary light chain M protein excretion, and an absolute increase of at least 200 mg per 24 hours; or</w:t>
            </w:r>
            <w:r w:rsidRPr="00E106BD">
              <w:rPr>
                <w:rFonts w:ascii="Arial" w:hAnsi="Arial" w:cs="Arial"/>
                <w:sz w:val="16"/>
                <w:szCs w:val="16"/>
              </w:rPr>
              <w:br/>
              <w:t>(c) in oligo</w:t>
            </w:r>
            <w:r>
              <w:rPr>
                <w:rFonts w:ascii="Arial" w:hAnsi="Arial" w:cs="Arial"/>
                <w:sz w:val="16"/>
                <w:szCs w:val="16"/>
              </w:rPr>
              <w:noBreakHyphen/>
            </w:r>
            <w:r w:rsidRPr="00E106BD">
              <w:rPr>
                <w:rFonts w:ascii="Arial" w:hAnsi="Arial" w:cs="Arial"/>
                <w:sz w:val="16"/>
                <w:szCs w:val="16"/>
              </w:rPr>
              <w:t>secretory and non</w:t>
            </w:r>
            <w:r>
              <w:rPr>
                <w:rFonts w:ascii="Arial" w:hAnsi="Arial" w:cs="Arial"/>
                <w:sz w:val="16"/>
                <w:szCs w:val="16"/>
              </w:rPr>
              <w:noBreakHyphen/>
            </w:r>
            <w:r w:rsidRPr="00E106BD">
              <w:rPr>
                <w:rFonts w:ascii="Arial" w:hAnsi="Arial" w:cs="Arial"/>
                <w:sz w:val="16"/>
                <w:szCs w:val="16"/>
              </w:rPr>
              <w:t>secretory myeloma patients only, at least a 50% increase in the difference between involved free light chain and uninvolved free light chain; or</w:t>
            </w:r>
            <w:r w:rsidRPr="00E106BD">
              <w:rPr>
                <w:rFonts w:ascii="Arial" w:hAnsi="Arial" w:cs="Arial"/>
                <w:sz w:val="16"/>
                <w:szCs w:val="16"/>
              </w:rPr>
              <w:br/>
              <w:t>(d) at least a 25% relative increase and at least a 10% absolute increase in plasma cells in a bone marrow aspirate or on biopsy; or</w:t>
            </w:r>
            <w:r w:rsidRPr="00E106BD">
              <w:rPr>
                <w:rFonts w:ascii="Arial" w:hAnsi="Arial" w:cs="Arial"/>
                <w:sz w:val="16"/>
                <w:szCs w:val="16"/>
              </w:rPr>
              <w:br/>
              <w:t>(e) an increase in the size or number of lytic bone lesions (not including compression fractures); or</w:t>
            </w:r>
            <w:r w:rsidRPr="00E106BD">
              <w:rPr>
                <w:rFonts w:ascii="Arial" w:hAnsi="Arial" w:cs="Arial"/>
                <w:sz w:val="16"/>
                <w:szCs w:val="16"/>
              </w:rPr>
              <w:br/>
              <w:t>(f) at least a 25% increase in the size of an existing or the development of a new soft tissue plasmacytoma (determined by clinical examination or diagnostic imaging); or</w:t>
            </w:r>
            <w:r w:rsidRPr="00E106BD">
              <w:rPr>
                <w:rFonts w:ascii="Arial" w:hAnsi="Arial" w:cs="Arial"/>
                <w:sz w:val="16"/>
                <w:szCs w:val="16"/>
              </w:rPr>
              <w:br/>
              <w:t>(g) development of hypercalcaemia (corrected serum calcium greater than 2.65 mmol per L not attributable to any other cause).</w:t>
            </w:r>
            <w:r w:rsidRPr="00E106BD">
              <w:rPr>
                <w:rFonts w:ascii="Arial" w:hAnsi="Arial" w:cs="Arial"/>
                <w:sz w:val="16"/>
                <w:szCs w:val="16"/>
              </w:rPr>
              <w:br/>
              <w:t>Patients receiving this drug under the PBS listing must be registered in the i</w:t>
            </w:r>
            <w:r>
              <w:rPr>
                <w:rFonts w:ascii="Arial" w:hAnsi="Arial" w:cs="Arial"/>
                <w:sz w:val="16"/>
                <w:szCs w:val="16"/>
              </w:rPr>
              <w:noBreakHyphen/>
            </w:r>
            <w:r w:rsidRPr="00E106BD">
              <w:rPr>
                <w:rFonts w:ascii="Arial" w:hAnsi="Arial" w:cs="Arial"/>
                <w:sz w:val="16"/>
                <w:szCs w:val="16"/>
              </w:rPr>
              <w:t>access risk management program.</w:t>
            </w:r>
          </w:p>
        </w:tc>
        <w:tc>
          <w:tcPr>
            <w:tcW w:w="2552" w:type="dxa"/>
            <w:shd w:val="clear" w:color="auto" w:fill="auto"/>
            <w:tcMar>
              <w:top w:w="28" w:type="dxa"/>
              <w:left w:w="28" w:type="dxa"/>
              <w:right w:w="57" w:type="dxa"/>
            </w:tcMar>
          </w:tcPr>
          <w:p w:rsidR="00BD18B1" w:rsidRPr="00E106BD" w:rsidRDefault="00BD18B1" w:rsidP="00935EA7">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BD18B1" w:rsidRPr="00E106BD" w:rsidDel="009248F0" w:rsidTr="008929EB">
        <w:tc>
          <w:tcPr>
            <w:tcW w:w="1729" w:type="dxa"/>
            <w:shd w:val="clear" w:color="auto" w:fill="auto"/>
            <w:tcMar>
              <w:top w:w="28" w:type="dxa"/>
              <w:left w:w="28" w:type="dxa"/>
            </w:tcMar>
          </w:tcPr>
          <w:p w:rsidR="00BD18B1" w:rsidRPr="00E106BD" w:rsidDel="009248F0" w:rsidRDefault="00BD18B1"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BD18B1" w:rsidRPr="00E106BD" w:rsidRDefault="00BD18B1" w:rsidP="00881477">
            <w:pPr>
              <w:spacing w:line="240" w:lineRule="auto"/>
              <w:rPr>
                <w:rFonts w:ascii="Arial" w:hAnsi="Arial" w:cs="Arial"/>
                <w:sz w:val="16"/>
                <w:szCs w:val="16"/>
              </w:rPr>
            </w:pPr>
            <w:r w:rsidRPr="00E106BD">
              <w:rPr>
                <w:rFonts w:ascii="Arial" w:hAnsi="Arial" w:cs="Arial"/>
                <w:sz w:val="16"/>
                <w:szCs w:val="16"/>
              </w:rPr>
              <w:t>C7952</w:t>
            </w:r>
          </w:p>
        </w:tc>
        <w:tc>
          <w:tcPr>
            <w:tcW w:w="709" w:type="dxa"/>
            <w:shd w:val="clear" w:color="auto" w:fill="auto"/>
            <w:tcMar>
              <w:top w:w="28" w:type="dxa"/>
              <w:left w:w="28" w:type="dxa"/>
            </w:tcMar>
          </w:tcPr>
          <w:p w:rsidR="00BD18B1" w:rsidRPr="00E106BD" w:rsidDel="009248F0" w:rsidRDefault="00BD18B1"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BD18B1" w:rsidRPr="00E106BD" w:rsidRDefault="00BD18B1" w:rsidP="00881477">
            <w:pPr>
              <w:spacing w:after="60" w:line="240" w:lineRule="auto"/>
              <w:rPr>
                <w:rFonts w:ascii="Arial" w:hAnsi="Arial" w:cs="Arial"/>
                <w:sz w:val="16"/>
                <w:szCs w:val="16"/>
              </w:rPr>
            </w:pPr>
            <w:r w:rsidRPr="00E106BD">
              <w:rPr>
                <w:rFonts w:ascii="Arial" w:hAnsi="Arial" w:cs="Arial"/>
                <w:sz w:val="16"/>
                <w:szCs w:val="16"/>
              </w:rPr>
              <w:t>Multiple myeloma</w:t>
            </w:r>
            <w:r w:rsidRPr="00E106BD">
              <w:rPr>
                <w:rFonts w:ascii="Arial" w:hAnsi="Arial" w:cs="Arial"/>
                <w:sz w:val="16"/>
                <w:szCs w:val="16"/>
              </w:rPr>
              <w:br/>
              <w:t>Initial treatment</w:t>
            </w:r>
            <w:r w:rsidRPr="00E106BD">
              <w:rPr>
                <w:rFonts w:ascii="Arial" w:hAnsi="Arial" w:cs="Arial"/>
                <w:sz w:val="16"/>
                <w:szCs w:val="16"/>
              </w:rPr>
              <w:br/>
              <w:t>The treatment must be in combination with dexamethasone; AND</w:t>
            </w:r>
            <w:r w:rsidRPr="00E106BD">
              <w:rPr>
                <w:rFonts w:ascii="Arial" w:hAnsi="Arial" w:cs="Arial"/>
                <w:sz w:val="16"/>
                <w:szCs w:val="16"/>
              </w:rPr>
              <w:br/>
              <w:t>Patient must have undergone or be ineligible for a primary stem cell transplant; AND</w:t>
            </w:r>
            <w:r w:rsidRPr="00E106BD">
              <w:rPr>
                <w:rFonts w:ascii="Arial" w:hAnsi="Arial" w:cs="Arial"/>
                <w:sz w:val="16"/>
                <w:szCs w:val="16"/>
              </w:rPr>
              <w:br/>
              <w:t>Patient must have experienced treatment failure with lenalidomide, unless contraindicated or not tolerated according to the Therapeutic Goods Administration (TGA) approved Product Information; AND</w:t>
            </w:r>
            <w:r w:rsidRPr="00E106BD">
              <w:rPr>
                <w:rFonts w:ascii="Arial" w:hAnsi="Arial" w:cs="Arial"/>
                <w:sz w:val="16"/>
                <w:szCs w:val="16"/>
              </w:rPr>
              <w:br/>
              <w:t>Patient must have experienced treatment failure with bortezomib, unless contraindicated or not tolerated according to the Therapeutic Goods Administration (TGA) approved Product Information; AND</w:t>
            </w:r>
            <w:r w:rsidRPr="00E106BD">
              <w:rPr>
                <w:rFonts w:ascii="Arial" w:hAnsi="Arial" w:cs="Arial"/>
                <w:sz w:val="16"/>
                <w:szCs w:val="16"/>
              </w:rPr>
              <w:br/>
              <w:t>Patient must not be receiving concomitant PBS</w:t>
            </w:r>
            <w:r>
              <w:rPr>
                <w:rFonts w:ascii="Arial" w:hAnsi="Arial" w:cs="Arial"/>
                <w:sz w:val="16"/>
                <w:szCs w:val="16"/>
              </w:rPr>
              <w:noBreakHyphen/>
            </w:r>
            <w:r w:rsidRPr="00E106BD">
              <w:rPr>
                <w:rFonts w:ascii="Arial" w:hAnsi="Arial" w:cs="Arial"/>
                <w:sz w:val="16"/>
                <w:szCs w:val="16"/>
              </w:rPr>
              <w:t>subsidised bortezomib, carfilzomib or thalidomide or its analogues.</w:t>
            </w:r>
            <w:r w:rsidRPr="00E106BD">
              <w:rPr>
                <w:rFonts w:ascii="Arial" w:hAnsi="Arial" w:cs="Arial"/>
                <w:sz w:val="16"/>
                <w:szCs w:val="16"/>
              </w:rPr>
              <w:br/>
              <w:t>Bortezomib treatment failure is the absence of achieving at least a partial response or as progressive disease during treatment or within 6 months of discontinuing treatment with bortezomib. Lenalidomide treatment failure is progressive disease during treatment or within 6 months of discontinuing treatment with lenalidomide.</w:t>
            </w:r>
            <w:r w:rsidRPr="00E106BD">
              <w:rPr>
                <w:rFonts w:ascii="Arial" w:hAnsi="Arial" w:cs="Arial"/>
                <w:sz w:val="16"/>
                <w:szCs w:val="16"/>
              </w:rPr>
              <w:br/>
              <w:t>If treatment with either bortezomib or lenalidomide is contraindicated according to the relevant TGA</w:t>
            </w:r>
            <w:r>
              <w:rPr>
                <w:rFonts w:ascii="Arial" w:hAnsi="Arial" w:cs="Arial"/>
                <w:sz w:val="16"/>
                <w:szCs w:val="16"/>
              </w:rPr>
              <w:noBreakHyphen/>
            </w:r>
            <w:r w:rsidRPr="00E106BD">
              <w:rPr>
                <w:rFonts w:ascii="Arial" w:hAnsi="Arial" w:cs="Arial"/>
                <w:sz w:val="16"/>
                <w:szCs w:val="16"/>
              </w:rPr>
              <w:t>approved Product Information, the application must provide details of the contraindication.</w:t>
            </w:r>
            <w:r w:rsidRPr="00E106BD">
              <w:rPr>
                <w:rFonts w:ascii="Arial" w:hAnsi="Arial" w:cs="Arial"/>
                <w:sz w:val="16"/>
                <w:szCs w:val="16"/>
              </w:rPr>
              <w:br/>
              <w:t>If intolerance to either bortezomib or lenolidomide treatment develops during the relevant period of use which is of a severity to necessitate withdrawal of the treatment, the application must provide details of the nature and severity of this intolerance.</w:t>
            </w:r>
            <w:r w:rsidRPr="00E106BD">
              <w:rPr>
                <w:rFonts w:ascii="Arial" w:hAnsi="Arial" w:cs="Arial"/>
                <w:sz w:val="16"/>
                <w:szCs w:val="16"/>
              </w:rPr>
              <w:br/>
              <w:t>Progressive disease is defined as at least 1 of the following:</w:t>
            </w:r>
            <w:r w:rsidRPr="00E106BD">
              <w:rPr>
                <w:rFonts w:ascii="Arial" w:hAnsi="Arial" w:cs="Arial"/>
                <w:sz w:val="16"/>
                <w:szCs w:val="16"/>
              </w:rPr>
              <w:br/>
              <w:t>(a) at least a 25% increase and an absolute increase of at least 5 g per L in serum M protein (monoclonal protein); or</w:t>
            </w:r>
            <w:r w:rsidRPr="00E106BD">
              <w:rPr>
                <w:rFonts w:ascii="Arial" w:hAnsi="Arial" w:cs="Arial"/>
                <w:sz w:val="16"/>
                <w:szCs w:val="16"/>
              </w:rPr>
              <w:br/>
              <w:t>(b) at least a 25% increase in 24</w:t>
            </w:r>
            <w:r>
              <w:rPr>
                <w:rFonts w:ascii="Arial" w:hAnsi="Arial" w:cs="Arial"/>
                <w:sz w:val="16"/>
                <w:szCs w:val="16"/>
              </w:rPr>
              <w:noBreakHyphen/>
            </w:r>
            <w:r w:rsidRPr="00E106BD">
              <w:rPr>
                <w:rFonts w:ascii="Arial" w:hAnsi="Arial" w:cs="Arial"/>
                <w:sz w:val="16"/>
                <w:szCs w:val="16"/>
              </w:rPr>
              <w:t>hour urinary light chain M protein excretion, and an absolute increase of at least 200 mg per 24 hours; or</w:t>
            </w:r>
            <w:r w:rsidRPr="00E106BD">
              <w:rPr>
                <w:rFonts w:ascii="Arial" w:hAnsi="Arial" w:cs="Arial"/>
                <w:sz w:val="16"/>
                <w:szCs w:val="16"/>
              </w:rPr>
              <w:br/>
              <w:t>(c) in oligo</w:t>
            </w:r>
            <w:r>
              <w:rPr>
                <w:rFonts w:ascii="Arial" w:hAnsi="Arial" w:cs="Arial"/>
                <w:sz w:val="16"/>
                <w:szCs w:val="16"/>
              </w:rPr>
              <w:noBreakHyphen/>
            </w:r>
            <w:r w:rsidRPr="00E106BD">
              <w:rPr>
                <w:rFonts w:ascii="Arial" w:hAnsi="Arial" w:cs="Arial"/>
                <w:sz w:val="16"/>
                <w:szCs w:val="16"/>
              </w:rPr>
              <w:t>secretory and non</w:t>
            </w:r>
            <w:r>
              <w:rPr>
                <w:rFonts w:ascii="Arial" w:hAnsi="Arial" w:cs="Arial"/>
                <w:sz w:val="16"/>
                <w:szCs w:val="16"/>
              </w:rPr>
              <w:noBreakHyphen/>
            </w:r>
            <w:r w:rsidRPr="00E106BD">
              <w:rPr>
                <w:rFonts w:ascii="Arial" w:hAnsi="Arial" w:cs="Arial"/>
                <w:sz w:val="16"/>
                <w:szCs w:val="16"/>
              </w:rPr>
              <w:t>secretory myeloma patients only, at least a 50% increase in the difference between involved free light chain and uninvolved free light chain; or</w:t>
            </w:r>
            <w:r w:rsidRPr="00E106BD">
              <w:rPr>
                <w:rFonts w:ascii="Arial" w:hAnsi="Arial" w:cs="Arial"/>
                <w:sz w:val="16"/>
                <w:szCs w:val="16"/>
              </w:rPr>
              <w:br/>
              <w:t>(d) at least a 25% relative increase and at least a 10% absolute increase in plasma cells in a bone marrow aspirate or on biopsy; or</w:t>
            </w:r>
            <w:r w:rsidRPr="00E106BD">
              <w:rPr>
                <w:rFonts w:ascii="Arial" w:hAnsi="Arial" w:cs="Arial"/>
                <w:sz w:val="16"/>
                <w:szCs w:val="16"/>
              </w:rPr>
              <w:br/>
              <w:t>(e) an increase in the size or number of lytic bone lesions (not including compression fractures); or</w:t>
            </w:r>
            <w:r w:rsidRPr="00E106BD">
              <w:rPr>
                <w:rFonts w:ascii="Arial" w:hAnsi="Arial" w:cs="Arial"/>
                <w:sz w:val="16"/>
                <w:szCs w:val="16"/>
              </w:rPr>
              <w:br/>
              <w:t>(f) at least a 25% increase in the size of an existing or the development of a new soft tissue plasmacytoma (determined by clinical examination or diagnostic imaging); or</w:t>
            </w:r>
            <w:r w:rsidRPr="00E106BD">
              <w:rPr>
                <w:rFonts w:ascii="Arial" w:hAnsi="Arial" w:cs="Arial"/>
                <w:sz w:val="16"/>
                <w:szCs w:val="16"/>
              </w:rPr>
              <w:br/>
              <w:t>(g) development of hypercalcaemia (corrected serum calcium greater than 2.65 mmol per L not attributable to any other cause).</w:t>
            </w:r>
            <w:r w:rsidRPr="00E106BD">
              <w:rPr>
                <w:rFonts w:ascii="Arial" w:hAnsi="Arial" w:cs="Arial"/>
                <w:sz w:val="16"/>
                <w:szCs w:val="16"/>
              </w:rPr>
              <w:br/>
              <w:t>Oligo</w:t>
            </w:r>
            <w:r>
              <w:rPr>
                <w:rFonts w:ascii="Arial" w:hAnsi="Arial" w:cs="Arial"/>
                <w:sz w:val="16"/>
                <w:szCs w:val="16"/>
              </w:rPr>
              <w:noBreakHyphen/>
            </w:r>
            <w:r w:rsidRPr="00E106BD">
              <w:rPr>
                <w:rFonts w:ascii="Arial" w:hAnsi="Arial" w:cs="Arial"/>
                <w:sz w:val="16"/>
                <w:szCs w:val="16"/>
              </w:rPr>
              <w:t>secretory and non</w:t>
            </w:r>
            <w:r>
              <w:rPr>
                <w:rFonts w:ascii="Arial" w:hAnsi="Arial" w:cs="Arial"/>
                <w:sz w:val="16"/>
                <w:szCs w:val="16"/>
              </w:rPr>
              <w:noBreakHyphen/>
            </w:r>
            <w:r w:rsidRPr="00E106BD">
              <w:rPr>
                <w:rFonts w:ascii="Arial" w:hAnsi="Arial" w:cs="Arial"/>
                <w:sz w:val="16"/>
                <w:szCs w:val="16"/>
              </w:rPr>
              <w:t>secretory patients are defined as having active disease with less than 10 g per L serum M protein.</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 and</w:t>
            </w:r>
            <w:r w:rsidRPr="00E106BD">
              <w:rPr>
                <w:rFonts w:ascii="Arial" w:hAnsi="Arial" w:cs="Arial"/>
                <w:sz w:val="16"/>
                <w:szCs w:val="16"/>
              </w:rPr>
              <w:br/>
              <w:t>(2) a completed Multiple Myeloma pomalidomide Authority Application Supporting Information form; and</w:t>
            </w:r>
            <w:r w:rsidRPr="00E106BD">
              <w:rPr>
                <w:rFonts w:ascii="Arial" w:hAnsi="Arial" w:cs="Arial"/>
                <w:sz w:val="16"/>
                <w:szCs w:val="16"/>
              </w:rPr>
              <w:br/>
              <w:t>(3) reports demonstrating the patient has failed treatment with, providing details of the contraindication to or details of the nature and severity of the intolerance to lenalidomide; and</w:t>
            </w:r>
            <w:r w:rsidRPr="00E106BD">
              <w:rPr>
                <w:rFonts w:ascii="Arial" w:hAnsi="Arial" w:cs="Arial"/>
                <w:sz w:val="16"/>
                <w:szCs w:val="16"/>
              </w:rPr>
              <w:br/>
              <w:t>(4) reports demonstrating the patient has failed treatment with, providing details of the contraindication to or details of the nature and severity of the intolerance to bortezomib.</w:t>
            </w:r>
            <w:r w:rsidRPr="00E106BD">
              <w:rPr>
                <w:rFonts w:ascii="Arial" w:hAnsi="Arial" w:cs="Arial"/>
                <w:sz w:val="16"/>
                <w:szCs w:val="16"/>
              </w:rPr>
              <w:br/>
              <w:t>Patients receiving this drug under the PBS listing must be registered in the i</w:t>
            </w:r>
            <w:r>
              <w:rPr>
                <w:rFonts w:ascii="Arial" w:hAnsi="Arial" w:cs="Arial"/>
                <w:sz w:val="16"/>
                <w:szCs w:val="16"/>
              </w:rPr>
              <w:noBreakHyphen/>
            </w:r>
            <w:r w:rsidRPr="00E106BD">
              <w:rPr>
                <w:rFonts w:ascii="Arial" w:hAnsi="Arial" w:cs="Arial"/>
                <w:sz w:val="16"/>
                <w:szCs w:val="16"/>
              </w:rPr>
              <w:t>access risk management program.</w:t>
            </w:r>
          </w:p>
        </w:tc>
        <w:tc>
          <w:tcPr>
            <w:tcW w:w="2552" w:type="dxa"/>
            <w:shd w:val="clear" w:color="auto" w:fill="auto"/>
            <w:tcMar>
              <w:top w:w="28" w:type="dxa"/>
              <w:left w:w="28" w:type="dxa"/>
              <w:right w:w="57" w:type="dxa"/>
            </w:tcMar>
          </w:tcPr>
          <w:p w:rsidR="00BD18B1" w:rsidRPr="00E106BD" w:rsidRDefault="00BD18B1" w:rsidP="00935EA7">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104560" w:rsidRPr="00553514" w:rsidDel="00B139BA" w:rsidTr="008929EB">
        <w:tc>
          <w:tcPr>
            <w:tcW w:w="1729" w:type="dxa"/>
            <w:tcBorders>
              <w:bottom w:val="single" w:sz="4" w:space="0" w:color="auto"/>
            </w:tcBorders>
            <w:shd w:val="clear" w:color="auto" w:fill="auto"/>
            <w:tcMar>
              <w:top w:w="28" w:type="dxa"/>
              <w:left w:w="28" w:type="dxa"/>
            </w:tcMar>
          </w:tcPr>
          <w:p w:rsidR="00104560" w:rsidRPr="00553514" w:rsidRDefault="00104560" w:rsidP="00881477">
            <w:pPr>
              <w:spacing w:line="240" w:lineRule="auto"/>
              <w:rPr>
                <w:rFonts w:ascii="Arial" w:eastAsia="SimSun" w:hAnsi="Arial" w:cs="Arial"/>
                <w:sz w:val="16"/>
                <w:szCs w:val="16"/>
                <w:lang w:eastAsia="zh-CN"/>
              </w:rPr>
            </w:pPr>
            <w:bookmarkStart w:id="218" w:name="CU_462709293"/>
            <w:bookmarkStart w:id="219" w:name="CU_466710830"/>
            <w:bookmarkEnd w:id="218"/>
            <w:bookmarkEnd w:id="219"/>
            <w:r w:rsidRPr="00553514">
              <w:rPr>
                <w:rFonts w:ascii="Arial" w:eastAsia="SimSun" w:hAnsi="Arial" w:cs="Arial"/>
                <w:sz w:val="16"/>
                <w:szCs w:val="16"/>
                <w:lang w:eastAsia="zh-CN"/>
              </w:rPr>
              <w:t>Raltegravir</w:t>
            </w:r>
          </w:p>
        </w:tc>
        <w:tc>
          <w:tcPr>
            <w:tcW w:w="709" w:type="dxa"/>
            <w:tcBorders>
              <w:bottom w:val="single" w:sz="4" w:space="0" w:color="auto"/>
            </w:tcBorders>
            <w:shd w:val="clear" w:color="auto" w:fill="auto"/>
            <w:tcMar>
              <w:top w:w="28" w:type="dxa"/>
              <w:left w:w="28" w:type="dxa"/>
            </w:tcMar>
          </w:tcPr>
          <w:p w:rsidR="00104560" w:rsidRPr="00553514" w:rsidRDefault="00104560" w:rsidP="00881477">
            <w:pPr>
              <w:spacing w:line="240" w:lineRule="auto"/>
              <w:rPr>
                <w:rFonts w:ascii="Arial" w:eastAsia="SimSun" w:hAnsi="Arial" w:cs="Arial"/>
                <w:sz w:val="16"/>
                <w:szCs w:val="16"/>
                <w:lang w:eastAsia="zh-CN"/>
              </w:rPr>
            </w:pPr>
            <w:r w:rsidRPr="00913CDF">
              <w:rPr>
                <w:rFonts w:ascii="Arial" w:hAnsi="Arial" w:cs="Arial"/>
                <w:sz w:val="16"/>
                <w:szCs w:val="16"/>
              </w:rPr>
              <w:t>C4274</w:t>
            </w:r>
          </w:p>
        </w:tc>
        <w:tc>
          <w:tcPr>
            <w:tcW w:w="709" w:type="dxa"/>
            <w:tcBorders>
              <w:bottom w:val="single" w:sz="4" w:space="0" w:color="auto"/>
            </w:tcBorders>
            <w:shd w:val="clear" w:color="auto" w:fill="auto"/>
            <w:tcMar>
              <w:top w:w="28" w:type="dxa"/>
              <w:left w:w="28" w:type="dxa"/>
            </w:tcMar>
          </w:tcPr>
          <w:p w:rsidR="00104560" w:rsidRPr="00553514" w:rsidDel="00B139BA"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553514" w:rsidRDefault="00104560" w:rsidP="00881477">
            <w:pPr>
              <w:spacing w:line="240" w:lineRule="auto"/>
              <w:rPr>
                <w:rFonts w:ascii="Arial" w:eastAsia="SimSun" w:hAnsi="Arial" w:cs="Arial"/>
                <w:sz w:val="16"/>
                <w:szCs w:val="16"/>
                <w:lang w:eastAsia="zh-CN"/>
              </w:rPr>
            </w:pPr>
            <w:r w:rsidRPr="00913CDF">
              <w:rPr>
                <w:rFonts w:ascii="Arial" w:hAnsi="Arial" w:cs="Arial"/>
                <w:sz w:val="16"/>
                <w:szCs w:val="16"/>
              </w:rPr>
              <w:t>HIV infection</w:t>
            </w:r>
            <w:r w:rsidRPr="00913CDF">
              <w:rPr>
                <w:rFonts w:ascii="Arial" w:hAnsi="Arial" w:cs="Arial"/>
                <w:sz w:val="16"/>
                <w:szCs w:val="16"/>
              </w:rPr>
              <w:br/>
              <w:t>Continuing</w:t>
            </w:r>
            <w:r w:rsidRPr="00913CDF">
              <w:rPr>
                <w:rFonts w:ascii="Arial" w:hAnsi="Arial" w:cs="Arial"/>
                <w:sz w:val="16"/>
                <w:szCs w:val="16"/>
              </w:rPr>
              <w:br/>
              <w:t>The treatment must be in combination with other antiretroviral agents; AND</w:t>
            </w:r>
            <w:r w:rsidRPr="00913CDF">
              <w:rPr>
                <w:rFonts w:ascii="Arial" w:hAnsi="Arial" w:cs="Arial"/>
                <w:sz w:val="16"/>
                <w:szCs w:val="16"/>
              </w:rPr>
              <w:br/>
              <w:t>Patient must be antiretroviral experienced with at least 6 months therapy with 2 alternate classes of anti-retroviral therapy; AND</w:t>
            </w:r>
            <w:r w:rsidRPr="00913CDF">
              <w:rPr>
                <w:rFonts w:ascii="Arial" w:hAnsi="Arial" w:cs="Arial"/>
                <w:sz w:val="16"/>
                <w:szCs w:val="16"/>
              </w:rPr>
              <w:br/>
              <w:t>Patient must have previously received PBS-subsidised therapy for HIV infection.</w:t>
            </w:r>
            <w:r w:rsidRPr="00913CDF">
              <w:rPr>
                <w:rFonts w:ascii="Arial" w:hAnsi="Arial" w:cs="Arial"/>
                <w:sz w:val="16"/>
                <w:szCs w:val="16"/>
              </w:rPr>
              <w:br/>
              <w:t>Patient must be aged 2 years or older.</w:t>
            </w:r>
          </w:p>
        </w:tc>
        <w:tc>
          <w:tcPr>
            <w:tcW w:w="2552" w:type="dxa"/>
            <w:tcBorders>
              <w:bottom w:val="single" w:sz="4" w:space="0" w:color="auto"/>
            </w:tcBorders>
            <w:shd w:val="clear" w:color="auto" w:fill="auto"/>
            <w:tcMar>
              <w:top w:w="28" w:type="dxa"/>
              <w:left w:w="28" w:type="dxa"/>
              <w:right w:w="57" w:type="dxa"/>
            </w:tcMar>
          </w:tcPr>
          <w:p w:rsidR="00104560" w:rsidRPr="00553514" w:rsidRDefault="00104560" w:rsidP="00935EA7">
            <w:pPr>
              <w:spacing w:line="240" w:lineRule="auto"/>
              <w:rPr>
                <w:rFonts w:ascii="Arial" w:eastAsia="SimSun" w:hAnsi="Arial" w:cs="Arial"/>
                <w:sz w:val="16"/>
                <w:szCs w:val="16"/>
                <w:lang w:eastAsia="zh-CN"/>
              </w:rPr>
            </w:pPr>
            <w:r w:rsidRPr="00913CDF">
              <w:rPr>
                <w:rFonts w:ascii="Arial" w:hAnsi="Arial" w:cs="Arial"/>
                <w:sz w:val="16"/>
                <w:szCs w:val="16"/>
              </w:rPr>
              <w:t>Compliance with Authority Required procedures - Streamlined Authority Code 4274</w:t>
            </w:r>
          </w:p>
        </w:tc>
      </w:tr>
      <w:tr w:rsidR="00104560" w:rsidRPr="00553514" w:rsidDel="00B139BA" w:rsidTr="008929EB">
        <w:tc>
          <w:tcPr>
            <w:tcW w:w="1729" w:type="dxa"/>
            <w:tcBorders>
              <w:bottom w:val="single" w:sz="4" w:space="0" w:color="auto"/>
            </w:tcBorders>
            <w:shd w:val="clear" w:color="auto" w:fill="auto"/>
            <w:tcMar>
              <w:top w:w="28" w:type="dxa"/>
              <w:left w:w="28" w:type="dxa"/>
            </w:tcMar>
          </w:tcPr>
          <w:p w:rsidR="00104560" w:rsidRPr="00553514"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553514" w:rsidRDefault="00104560" w:rsidP="00881477">
            <w:pPr>
              <w:spacing w:line="240" w:lineRule="auto"/>
              <w:rPr>
                <w:rFonts w:ascii="Arial" w:hAnsi="Arial" w:cs="Arial"/>
                <w:sz w:val="16"/>
                <w:szCs w:val="16"/>
              </w:rPr>
            </w:pPr>
            <w:r w:rsidRPr="00104560">
              <w:rPr>
                <w:rFonts w:ascii="Arial" w:hAnsi="Arial" w:cs="Arial"/>
                <w:sz w:val="16"/>
                <w:szCs w:val="16"/>
              </w:rPr>
              <w:t>C4275</w:t>
            </w:r>
          </w:p>
        </w:tc>
        <w:tc>
          <w:tcPr>
            <w:tcW w:w="709" w:type="dxa"/>
            <w:tcBorders>
              <w:bottom w:val="single" w:sz="4" w:space="0" w:color="auto"/>
            </w:tcBorders>
            <w:shd w:val="clear" w:color="auto" w:fill="auto"/>
            <w:tcMar>
              <w:top w:w="28" w:type="dxa"/>
              <w:left w:w="28" w:type="dxa"/>
            </w:tcMar>
          </w:tcPr>
          <w:p w:rsidR="00104560" w:rsidRPr="00553514" w:rsidDel="00B139BA"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553514" w:rsidRDefault="00104560" w:rsidP="00881477">
            <w:pPr>
              <w:spacing w:line="240" w:lineRule="auto"/>
              <w:rPr>
                <w:rFonts w:ascii="Arial" w:hAnsi="Arial" w:cs="Arial"/>
                <w:sz w:val="16"/>
                <w:szCs w:val="16"/>
              </w:rPr>
            </w:pPr>
            <w:r w:rsidRPr="00104560">
              <w:rPr>
                <w:rFonts w:ascii="Arial" w:hAnsi="Arial" w:cs="Arial"/>
                <w:sz w:val="16"/>
                <w:szCs w:val="16"/>
              </w:rPr>
              <w:t>HIV infection</w:t>
            </w:r>
            <w:r w:rsidRPr="00104560">
              <w:rPr>
                <w:rFonts w:ascii="Arial" w:hAnsi="Arial" w:cs="Arial"/>
                <w:sz w:val="16"/>
                <w:szCs w:val="16"/>
              </w:rPr>
              <w:br/>
              <w:t>Initial</w:t>
            </w:r>
            <w:r w:rsidRPr="00104560">
              <w:rPr>
                <w:rFonts w:ascii="Arial" w:hAnsi="Arial" w:cs="Arial"/>
                <w:sz w:val="16"/>
                <w:szCs w:val="16"/>
              </w:rPr>
              <w:br/>
              <w:t>The treatment must be in combination with other antiretroviral agents; AND</w:t>
            </w:r>
            <w:r w:rsidRPr="00104560">
              <w:rPr>
                <w:rFonts w:ascii="Arial" w:hAnsi="Arial" w:cs="Arial"/>
                <w:sz w:val="16"/>
                <w:szCs w:val="16"/>
              </w:rPr>
              <w:br/>
              <w:t>Patient must be antiretroviral experienced with at least 6 months therapy with 2 alternate classes of anti-retroviral therapy; AND</w:t>
            </w:r>
            <w:r w:rsidRPr="00104560">
              <w:rPr>
                <w:rFonts w:ascii="Arial" w:hAnsi="Arial" w:cs="Arial"/>
                <w:sz w:val="16"/>
                <w:szCs w:val="16"/>
              </w:rPr>
              <w:br/>
              <w:t>Patient must have a CD4 count of less than 500 per cubic millimetre; OR</w:t>
            </w:r>
            <w:r w:rsidRPr="00104560">
              <w:rPr>
                <w:rFonts w:ascii="Arial" w:hAnsi="Arial" w:cs="Arial"/>
                <w:sz w:val="16"/>
                <w:szCs w:val="16"/>
              </w:rPr>
              <w:br/>
              <w:t>Patient must have symptomatic HIV disease.</w:t>
            </w:r>
            <w:r w:rsidRPr="00104560">
              <w:rPr>
                <w:rFonts w:ascii="Arial" w:hAnsi="Arial" w:cs="Arial"/>
                <w:sz w:val="16"/>
                <w:szCs w:val="16"/>
              </w:rPr>
              <w:br/>
              <w:t>Patient must be aged 2 years or older.</w:t>
            </w:r>
          </w:p>
        </w:tc>
        <w:tc>
          <w:tcPr>
            <w:tcW w:w="2552" w:type="dxa"/>
            <w:tcBorders>
              <w:bottom w:val="single" w:sz="4" w:space="0" w:color="auto"/>
            </w:tcBorders>
            <w:shd w:val="clear" w:color="auto" w:fill="auto"/>
            <w:tcMar>
              <w:top w:w="28" w:type="dxa"/>
              <w:left w:w="28" w:type="dxa"/>
              <w:right w:w="57" w:type="dxa"/>
            </w:tcMar>
          </w:tcPr>
          <w:p w:rsidR="00104560" w:rsidRPr="00553514" w:rsidRDefault="00104560" w:rsidP="00935EA7">
            <w:pPr>
              <w:spacing w:line="240" w:lineRule="auto"/>
              <w:rPr>
                <w:rFonts w:ascii="Arial" w:hAnsi="Arial" w:cs="Arial"/>
                <w:sz w:val="16"/>
                <w:szCs w:val="16"/>
              </w:rPr>
            </w:pPr>
            <w:r w:rsidRPr="00104560">
              <w:rPr>
                <w:rFonts w:ascii="Arial" w:hAnsi="Arial" w:cs="Arial"/>
                <w:sz w:val="16"/>
                <w:szCs w:val="16"/>
              </w:rPr>
              <w:t>Compliance with Authority Required procedures - Streamlined Authority Code 4275</w:t>
            </w:r>
          </w:p>
        </w:tc>
      </w:tr>
      <w:tr w:rsidR="00104560" w:rsidRPr="00E106BD" w:rsidDel="00B139BA" w:rsidTr="008929EB">
        <w:trPr>
          <w:cantSplit/>
        </w:trPr>
        <w:tc>
          <w:tcPr>
            <w:tcW w:w="1729" w:type="dxa"/>
            <w:tcBorders>
              <w:bottom w:val="single" w:sz="4" w:space="0" w:color="auto"/>
            </w:tcBorders>
            <w:shd w:val="clear" w:color="auto" w:fill="auto"/>
            <w:tcMar>
              <w:top w:w="28" w:type="dxa"/>
              <w:left w:w="28" w:type="dxa"/>
            </w:tcMar>
          </w:tcPr>
          <w:p w:rsidR="00104560" w:rsidRPr="00E106BD" w:rsidDel="00B139BA"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Del="00B139B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Borders>
              <w:bottom w:val="single" w:sz="4" w:space="0" w:color="auto"/>
            </w:tcBorders>
            <w:shd w:val="clear" w:color="auto" w:fill="auto"/>
            <w:tcMar>
              <w:top w:w="28" w:type="dxa"/>
              <w:left w:w="28" w:type="dxa"/>
            </w:tcMar>
          </w:tcPr>
          <w:p w:rsidR="00104560" w:rsidRPr="00E106BD" w:rsidDel="00B139BA"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104560" w:rsidRPr="00E106BD" w:rsidDel="00B139B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104560" w:rsidRPr="00E106BD" w:rsidDel="00B139BA" w:rsidRDefault="00104560"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104560" w:rsidRPr="00E106BD" w:rsidDel="00B139BA" w:rsidTr="008929EB">
        <w:trPr>
          <w:cantSplit/>
        </w:trPr>
        <w:tc>
          <w:tcPr>
            <w:tcW w:w="1729" w:type="dxa"/>
            <w:tcBorders>
              <w:bottom w:val="single" w:sz="4" w:space="0" w:color="auto"/>
            </w:tcBorders>
            <w:shd w:val="clear" w:color="auto" w:fill="auto"/>
            <w:tcMar>
              <w:top w:w="28" w:type="dxa"/>
              <w:left w:w="28" w:type="dxa"/>
            </w:tcMar>
          </w:tcPr>
          <w:p w:rsidR="00104560" w:rsidRPr="00E106BD" w:rsidDel="00B139BA"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Del="00B139B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Borders>
              <w:bottom w:val="single" w:sz="4" w:space="0" w:color="auto"/>
            </w:tcBorders>
            <w:shd w:val="clear" w:color="auto" w:fill="auto"/>
            <w:tcMar>
              <w:top w:w="28" w:type="dxa"/>
              <w:left w:w="28" w:type="dxa"/>
            </w:tcMar>
          </w:tcPr>
          <w:p w:rsidR="00104560" w:rsidRPr="00E106BD" w:rsidDel="00B139BA"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104560" w:rsidRPr="00E106BD" w:rsidDel="00B139B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104560" w:rsidRPr="00E106BD" w:rsidDel="00B139BA" w:rsidRDefault="00104560"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104560" w:rsidRPr="00E106BD" w:rsidDel="00B139BA" w:rsidTr="008929EB">
        <w:trPr>
          <w:cantSplit/>
        </w:trPr>
        <w:tc>
          <w:tcPr>
            <w:tcW w:w="1729" w:type="dxa"/>
            <w:tcBorders>
              <w:bottom w:val="single" w:sz="4" w:space="0" w:color="auto"/>
            </w:tcBorders>
            <w:shd w:val="clear" w:color="auto" w:fill="auto"/>
            <w:tcMar>
              <w:top w:w="28" w:type="dxa"/>
              <w:left w:w="28" w:type="dxa"/>
            </w:tcMar>
          </w:tcPr>
          <w:p w:rsidR="00104560" w:rsidRPr="00E106BD" w:rsidDel="00B139B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Ribavirin</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C5957</w:t>
            </w:r>
          </w:p>
        </w:tc>
        <w:tc>
          <w:tcPr>
            <w:tcW w:w="709" w:type="dxa"/>
            <w:tcBorders>
              <w:bottom w:val="single" w:sz="4" w:space="0" w:color="auto"/>
            </w:tcBorders>
            <w:shd w:val="clear" w:color="auto" w:fill="auto"/>
            <w:tcMar>
              <w:top w:w="28" w:type="dxa"/>
              <w:left w:w="28" w:type="dxa"/>
            </w:tcMar>
          </w:tcPr>
          <w:p w:rsidR="00104560" w:rsidRPr="00E106BD" w:rsidDel="00B139B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P5957</w:t>
            </w:r>
          </w:p>
        </w:tc>
        <w:tc>
          <w:tcPr>
            <w:tcW w:w="7654"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12 weeks.</w:t>
            </w:r>
            <w:r w:rsidRPr="00E106BD">
              <w:rPr>
                <w:rFonts w:ascii="Arial" w:eastAsia="SimSun" w:hAnsi="Arial" w:cs="Arial"/>
                <w:sz w:val="16"/>
                <w:szCs w:val="16"/>
                <w:lang w:eastAsia="zh-CN"/>
              </w:rPr>
              <w:br/>
              <w:t>Patient must not be pregnant or breastfeeding. Female partners of male patients must not be pregnant. Patients and their partners must each be using an effective form of contraception if of child</w:t>
            </w:r>
            <w:r>
              <w:rPr>
                <w:rFonts w:ascii="Arial" w:eastAsia="SimSun" w:hAnsi="Arial" w:cs="Arial"/>
                <w:sz w:val="16"/>
                <w:szCs w:val="16"/>
                <w:lang w:eastAsia="zh-CN"/>
              </w:rPr>
              <w:noBreakHyphen/>
            </w:r>
            <w:r w:rsidRPr="00E106BD">
              <w:rPr>
                <w:rFonts w:ascii="Arial" w:eastAsia="SimSun" w:hAnsi="Arial" w:cs="Arial"/>
                <w:sz w:val="16"/>
                <w:szCs w:val="16"/>
                <w:lang w:eastAsia="zh-CN"/>
              </w:rPr>
              <w:t>bearing age.</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104560" w:rsidRPr="00E106BD" w:rsidDel="00B139BA" w:rsidTr="008929EB">
        <w:tc>
          <w:tcPr>
            <w:tcW w:w="1729" w:type="dxa"/>
            <w:tcBorders>
              <w:bottom w:val="single" w:sz="4" w:space="0" w:color="auto"/>
            </w:tcBorders>
            <w:shd w:val="clear" w:color="auto" w:fill="auto"/>
            <w:tcMar>
              <w:top w:w="28" w:type="dxa"/>
              <w:left w:w="28" w:type="dxa"/>
            </w:tcMar>
          </w:tcPr>
          <w:p w:rsidR="00104560" w:rsidRPr="00E106BD" w:rsidDel="00B139BA"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C5958</w:t>
            </w:r>
          </w:p>
        </w:tc>
        <w:tc>
          <w:tcPr>
            <w:tcW w:w="709" w:type="dxa"/>
            <w:tcBorders>
              <w:bottom w:val="single" w:sz="4" w:space="0" w:color="auto"/>
            </w:tcBorders>
            <w:shd w:val="clear" w:color="auto" w:fill="auto"/>
            <w:tcMar>
              <w:top w:w="28" w:type="dxa"/>
              <w:left w:w="28" w:type="dxa"/>
            </w:tcMar>
          </w:tcPr>
          <w:p w:rsidR="00104560" w:rsidRPr="00E106BD" w:rsidDel="00B139B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P5958</w:t>
            </w:r>
          </w:p>
        </w:tc>
        <w:tc>
          <w:tcPr>
            <w:tcW w:w="7654"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24 weeks.</w:t>
            </w:r>
            <w:r w:rsidRPr="00E106BD">
              <w:rPr>
                <w:rFonts w:ascii="Arial" w:eastAsia="SimSun" w:hAnsi="Arial" w:cs="Arial"/>
                <w:sz w:val="16"/>
                <w:szCs w:val="16"/>
                <w:lang w:eastAsia="zh-CN"/>
              </w:rPr>
              <w:br/>
              <w:t>Patient must not be pregnant or breastfeeding. Female partners of male patients must not be pregnant. Patients and their partners must each be using an effective form of contraception if of child</w:t>
            </w:r>
            <w:r>
              <w:rPr>
                <w:rFonts w:ascii="Arial" w:eastAsia="SimSun" w:hAnsi="Arial" w:cs="Arial"/>
                <w:sz w:val="16"/>
                <w:szCs w:val="16"/>
                <w:lang w:eastAsia="zh-CN"/>
              </w:rPr>
              <w:noBreakHyphen/>
            </w:r>
            <w:r w:rsidRPr="00E106BD">
              <w:rPr>
                <w:rFonts w:ascii="Arial" w:eastAsia="SimSun" w:hAnsi="Arial" w:cs="Arial"/>
                <w:sz w:val="16"/>
                <w:szCs w:val="16"/>
                <w:lang w:eastAsia="zh-CN"/>
              </w:rPr>
              <w:t>bearing age.</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104560" w:rsidRPr="00E106BD" w:rsidDel="00E70572" w:rsidTr="008929EB">
        <w:trPr>
          <w:cantSplit/>
        </w:trPr>
        <w:tc>
          <w:tcPr>
            <w:tcW w:w="1729" w:type="dxa"/>
            <w:tcMar>
              <w:top w:w="28" w:type="dxa"/>
              <w:left w:w="28" w:type="dxa"/>
            </w:tcMar>
          </w:tcPr>
          <w:p w:rsidR="00104560" w:rsidRPr="00E106BD" w:rsidDel="00E70572" w:rsidRDefault="00104560" w:rsidP="00881477">
            <w:pPr>
              <w:spacing w:line="240" w:lineRule="auto"/>
              <w:rPr>
                <w:rFonts w:ascii="Arial" w:eastAsia="SimSun" w:hAnsi="Arial" w:cs="Arial"/>
                <w:sz w:val="16"/>
                <w:szCs w:val="16"/>
                <w:lang w:eastAsia="zh-CN"/>
              </w:rPr>
            </w:pPr>
            <w:bookmarkStart w:id="220" w:name="CU_467711163"/>
            <w:bookmarkStart w:id="221" w:name="CU_468716631"/>
            <w:bookmarkStart w:id="222" w:name="CU_469721293"/>
            <w:bookmarkStart w:id="223" w:name="CU_470723626"/>
            <w:bookmarkStart w:id="224" w:name="CU_471729026"/>
            <w:bookmarkStart w:id="225" w:name="CU_472730245"/>
            <w:bookmarkStart w:id="226" w:name="CU_474736191"/>
            <w:bookmarkStart w:id="227" w:name="CU_475738489"/>
            <w:bookmarkStart w:id="228" w:name="CU_476743958"/>
            <w:bookmarkStart w:id="229" w:name="CU_477748620"/>
            <w:bookmarkStart w:id="230" w:name="CU_479756352"/>
            <w:bookmarkStart w:id="231" w:name="CU_481759871"/>
            <w:bookmarkStart w:id="232" w:name="CU_483765783"/>
            <w:bookmarkStart w:id="233" w:name="CU_486769501"/>
            <w:bookmarkStart w:id="234" w:name="CU_487770780"/>
            <w:bookmarkStart w:id="235" w:name="CU_48977432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E106BD">
              <w:rPr>
                <w:rFonts w:ascii="Arial" w:eastAsia="SimSun" w:hAnsi="Arial" w:cs="Arial"/>
                <w:sz w:val="16"/>
                <w:szCs w:val="16"/>
                <w:lang w:eastAsia="zh-CN"/>
              </w:rPr>
              <w:t>Rifabutin</w:t>
            </w:r>
          </w:p>
        </w:tc>
        <w:tc>
          <w:tcPr>
            <w:tcW w:w="709" w:type="dxa"/>
            <w:tcMar>
              <w:top w:w="28" w:type="dxa"/>
              <w:left w:w="28" w:type="dxa"/>
            </w:tcMar>
          </w:tcPr>
          <w:p w:rsidR="00104560" w:rsidRPr="00E106BD" w:rsidDel="00E70572"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C6350</w:t>
            </w:r>
          </w:p>
        </w:tc>
        <w:tc>
          <w:tcPr>
            <w:tcW w:w="709" w:type="dxa"/>
            <w:tcMar>
              <w:top w:w="28" w:type="dxa"/>
              <w:left w:w="28" w:type="dxa"/>
            </w:tcMar>
          </w:tcPr>
          <w:p w:rsidR="00104560" w:rsidRPr="00E106BD" w:rsidDel="00E70572"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Mycobacterium avium complex infection</w:t>
            </w:r>
          </w:p>
          <w:p w:rsidR="00104560" w:rsidRPr="00E106BD" w:rsidDel="00E70572"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human immunodeficiency virus (HIV) positive.</w:t>
            </w:r>
          </w:p>
        </w:tc>
        <w:tc>
          <w:tcPr>
            <w:tcW w:w="2552" w:type="dxa"/>
            <w:tcMar>
              <w:top w:w="28" w:type="dxa"/>
              <w:left w:w="28" w:type="dxa"/>
              <w:right w:w="57" w:type="dxa"/>
            </w:tcMar>
          </w:tcPr>
          <w:p w:rsidR="00104560" w:rsidRPr="00E106BD" w:rsidDel="00E70572" w:rsidRDefault="00104560" w:rsidP="00E955B4">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6350</w:t>
            </w:r>
          </w:p>
        </w:tc>
      </w:tr>
      <w:tr w:rsidR="00104560" w:rsidRPr="00E106BD" w:rsidDel="00E70572" w:rsidTr="008929EB">
        <w:trPr>
          <w:cantSplit/>
        </w:trPr>
        <w:tc>
          <w:tcPr>
            <w:tcW w:w="1729" w:type="dxa"/>
            <w:tcMar>
              <w:top w:w="28" w:type="dxa"/>
              <w:left w:w="28" w:type="dxa"/>
            </w:tcMar>
          </w:tcPr>
          <w:p w:rsidR="00104560" w:rsidRPr="00E106BD" w:rsidDel="00E70572"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Del="00E70572"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C6356</w:t>
            </w:r>
          </w:p>
        </w:tc>
        <w:tc>
          <w:tcPr>
            <w:tcW w:w="709" w:type="dxa"/>
            <w:tcMar>
              <w:top w:w="28" w:type="dxa"/>
              <w:left w:w="28" w:type="dxa"/>
            </w:tcMar>
          </w:tcPr>
          <w:p w:rsidR="00104560" w:rsidRPr="00E106BD" w:rsidDel="00E70572"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Mycobacterium avium complex infection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for prophylaxis;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human immunodeficiency virus (HIV) positive; AND</w:t>
            </w:r>
          </w:p>
          <w:p w:rsidR="00104560" w:rsidRPr="00E106BD" w:rsidDel="00E70572"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CD4 cell counts of less than 75 per cubic millimetre.</w:t>
            </w:r>
          </w:p>
        </w:tc>
        <w:tc>
          <w:tcPr>
            <w:tcW w:w="2552" w:type="dxa"/>
            <w:tcMar>
              <w:top w:w="28" w:type="dxa"/>
              <w:left w:w="28" w:type="dxa"/>
              <w:right w:w="57" w:type="dxa"/>
            </w:tcMar>
          </w:tcPr>
          <w:p w:rsidR="00104560" w:rsidRPr="00E106BD" w:rsidDel="00E70572" w:rsidRDefault="00104560" w:rsidP="00E955B4">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6356</w:t>
            </w:r>
          </w:p>
        </w:tc>
      </w:tr>
      <w:tr w:rsidR="00104560" w:rsidRPr="00E106BD" w:rsidDel="00286C68" w:rsidTr="008929EB">
        <w:trPr>
          <w:cantSplit/>
        </w:trPr>
        <w:tc>
          <w:tcPr>
            <w:tcW w:w="1729" w:type="dxa"/>
            <w:tcMar>
              <w:top w:w="28" w:type="dxa"/>
              <w:left w:w="28" w:type="dxa"/>
            </w:tcMar>
          </w:tcPr>
          <w:p w:rsidR="00104560" w:rsidRPr="00E106BD" w:rsidDel="00286C68"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Del="00286C68"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C9560</w:t>
            </w:r>
          </w:p>
        </w:tc>
        <w:tc>
          <w:tcPr>
            <w:tcW w:w="709" w:type="dxa"/>
            <w:tcMar>
              <w:top w:w="28" w:type="dxa"/>
              <w:left w:w="28" w:type="dxa"/>
            </w:tcMar>
          </w:tcPr>
          <w:p w:rsidR="00104560" w:rsidRPr="00E106BD" w:rsidDel="00286C68"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Del="00286C68"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Mycobacterium avium complex infection</w:t>
            </w:r>
            <w:r w:rsidRPr="00E106BD">
              <w:rPr>
                <w:rFonts w:ascii="Arial" w:eastAsia="SimSun" w:hAnsi="Arial" w:cs="Arial"/>
                <w:sz w:val="16"/>
                <w:szCs w:val="16"/>
                <w:lang w:eastAsia="zh-CN"/>
              </w:rPr>
              <w:br/>
              <w:t>Patient must be human immunodeficiency virus (HIV) positive.</w:t>
            </w:r>
          </w:p>
        </w:tc>
        <w:tc>
          <w:tcPr>
            <w:tcW w:w="2552" w:type="dxa"/>
            <w:tcMar>
              <w:top w:w="28" w:type="dxa"/>
              <w:left w:w="28" w:type="dxa"/>
              <w:right w:w="57" w:type="dxa"/>
            </w:tcMar>
          </w:tcPr>
          <w:p w:rsidR="00104560" w:rsidRPr="00E106BD" w:rsidDel="00286C68" w:rsidRDefault="00104560" w:rsidP="00E955B4">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9560</w:t>
            </w:r>
          </w:p>
        </w:tc>
      </w:tr>
      <w:tr w:rsidR="00104560" w:rsidRPr="00E106BD" w:rsidDel="00286C68" w:rsidTr="008929EB">
        <w:trPr>
          <w:cantSplit/>
        </w:trPr>
        <w:tc>
          <w:tcPr>
            <w:tcW w:w="1729" w:type="dxa"/>
            <w:tcMar>
              <w:top w:w="28" w:type="dxa"/>
              <w:left w:w="28" w:type="dxa"/>
            </w:tcMar>
          </w:tcPr>
          <w:p w:rsidR="00104560" w:rsidRPr="00E106BD" w:rsidDel="00286C68"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Del="00286C68"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C9622</w:t>
            </w:r>
          </w:p>
        </w:tc>
        <w:tc>
          <w:tcPr>
            <w:tcW w:w="709" w:type="dxa"/>
            <w:tcMar>
              <w:top w:w="28" w:type="dxa"/>
              <w:left w:w="28" w:type="dxa"/>
            </w:tcMar>
          </w:tcPr>
          <w:p w:rsidR="00104560" w:rsidRPr="00E106BD" w:rsidDel="00286C68"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Del="00286C68"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Mycobacterium avium complex infection</w:t>
            </w:r>
            <w:r w:rsidRPr="00E106BD">
              <w:rPr>
                <w:rFonts w:ascii="Arial" w:eastAsia="SimSun" w:hAnsi="Arial" w:cs="Arial"/>
                <w:sz w:val="16"/>
                <w:szCs w:val="16"/>
                <w:lang w:eastAsia="zh-CN"/>
              </w:rPr>
              <w:br/>
              <w:t>The treatment must be for prophylaxis; AND</w:t>
            </w:r>
            <w:r w:rsidRPr="00E106BD">
              <w:rPr>
                <w:rFonts w:ascii="Arial" w:eastAsia="SimSun" w:hAnsi="Arial" w:cs="Arial"/>
                <w:sz w:val="16"/>
                <w:szCs w:val="16"/>
                <w:lang w:eastAsia="zh-CN"/>
              </w:rPr>
              <w:br/>
              <w:t>Patient must be human immunodeficiency virus (HIV) positive; AND</w:t>
            </w:r>
            <w:r w:rsidRPr="00E106BD">
              <w:rPr>
                <w:rFonts w:ascii="Arial" w:eastAsia="SimSun" w:hAnsi="Arial" w:cs="Arial"/>
                <w:sz w:val="16"/>
                <w:szCs w:val="16"/>
                <w:lang w:eastAsia="zh-CN"/>
              </w:rPr>
              <w:br/>
              <w:t>Patient must have CD4 cell counts of less than 75 per cubic millimetre.</w:t>
            </w:r>
          </w:p>
        </w:tc>
        <w:tc>
          <w:tcPr>
            <w:tcW w:w="2552" w:type="dxa"/>
            <w:tcMar>
              <w:top w:w="28" w:type="dxa"/>
              <w:left w:w="28" w:type="dxa"/>
              <w:right w:w="57" w:type="dxa"/>
            </w:tcMar>
          </w:tcPr>
          <w:p w:rsidR="00104560" w:rsidRPr="00E106BD" w:rsidDel="00286C68" w:rsidRDefault="00104560" w:rsidP="00E955B4">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9622</w:t>
            </w:r>
          </w:p>
        </w:tc>
      </w:tr>
      <w:tr w:rsidR="00104560" w:rsidRPr="00E106BD" w:rsidDel="00A12BDA" w:rsidTr="008929EB">
        <w:tc>
          <w:tcPr>
            <w:tcW w:w="1729" w:type="dxa"/>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bookmarkStart w:id="236" w:name="CU_495779025"/>
            <w:bookmarkEnd w:id="236"/>
            <w:r w:rsidRPr="00E106BD">
              <w:rPr>
                <w:rFonts w:ascii="Arial" w:eastAsia="SimSun" w:hAnsi="Arial" w:cs="Arial"/>
                <w:sz w:val="16"/>
                <w:szCs w:val="16"/>
                <w:lang w:eastAsia="zh-CN"/>
              </w:rPr>
              <w:t>Rilpivirine</w:t>
            </w:r>
          </w:p>
        </w:tc>
        <w:tc>
          <w:tcPr>
            <w:tcW w:w="709" w:type="dxa"/>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104560" w:rsidRPr="00E106BD" w:rsidDel="00A12BD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Mar>
              <w:top w:w="28" w:type="dxa"/>
              <w:left w:w="28" w:type="dxa"/>
              <w:right w:w="57" w:type="dxa"/>
            </w:tcMar>
          </w:tcPr>
          <w:p w:rsidR="00104560" w:rsidRPr="00E106BD" w:rsidDel="00A12BDA" w:rsidRDefault="00104560" w:rsidP="00D5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104560" w:rsidRPr="00E106BD" w:rsidDel="00A12BDA" w:rsidTr="008929EB">
        <w:trPr>
          <w:cantSplit/>
        </w:trPr>
        <w:tc>
          <w:tcPr>
            <w:tcW w:w="1729" w:type="dxa"/>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104560" w:rsidRPr="00E106BD" w:rsidDel="00A12BD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Mar>
              <w:top w:w="28" w:type="dxa"/>
              <w:left w:w="28" w:type="dxa"/>
              <w:right w:w="57" w:type="dxa"/>
            </w:tcMar>
          </w:tcPr>
          <w:p w:rsidR="00104560" w:rsidRPr="00E106BD" w:rsidDel="00A12BDA" w:rsidRDefault="00104560"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104560" w:rsidRPr="00E106BD" w:rsidDel="00A12BDA" w:rsidTr="008929EB">
        <w:tc>
          <w:tcPr>
            <w:tcW w:w="172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Riociguat</w:t>
            </w:r>
          </w:p>
        </w:tc>
        <w:tc>
          <w:tcPr>
            <w:tcW w:w="709" w:type="dxa"/>
            <w:tcMar>
              <w:top w:w="28" w:type="dxa"/>
              <w:left w:w="28" w:type="dxa"/>
            </w:tcMar>
          </w:tcPr>
          <w:p w:rsidR="00104560" w:rsidRPr="00104560" w:rsidRDefault="00104560" w:rsidP="00881477">
            <w:pPr>
              <w:spacing w:line="240" w:lineRule="auto"/>
              <w:rPr>
                <w:rFonts w:ascii="Arial" w:eastAsia="SimSun" w:hAnsi="Arial" w:cs="Arial"/>
                <w:sz w:val="16"/>
                <w:szCs w:val="16"/>
                <w:lang w:eastAsia="zh-CN"/>
              </w:rPr>
            </w:pPr>
            <w:r w:rsidRPr="00104560">
              <w:rPr>
                <w:rFonts w:ascii="Arial" w:hAnsi="Arial" w:cs="Arial"/>
                <w:sz w:val="16"/>
                <w:szCs w:val="16"/>
              </w:rPr>
              <w:t>C6645</w:t>
            </w:r>
          </w:p>
        </w:tc>
        <w:tc>
          <w:tcPr>
            <w:tcW w:w="709" w:type="dxa"/>
            <w:tcMar>
              <w:top w:w="28" w:type="dxa"/>
              <w:left w:w="28" w:type="dxa"/>
            </w:tcMar>
          </w:tcPr>
          <w:p w:rsidR="00104560" w:rsidRPr="00104560" w:rsidDel="00A12BDA"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104560" w:rsidRDefault="00104560" w:rsidP="00881477">
            <w:pPr>
              <w:pStyle w:val="mps3-data"/>
              <w:spacing w:before="0"/>
              <w:rPr>
                <w:rFonts w:eastAsia="SimSun"/>
                <w:szCs w:val="16"/>
              </w:rPr>
            </w:pPr>
            <w:r w:rsidRPr="00104560">
              <w:rPr>
                <w:szCs w:val="16"/>
              </w:rPr>
              <w:t>Chronic thromboembolic pulmonary hypertension (CTEPH)</w:t>
            </w:r>
            <w:r w:rsidRPr="00104560">
              <w:rPr>
                <w:szCs w:val="16"/>
              </w:rPr>
              <w:br/>
              <w:t>Continuing treatment</w:t>
            </w:r>
            <w:r w:rsidRPr="00104560">
              <w:rPr>
                <w:szCs w:val="16"/>
              </w:rPr>
              <w:br/>
              <w:t>Patient must have previously received PBS-subsidised treatment with this drug for this condition; AND</w:t>
            </w:r>
            <w:r w:rsidRPr="00104560">
              <w:rPr>
                <w:szCs w:val="16"/>
              </w:rPr>
              <w:br/>
              <w:t>Patient must demonstrate stable or responding disease; AND</w:t>
            </w:r>
            <w:r w:rsidRPr="00104560">
              <w:rPr>
                <w:szCs w:val="16"/>
              </w:rPr>
              <w:br/>
              <w:t>The treatment must be the sole PBS-subsidised therapy for this condition.</w:t>
            </w:r>
            <w:r w:rsidRPr="00104560">
              <w:rPr>
                <w:szCs w:val="16"/>
              </w:rPr>
              <w:br/>
              <w:t>Must be treated in a centre with expertise in the management of CTEPH.</w:t>
            </w:r>
            <w:r w:rsidRPr="00104560">
              <w:rPr>
                <w:szCs w:val="16"/>
              </w:rPr>
              <w:br/>
              <w:t>Patient must be aged 18 years or older.</w:t>
            </w:r>
            <w:r w:rsidRPr="00104560">
              <w:rPr>
                <w:szCs w:val="16"/>
              </w:rPr>
              <w:br/>
              <w:t>Applications for authorisation must be in writing and must include:</w:t>
            </w:r>
            <w:r w:rsidR="007D241D">
              <w:rPr>
                <w:szCs w:val="16"/>
              </w:rPr>
              <w:t xml:space="preserve"> </w:t>
            </w:r>
            <w:r w:rsidRPr="00104560">
              <w:rPr>
                <w:szCs w:val="16"/>
              </w:rPr>
              <w:t>(1) a completed authority prescription form; and</w:t>
            </w:r>
            <w:r w:rsidR="007D241D">
              <w:rPr>
                <w:szCs w:val="16"/>
              </w:rPr>
              <w:t xml:space="preserve"> </w:t>
            </w:r>
            <w:r w:rsidRPr="00104560">
              <w:rPr>
                <w:szCs w:val="16"/>
              </w:rPr>
              <w:t>(2) a completed CTEPH PBS Continuing Authority Application - Supporting Information form which includes results from the three tests below, where available:</w:t>
            </w:r>
            <w:r w:rsidR="007D241D">
              <w:rPr>
                <w:szCs w:val="16"/>
              </w:rPr>
              <w:t xml:space="preserve"> </w:t>
            </w:r>
            <w:r w:rsidRPr="00104560">
              <w:rPr>
                <w:szCs w:val="16"/>
              </w:rPr>
              <w:t>(i) RHC composite assessment; and</w:t>
            </w:r>
            <w:r w:rsidR="007D241D">
              <w:rPr>
                <w:szCs w:val="16"/>
              </w:rPr>
              <w:t xml:space="preserve"> </w:t>
            </w:r>
            <w:r w:rsidRPr="00104560">
              <w:rPr>
                <w:szCs w:val="16"/>
              </w:rPr>
              <w:t>(ii) ECHO composite assessment; and</w:t>
            </w:r>
            <w:r w:rsidR="007D241D">
              <w:rPr>
                <w:szCs w:val="16"/>
              </w:rPr>
              <w:t xml:space="preserve"> </w:t>
            </w:r>
            <w:r w:rsidRPr="00104560">
              <w:rPr>
                <w:szCs w:val="16"/>
              </w:rPr>
              <w:t>(iii) 6 Minute Walk Test (6MWT).</w:t>
            </w:r>
            <w:r w:rsidRPr="00104560">
              <w:rPr>
                <w:szCs w:val="16"/>
              </w:rPr>
              <w:br/>
              <w:t>Test requirements to establish response to treatment for continuation of treatment are as follows:</w:t>
            </w:r>
            <w:r w:rsidRPr="00104560">
              <w:rPr>
                <w:szCs w:val="16"/>
              </w:rPr>
              <w:br/>
              <w:t>The following list outlines the preferred test combination, in descending order, for the purposes of continuation of PBS-subsidised treatment:</w:t>
            </w:r>
            <w:r w:rsidRPr="00104560">
              <w:rPr>
                <w:szCs w:val="16"/>
              </w:rPr>
              <w:br/>
              <w:t>(1) RHC plus ECHO composite assessments plus 6MWT;</w:t>
            </w:r>
            <w:r w:rsidRPr="00104560">
              <w:rPr>
                <w:szCs w:val="16"/>
              </w:rPr>
              <w:br/>
              <w:t>(2) RHC plus ECHO composite assessments;</w:t>
            </w:r>
            <w:r w:rsidRPr="00104560">
              <w:rPr>
                <w:szCs w:val="16"/>
              </w:rPr>
              <w:br/>
              <w:t>(3) RHC composite assessment plus 6MWT;</w:t>
            </w:r>
            <w:r w:rsidRPr="00104560">
              <w:rPr>
                <w:szCs w:val="16"/>
              </w:rPr>
              <w:br/>
              <w:t>(4) ECHO composite assessment plus 6MWT;</w:t>
            </w:r>
            <w:r w:rsidRPr="00104560">
              <w:rPr>
                <w:szCs w:val="16"/>
              </w:rPr>
              <w:br/>
              <w:t>(5) RHC composite assessment only;</w:t>
            </w:r>
            <w:r w:rsidRPr="00104560">
              <w:rPr>
                <w:szCs w:val="16"/>
              </w:rPr>
              <w:br/>
              <w:t>(6) ECHO composite assessment only.</w:t>
            </w:r>
            <w:r w:rsidRPr="00104560">
              <w:rPr>
                <w:szCs w:val="16"/>
              </w:rPr>
              <w:br/>
              <w:t>The results of the same tests as conducted at baseline should be provided with each written continuing treatment application (i.e., every 6 months), except for patients who were able to undergo all 3 tests at baseline, and whose subsequent ECHO and 6MWT results demonstrate disease stability or improvement, in which case RHC can be omitted. In all other patients, where the same test(s) conducted at baseline cannot be performed for assessment of response on clinical grounds, a patient specific reason why the test(s) could not be conducted must be provided with the application.</w:t>
            </w:r>
            <w:r w:rsidRPr="00104560">
              <w:rPr>
                <w:szCs w:val="16"/>
              </w:rPr>
              <w:br/>
              <w:t>The test results provided with the application for continuing treatment must be no more than 2 months old at the time of application.</w:t>
            </w:r>
            <w:r w:rsidRPr="00104560">
              <w:rPr>
                <w:szCs w:val="16"/>
              </w:rPr>
              <w:br/>
              <w:t>Response to this drug is defined as follows:</w:t>
            </w:r>
            <w:r w:rsidRPr="00104560">
              <w:rPr>
                <w:szCs w:val="16"/>
              </w:rPr>
              <w:br/>
              <w:t>For patients with two or more baseline tests, response to treatment is defined as two or more tests demonstrating stability or improvement of disease.</w:t>
            </w:r>
            <w:r w:rsidRPr="00104560">
              <w:rPr>
                <w:szCs w:val="16"/>
              </w:rPr>
              <w:br/>
              <w:t>For patients with a RHC composite assessment alone at baseline, response to treatment is defined as a RHC result demonstrating stability or improvement of disease.</w:t>
            </w:r>
            <w:r w:rsidRPr="00104560">
              <w:rPr>
                <w:szCs w:val="16"/>
              </w:rPr>
              <w:br/>
              <w:t>For patients with an ECHO composite assessment alone at baseline, response to treatment is defined as an ECHO result demonstrating stability or improvement of disease.</w:t>
            </w:r>
            <w:r w:rsidRPr="00104560">
              <w:rPr>
                <w:szCs w:val="16"/>
              </w:rPr>
              <w:br/>
              <w:t>The assessment of the patient</w:t>
            </w:r>
            <w:r w:rsidR="00A653CA">
              <w:rPr>
                <w:szCs w:val="16"/>
              </w:rPr>
              <w:t>’</w:t>
            </w:r>
            <w:r w:rsidRPr="00104560">
              <w:rPr>
                <w:szCs w:val="16"/>
              </w:rPr>
              <w:t>s response to the continuing 6 month courses of treatment should be made following the preceding 5 months of treatment, in order to allow sufficient time for a response to be demonstrated.</w:t>
            </w:r>
            <w:r w:rsidRPr="00104560">
              <w:rPr>
                <w:szCs w:val="16"/>
              </w:rPr>
              <w:br/>
              <w:t>The maximum quantity per prescription must be based on the dosage recommendations in the TGA-approved Product Information and be limited to provide sufficient supply for 1 month of treatment.</w:t>
            </w:r>
            <w:r w:rsidRPr="00104560">
              <w:rPr>
                <w:szCs w:val="16"/>
              </w:rPr>
              <w:br/>
              <w:t>A maximum of 5 repeats will be authorised.</w:t>
            </w:r>
            <w:r w:rsidRPr="00104560">
              <w:rPr>
                <w:szCs w:val="16"/>
              </w:rPr>
              <w:br/>
              <w:t>Applications for continuing treatment with this drug should be made two weeks prior to the completion of the 6-month treatment course to ensure continuity for those patients who respond to treatment, as assessed by the treating physician.</w:t>
            </w:r>
            <w:r w:rsidRPr="00104560">
              <w:rPr>
                <w:szCs w:val="16"/>
              </w:rPr>
              <w:br/>
              <w:t>Patients who fail to demonstrate disease stability or improvement to PBS-subsidised treatment with this agent at the time where an assessment is required must cease PBS-subsidised therapy with this agent.</w:t>
            </w:r>
          </w:p>
        </w:tc>
        <w:tc>
          <w:tcPr>
            <w:tcW w:w="2552" w:type="dxa"/>
            <w:tcMar>
              <w:top w:w="28" w:type="dxa"/>
              <w:left w:w="28" w:type="dxa"/>
              <w:right w:w="57" w:type="dxa"/>
            </w:tcMar>
          </w:tcPr>
          <w:p w:rsidR="00104560" w:rsidRPr="00104560" w:rsidRDefault="00104560" w:rsidP="00935EA7">
            <w:pPr>
              <w:spacing w:line="240" w:lineRule="auto"/>
              <w:rPr>
                <w:rFonts w:ascii="Arial" w:eastAsia="SimSun" w:hAnsi="Arial" w:cs="Arial"/>
                <w:sz w:val="16"/>
                <w:szCs w:val="16"/>
                <w:lang w:eastAsia="zh-CN"/>
              </w:rPr>
            </w:pPr>
            <w:r w:rsidRPr="00104560">
              <w:rPr>
                <w:rFonts w:ascii="Arial" w:hAnsi="Arial" w:cs="Arial"/>
                <w:sz w:val="16"/>
                <w:szCs w:val="16"/>
              </w:rPr>
              <w:t>Compliance with Written Authority Required procedures</w:t>
            </w:r>
          </w:p>
        </w:tc>
      </w:tr>
      <w:tr w:rsidR="008F022A" w:rsidRPr="008F022A" w:rsidDel="00A12BDA" w:rsidTr="008929EB">
        <w:tc>
          <w:tcPr>
            <w:tcW w:w="1729" w:type="dxa"/>
            <w:tcMar>
              <w:top w:w="28" w:type="dxa"/>
              <w:left w:w="28" w:type="dxa"/>
            </w:tcMar>
          </w:tcPr>
          <w:p w:rsidR="008F022A" w:rsidRPr="008F022A" w:rsidRDefault="008F022A" w:rsidP="008F022A">
            <w:pPr>
              <w:pStyle w:val="mps3-data"/>
              <w:rPr>
                <w:rFonts w:eastAsia="SimSun"/>
                <w:szCs w:val="16"/>
              </w:rPr>
            </w:pPr>
          </w:p>
        </w:tc>
        <w:tc>
          <w:tcPr>
            <w:tcW w:w="709" w:type="dxa"/>
            <w:tcMar>
              <w:top w:w="28" w:type="dxa"/>
              <w:left w:w="28" w:type="dxa"/>
            </w:tcMar>
          </w:tcPr>
          <w:p w:rsidR="008F022A" w:rsidRPr="008F022A" w:rsidRDefault="008F022A" w:rsidP="008F022A">
            <w:pPr>
              <w:pStyle w:val="mps3-data"/>
              <w:rPr>
                <w:rFonts w:eastAsia="SimSun"/>
                <w:szCs w:val="16"/>
              </w:rPr>
            </w:pPr>
            <w:r w:rsidRPr="00E106BD">
              <w:rPr>
                <w:rFonts w:eastAsia="SimSun"/>
                <w:szCs w:val="16"/>
              </w:rPr>
              <w:t>C6664</w:t>
            </w:r>
          </w:p>
        </w:tc>
        <w:tc>
          <w:tcPr>
            <w:tcW w:w="709" w:type="dxa"/>
            <w:tcMar>
              <w:top w:w="28" w:type="dxa"/>
              <w:left w:w="28" w:type="dxa"/>
            </w:tcMar>
          </w:tcPr>
          <w:p w:rsidR="008F022A" w:rsidRPr="00C0739F" w:rsidDel="00E03489" w:rsidRDefault="008F022A" w:rsidP="008F022A">
            <w:pPr>
              <w:spacing w:before="60" w:after="60"/>
              <w:rPr>
                <w:rFonts w:ascii="Arial" w:hAnsi="Arial" w:cs="Arial"/>
                <w:sz w:val="16"/>
                <w:szCs w:val="16"/>
                <w:lang w:eastAsia="en-AU"/>
              </w:rPr>
            </w:pPr>
          </w:p>
        </w:tc>
        <w:tc>
          <w:tcPr>
            <w:tcW w:w="7654" w:type="dxa"/>
            <w:tcMar>
              <w:top w:w="28" w:type="dxa"/>
              <w:left w:w="28" w:type="dxa"/>
            </w:tcMar>
          </w:tcPr>
          <w:p w:rsidR="008F022A" w:rsidRPr="00C0739F" w:rsidRDefault="008F022A" w:rsidP="008F022A">
            <w:pPr>
              <w:pStyle w:val="mps3-data"/>
              <w:rPr>
                <w:szCs w:val="16"/>
              </w:rPr>
            </w:pPr>
            <w:r w:rsidRPr="00E106BD">
              <w:rPr>
                <w:rFonts w:eastAsia="SimSun"/>
                <w:szCs w:val="16"/>
              </w:rPr>
              <w:t>Chronic thromboembolic pulmonary hypertension (CTEPH)</w:t>
            </w:r>
            <w:r>
              <w:rPr>
                <w:rFonts w:eastAsia="SimSun"/>
                <w:szCs w:val="16"/>
              </w:rPr>
              <w:br/>
            </w:r>
            <w:r w:rsidRPr="00E106BD">
              <w:rPr>
                <w:rFonts w:eastAsia="SimSun"/>
                <w:szCs w:val="16"/>
              </w:rPr>
              <w:t>Initial treatment</w:t>
            </w:r>
            <w:r>
              <w:rPr>
                <w:rFonts w:eastAsia="SimSun"/>
                <w:szCs w:val="16"/>
              </w:rPr>
              <w:br/>
            </w:r>
            <w:r w:rsidRPr="00E106BD">
              <w:rPr>
                <w:rFonts w:eastAsia="SimSun"/>
                <w:szCs w:val="16"/>
              </w:rPr>
              <w:t>Patient must have WHO Functional Class II, III or IV CTEPH; AND</w:t>
            </w:r>
            <w:r>
              <w:rPr>
                <w:rFonts w:eastAsia="SimSun"/>
                <w:szCs w:val="16"/>
              </w:rPr>
              <w:br/>
            </w:r>
            <w:r w:rsidRPr="00E106BD">
              <w:rPr>
                <w:rFonts w:eastAsia="SimSun"/>
                <w:szCs w:val="16"/>
              </w:rPr>
              <w:t>The condition must be inoperable by pulmonary endarterectomy; OR</w:t>
            </w:r>
            <w:r>
              <w:rPr>
                <w:rFonts w:eastAsia="SimSun"/>
                <w:szCs w:val="16"/>
              </w:rPr>
              <w:br/>
            </w:r>
            <w:r w:rsidRPr="00E106BD">
              <w:rPr>
                <w:rFonts w:eastAsia="SimSun"/>
                <w:szCs w:val="16"/>
              </w:rPr>
              <w:t>The condition must be recurrent or persistent following pulmonary endarterectomy; AND</w:t>
            </w:r>
            <w:r>
              <w:rPr>
                <w:rFonts w:eastAsia="SimSun"/>
                <w:szCs w:val="16"/>
              </w:rPr>
              <w:br/>
            </w:r>
            <w:r w:rsidRPr="00E106BD">
              <w:rPr>
                <w:rFonts w:eastAsia="SimSun"/>
                <w:szCs w:val="16"/>
              </w:rPr>
              <w:t>The treatment must be the sole PBS</w:t>
            </w:r>
            <w:r>
              <w:rPr>
                <w:rFonts w:eastAsia="SimSun"/>
                <w:szCs w:val="16"/>
              </w:rPr>
              <w:noBreakHyphen/>
            </w:r>
            <w:r w:rsidRPr="00E106BD">
              <w:rPr>
                <w:rFonts w:eastAsia="SimSun"/>
                <w:szCs w:val="16"/>
              </w:rPr>
              <w:t>subsidised therapy for this condition.</w:t>
            </w:r>
            <w:r>
              <w:rPr>
                <w:rFonts w:eastAsia="SimSun"/>
                <w:szCs w:val="16"/>
              </w:rPr>
              <w:br/>
            </w:r>
            <w:r w:rsidRPr="00E106BD">
              <w:rPr>
                <w:rFonts w:eastAsia="SimSun"/>
                <w:szCs w:val="16"/>
              </w:rPr>
              <w:t>Must be treated in a centre with expertise in the management of CTEPH.</w:t>
            </w:r>
            <w:r>
              <w:rPr>
                <w:rFonts w:eastAsia="SimSun"/>
                <w:szCs w:val="16"/>
              </w:rPr>
              <w:br/>
            </w:r>
            <w:r w:rsidRPr="00D90010">
              <w:rPr>
                <w:rFonts w:eastAsia="SimSun"/>
                <w:szCs w:val="16"/>
              </w:rPr>
              <w:t>Patient must be aged 18 years or older.</w:t>
            </w:r>
            <w:r>
              <w:rPr>
                <w:rFonts w:eastAsia="SimSun"/>
                <w:szCs w:val="16"/>
              </w:rPr>
              <w:br/>
            </w:r>
            <w:r w:rsidRPr="00E106BD">
              <w:rPr>
                <w:rFonts w:eastAsia="SimSun"/>
                <w:szCs w:val="16"/>
              </w:rPr>
              <w:t>CTEPH that is inoperable by pulmonary endarterectomy is defined as follows:</w:t>
            </w:r>
            <w:r>
              <w:rPr>
                <w:rFonts w:eastAsia="SimSun"/>
                <w:szCs w:val="16"/>
              </w:rPr>
              <w:br/>
            </w:r>
            <w:r w:rsidRPr="00E106BD">
              <w:rPr>
                <w:rFonts w:eastAsia="SimSun"/>
                <w:szCs w:val="16"/>
              </w:rPr>
              <w:t>Right heart catheterisation (RHC) demonstrating pulmonary vascular resistance (PVR) of greater than 300 dyn</w:t>
            </w:r>
            <w:r w:rsidRPr="00E106BD">
              <w:rPr>
                <w:rFonts w:eastAsia="SimSun"/>
                <w:position w:val="6"/>
                <w:szCs w:val="16"/>
              </w:rPr>
              <w:t>*</w:t>
            </w:r>
            <w:r w:rsidRPr="00E106BD">
              <w:rPr>
                <w:rFonts w:eastAsia="SimSun"/>
                <w:szCs w:val="16"/>
              </w:rPr>
              <w:t>sec</w:t>
            </w:r>
            <w:r w:rsidRPr="00E106BD">
              <w:rPr>
                <w:rFonts w:eastAsia="SimSun"/>
                <w:position w:val="6"/>
                <w:szCs w:val="16"/>
              </w:rPr>
              <w:t>*</w:t>
            </w:r>
            <w:r w:rsidRPr="00E106BD">
              <w:rPr>
                <w:rFonts w:eastAsia="SimSun"/>
                <w:szCs w:val="16"/>
              </w:rPr>
              <w:t>cm</w:t>
            </w:r>
            <w:r>
              <w:rPr>
                <w:rFonts w:eastAsia="SimSun"/>
                <w:szCs w:val="16"/>
              </w:rPr>
              <w:noBreakHyphen/>
            </w:r>
            <w:r w:rsidRPr="00E106BD">
              <w:rPr>
                <w:rFonts w:eastAsia="SimSun"/>
                <w:szCs w:val="16"/>
              </w:rPr>
              <w:t>5measured at least 90 days after start of full anticoagulation; and</w:t>
            </w:r>
            <w:r>
              <w:rPr>
                <w:rFonts w:eastAsia="SimSun"/>
                <w:szCs w:val="16"/>
              </w:rPr>
              <w:br/>
            </w:r>
            <w:r w:rsidRPr="00E106BD">
              <w:rPr>
                <w:rFonts w:eastAsia="SimSun"/>
                <w:szCs w:val="16"/>
              </w:rPr>
              <w:t>A mean pulmonary artery pressure (PAPmean) of greater than 25 mmHg at least 90 days after start of full anticoagulation.</w:t>
            </w:r>
            <w:r>
              <w:rPr>
                <w:rFonts w:eastAsia="SimSun"/>
                <w:szCs w:val="16"/>
              </w:rPr>
              <w:br/>
            </w:r>
            <w:r w:rsidRPr="00E106BD">
              <w:rPr>
                <w:rFonts w:eastAsia="SimSun"/>
                <w:szCs w:val="16"/>
              </w:rPr>
              <w:t>CTEPH that is recurrent or persistent subsequent to pulmonary endarterectomy is defined as follows:</w:t>
            </w:r>
            <w:r>
              <w:rPr>
                <w:rFonts w:eastAsia="SimSun"/>
                <w:szCs w:val="16"/>
              </w:rPr>
              <w:br/>
            </w:r>
            <w:r w:rsidRPr="00E106BD">
              <w:rPr>
                <w:rFonts w:eastAsia="SimSun"/>
                <w:szCs w:val="16"/>
              </w:rPr>
              <w:t>RHC demonstrating a PVR of greater than 300 dyn</w:t>
            </w:r>
            <w:r w:rsidRPr="00E106BD">
              <w:rPr>
                <w:rFonts w:eastAsia="SimSun"/>
                <w:position w:val="6"/>
                <w:szCs w:val="16"/>
              </w:rPr>
              <w:t>*</w:t>
            </w:r>
            <w:r w:rsidRPr="00E106BD">
              <w:rPr>
                <w:rFonts w:eastAsia="SimSun"/>
                <w:szCs w:val="16"/>
              </w:rPr>
              <w:t>sec</w:t>
            </w:r>
            <w:r w:rsidRPr="00E106BD">
              <w:rPr>
                <w:rFonts w:eastAsia="SimSun"/>
                <w:position w:val="6"/>
                <w:szCs w:val="16"/>
              </w:rPr>
              <w:t>*</w:t>
            </w:r>
            <w:r w:rsidRPr="00E106BD">
              <w:rPr>
                <w:rFonts w:eastAsia="SimSun"/>
                <w:szCs w:val="16"/>
              </w:rPr>
              <w:t>cm</w:t>
            </w:r>
            <w:r>
              <w:rPr>
                <w:rFonts w:eastAsia="SimSun"/>
                <w:szCs w:val="16"/>
              </w:rPr>
              <w:noBreakHyphen/>
            </w:r>
            <w:r w:rsidRPr="00E106BD">
              <w:rPr>
                <w:rFonts w:eastAsia="SimSun"/>
                <w:szCs w:val="16"/>
              </w:rPr>
              <w:t>5measured at least 180 days following pulmonary endarterectomy.</w:t>
            </w:r>
            <w:r>
              <w:rPr>
                <w:rFonts w:eastAsia="SimSun"/>
                <w:szCs w:val="16"/>
              </w:rPr>
              <w:br/>
            </w:r>
            <w:r w:rsidRPr="00E106BD">
              <w:rPr>
                <w:rFonts w:eastAsia="SimSun"/>
                <w:szCs w:val="16"/>
              </w:rPr>
              <w:t>Where a RHC cannot be performed due to right ventricular dysfunction, an echocardiogram demonstrating the dysfunction must be provided at the time of application.</w:t>
            </w:r>
            <w:r>
              <w:rPr>
                <w:rFonts w:eastAsia="SimSun"/>
                <w:szCs w:val="16"/>
              </w:rPr>
              <w:br/>
            </w:r>
            <w:r w:rsidRPr="00E106BD">
              <w:rPr>
                <w:rFonts w:eastAsia="SimSun"/>
                <w:szCs w:val="16"/>
              </w:rPr>
              <w:t xml:space="preserve">Applications for authorisation must be in writing and must include:(1) completed authority prescription forms sufficient for dose titration; and(2) a completed CTEPH PBS Initial Authority Application </w:t>
            </w:r>
            <w:r>
              <w:rPr>
                <w:rFonts w:eastAsia="SimSun"/>
                <w:szCs w:val="16"/>
              </w:rPr>
              <w:noBreakHyphen/>
            </w:r>
            <w:r w:rsidRPr="00E106BD">
              <w:rPr>
                <w:rFonts w:eastAsia="SimSun"/>
                <w:szCs w:val="16"/>
              </w:rPr>
              <w:t xml:space="preserve"> Supporting Information form which includes results from the 3 tests below, to establish baseline measurements, where available:(i) RHC composite assessment, and(ii) ECHO composite assessment, and(iii) 6 Minute Walk Test (6MWT); and(3) a signed patient acknowledgment form; and(4) confirmation of evidence of inoperable CTEPH including results of a pulmonary vascular resistance (PVR), a mean pulmonary artery pressure (PAPmean) and the starting date of full anticoagulation; or(5) confirmation of evidence of recurrent or persistent CTEPH including result of PVR and the date that pulmonary endarterectomy was performed; or(6) confirmation of an echocardiogram demonstrating right ventricular dysfunction.</w:t>
            </w:r>
            <w:r>
              <w:rPr>
                <w:rFonts w:eastAsia="SimSun"/>
                <w:szCs w:val="16"/>
              </w:rPr>
              <w:br/>
            </w:r>
            <w:r w:rsidRPr="00E106BD">
              <w:rPr>
                <w:rFonts w:eastAsia="SimSun"/>
                <w:szCs w:val="16"/>
              </w:rPr>
              <w:t>Where it is not possible to perform all 3 tests above on clinical grounds, applications may be submitted for consideration based on the results of the following test combinations, which are listed in descending order of preference:(1) RHC plus ECHO composite assessments;(2) RHC composite assessment plus 6MWT;(3) RHC composite assessment only.</w:t>
            </w:r>
            <w:r>
              <w:rPr>
                <w:rFonts w:eastAsia="SimSun"/>
                <w:szCs w:val="16"/>
              </w:rPr>
              <w:br/>
            </w:r>
            <w:r w:rsidRPr="00E106BD">
              <w:rPr>
                <w:rFonts w:eastAsia="SimSun"/>
                <w:szCs w:val="16"/>
              </w:rPr>
              <w:t>In circumstance where a RHC cannot be performed on clinical grounds, applications may be submitted for consideration based on the results of the following test combinations, which are listed in descending order of preference:(1) ECHO composite assessment plus 6MWT;(2) ECHO composite assessment only.</w:t>
            </w:r>
            <w:r>
              <w:rPr>
                <w:rFonts w:eastAsia="SimSun"/>
                <w:szCs w:val="16"/>
              </w:rPr>
              <w:br/>
            </w:r>
            <w:r w:rsidRPr="00E106BD">
              <w:rPr>
                <w:rFonts w:eastAsia="SimSun"/>
                <w:szCs w:val="16"/>
              </w:rPr>
              <w:t>Where fewer than 3 tests are able to be performed on clinical grounds, a patient specific reason outlining why the particular test(s) could not be conducted must be provided with the authority application.</w:t>
            </w:r>
            <w:r>
              <w:rPr>
                <w:rFonts w:eastAsia="SimSun"/>
                <w:szCs w:val="16"/>
              </w:rPr>
              <w:br/>
            </w:r>
            <w:r w:rsidRPr="00E106BD">
              <w:rPr>
                <w:rFonts w:eastAsia="SimSun"/>
                <w:szCs w:val="16"/>
              </w:rPr>
              <w:t>The test results provided must not be more than 2 months old at the time of application.</w:t>
            </w:r>
            <w:r>
              <w:rPr>
                <w:rFonts w:eastAsia="SimSun"/>
                <w:szCs w:val="16"/>
              </w:rPr>
              <w:br/>
            </w:r>
            <w:r w:rsidRPr="00E106BD">
              <w:rPr>
                <w:rFonts w:eastAsia="SimSun"/>
                <w:szCs w:val="16"/>
              </w:rPr>
              <w:t>Prescriptions for dose titration must provide sufficient quantity for dose titrations by 0.5 mg increments at 2</w:t>
            </w:r>
            <w:r>
              <w:rPr>
                <w:rFonts w:eastAsia="SimSun"/>
                <w:szCs w:val="16"/>
              </w:rPr>
              <w:noBreakHyphen/>
            </w:r>
            <w:r w:rsidRPr="00E106BD">
              <w:rPr>
                <w:rFonts w:eastAsia="SimSun"/>
                <w:szCs w:val="16"/>
              </w:rPr>
              <w:t>week intervals to achieve up to a maximum of 2.5 mg three times daily based on the dosage recommendations for initiation of treatment in the TGA</w:t>
            </w:r>
            <w:r>
              <w:rPr>
                <w:rFonts w:eastAsia="SimSun"/>
                <w:szCs w:val="16"/>
              </w:rPr>
              <w:noBreakHyphen/>
            </w:r>
            <w:r w:rsidRPr="00E106BD">
              <w:rPr>
                <w:rFonts w:eastAsia="SimSun"/>
                <w:szCs w:val="16"/>
              </w:rPr>
              <w:t>approved Product Information. No repeats will be authorised for these prescriptions.</w:t>
            </w:r>
            <w:r>
              <w:rPr>
                <w:rFonts w:eastAsia="SimSun"/>
                <w:szCs w:val="16"/>
              </w:rPr>
              <w:br/>
            </w:r>
            <w:r w:rsidRPr="00E106BD">
              <w:rPr>
                <w:rFonts w:eastAsia="SimSun"/>
                <w:szCs w:val="16"/>
              </w:rPr>
              <w:t xml:space="preserve">Approvals for subsequent authority prescription will be limited to 1 month of treatment, </w:t>
            </w:r>
            <w:r w:rsidRPr="00CE42BA">
              <w:rPr>
                <w:rFonts w:eastAsia="SimSun"/>
                <w:szCs w:val="16"/>
              </w:rPr>
              <w:t xml:space="preserve">the </w:t>
            </w:r>
            <w:r w:rsidRPr="00E106BD">
              <w:rPr>
                <w:rFonts w:eastAsia="SimSun"/>
                <w:szCs w:val="16"/>
              </w:rPr>
              <w:t>quantity approved must be based on the dosage recommendations in the TGA</w:t>
            </w:r>
            <w:r>
              <w:rPr>
                <w:rFonts w:eastAsia="SimSun"/>
                <w:szCs w:val="16"/>
              </w:rPr>
              <w:noBreakHyphen/>
            </w:r>
            <w:r w:rsidRPr="00E106BD">
              <w:rPr>
                <w:rFonts w:eastAsia="SimSun"/>
                <w:szCs w:val="16"/>
              </w:rPr>
              <w:t>approved Product Information, and a maximum of 3 repeats.</w:t>
            </w:r>
            <w:r>
              <w:rPr>
                <w:rFonts w:eastAsia="SimSun"/>
                <w:szCs w:val="16"/>
              </w:rPr>
              <w:br/>
            </w:r>
            <w:r w:rsidRPr="00E106BD">
              <w:rPr>
                <w:rFonts w:eastAsia="SimSun"/>
                <w:szCs w:val="16"/>
              </w:rPr>
              <w:t>The assessment of the patient's response to the initial 20</w:t>
            </w:r>
            <w:r>
              <w:rPr>
                <w:rFonts w:eastAsia="SimSun"/>
                <w:szCs w:val="16"/>
              </w:rPr>
              <w:noBreakHyphen/>
            </w:r>
            <w:r w:rsidRPr="00E106BD">
              <w:rPr>
                <w:rFonts w:eastAsia="SimSun"/>
                <w:szCs w:val="16"/>
              </w:rPr>
              <w:t>week course of treatment should be made following the preceding 16 weeks of treatment, in order to allow sufficient time for a response to be demonstrated.</w:t>
            </w:r>
            <w:r>
              <w:rPr>
                <w:rFonts w:eastAsia="SimSun"/>
                <w:szCs w:val="16"/>
              </w:rPr>
              <w:br/>
            </w:r>
            <w:r w:rsidRPr="00E106BD">
              <w:rPr>
                <w:rFonts w:eastAsia="SimSun"/>
                <w:szCs w:val="16"/>
              </w:rPr>
              <w:t>Patients who fail to demonstrate a response to PBS</w:t>
            </w:r>
            <w:r>
              <w:rPr>
                <w:rFonts w:eastAsia="SimSun"/>
                <w:szCs w:val="16"/>
              </w:rPr>
              <w:noBreakHyphen/>
            </w:r>
            <w:r w:rsidRPr="00E106BD">
              <w:rPr>
                <w:rFonts w:eastAsia="SimSun"/>
                <w:szCs w:val="16"/>
              </w:rPr>
              <w:t>subsidised treatment with this agent at the time where an assessment is required must cease PBS</w:t>
            </w:r>
            <w:r>
              <w:rPr>
                <w:rFonts w:eastAsia="SimSun"/>
                <w:szCs w:val="16"/>
              </w:rPr>
              <w:noBreakHyphen/>
            </w:r>
            <w:r w:rsidRPr="00E106BD">
              <w:rPr>
                <w:rFonts w:eastAsia="SimSun"/>
                <w:szCs w:val="16"/>
              </w:rPr>
              <w:t>subsidised therapy with this agent.</w:t>
            </w:r>
          </w:p>
        </w:tc>
        <w:tc>
          <w:tcPr>
            <w:tcW w:w="2552" w:type="dxa"/>
            <w:tcMar>
              <w:top w:w="28" w:type="dxa"/>
              <w:left w:w="28" w:type="dxa"/>
              <w:right w:w="57" w:type="dxa"/>
            </w:tcMar>
          </w:tcPr>
          <w:p w:rsidR="008F022A" w:rsidRPr="008F022A" w:rsidRDefault="008F022A" w:rsidP="008F022A">
            <w:pPr>
              <w:pStyle w:val="mps3-data"/>
              <w:rPr>
                <w:rFonts w:eastAsia="SimSun"/>
                <w:szCs w:val="16"/>
              </w:rPr>
            </w:pPr>
            <w:r w:rsidRPr="00E106BD">
              <w:rPr>
                <w:rFonts w:eastAsia="SimSun"/>
                <w:szCs w:val="16"/>
              </w:rPr>
              <w:t>Compliance with Written Authority Required procedures</w:t>
            </w:r>
          </w:p>
        </w:tc>
      </w:tr>
      <w:tr w:rsidR="00104560" w:rsidRPr="00E106BD" w:rsidDel="0027417B" w:rsidTr="008929EB">
        <w:tc>
          <w:tcPr>
            <w:tcW w:w="1729" w:type="dxa"/>
            <w:tcBorders>
              <w:bottom w:val="single" w:sz="4" w:space="0" w:color="auto"/>
            </w:tcBorders>
            <w:shd w:val="clear" w:color="auto" w:fill="auto"/>
            <w:tcMar>
              <w:top w:w="28" w:type="dxa"/>
              <w:left w:w="28" w:type="dxa"/>
            </w:tcMar>
          </w:tcPr>
          <w:p w:rsidR="00104560" w:rsidRPr="00E106BD" w:rsidDel="0027417B"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Del="0027417B" w:rsidRDefault="00104560" w:rsidP="00881477">
            <w:pPr>
              <w:spacing w:line="240" w:lineRule="auto"/>
              <w:rPr>
                <w:rFonts w:ascii="Arial" w:eastAsia="SimSun" w:hAnsi="Arial" w:cs="Arial"/>
                <w:sz w:val="16"/>
                <w:szCs w:val="16"/>
                <w:lang w:eastAsia="zh-CN"/>
              </w:rPr>
            </w:pPr>
            <w:r w:rsidRPr="00E106BD">
              <w:rPr>
                <w:rFonts w:ascii="Arial" w:hAnsi="Arial" w:cs="Arial"/>
                <w:sz w:val="16"/>
                <w:szCs w:val="16"/>
              </w:rPr>
              <w:t>C7629</w:t>
            </w:r>
          </w:p>
        </w:tc>
        <w:tc>
          <w:tcPr>
            <w:tcW w:w="709" w:type="dxa"/>
            <w:tcBorders>
              <w:bottom w:val="single" w:sz="4" w:space="0" w:color="auto"/>
            </w:tcBorders>
            <w:shd w:val="clear" w:color="auto" w:fill="auto"/>
            <w:tcMar>
              <w:top w:w="28" w:type="dxa"/>
              <w:left w:w="28" w:type="dxa"/>
            </w:tcMar>
          </w:tcPr>
          <w:p w:rsidR="00104560" w:rsidRPr="00E106BD" w:rsidDel="0027417B"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rPr>
                <w:szCs w:val="16"/>
              </w:rPr>
            </w:pPr>
            <w:r w:rsidRPr="00E106BD">
              <w:rPr>
                <w:szCs w:val="16"/>
              </w:rPr>
              <w:t xml:space="preserve">Chronic thromboembolic pulmonary </w:t>
            </w:r>
            <w:r w:rsidRPr="00E106BD">
              <w:rPr>
                <w:rFonts w:eastAsia="SimSun"/>
                <w:szCs w:val="16"/>
              </w:rPr>
              <w:t>hypertension</w:t>
            </w:r>
            <w:r w:rsidRPr="00E106BD">
              <w:rPr>
                <w:szCs w:val="16"/>
              </w:rPr>
              <w:t xml:space="preserve"> (CTEPH)</w:t>
            </w:r>
          </w:p>
          <w:p w:rsidR="00104560" w:rsidRPr="00E106BD" w:rsidRDefault="00104560" w:rsidP="00881477">
            <w:pPr>
              <w:pStyle w:val="mps3-data"/>
              <w:rPr>
                <w:szCs w:val="16"/>
              </w:rPr>
            </w:pPr>
            <w:r w:rsidRPr="00E106BD">
              <w:rPr>
                <w:szCs w:val="16"/>
              </w:rPr>
              <w:t xml:space="preserve">Balance of </w:t>
            </w:r>
            <w:r w:rsidRPr="00E106BD">
              <w:rPr>
                <w:rFonts w:eastAsia="SimSun"/>
                <w:szCs w:val="16"/>
              </w:rPr>
              <w:t>supply</w:t>
            </w:r>
          </w:p>
          <w:p w:rsidR="00104560" w:rsidRPr="00E106BD" w:rsidDel="0027417B" w:rsidRDefault="00104560" w:rsidP="00881477">
            <w:pPr>
              <w:spacing w:line="240" w:lineRule="auto"/>
              <w:rPr>
                <w:rFonts w:ascii="Arial" w:eastAsia="SimSun" w:hAnsi="Arial" w:cs="Arial"/>
                <w:sz w:val="16"/>
                <w:szCs w:val="16"/>
                <w:lang w:eastAsia="zh-CN"/>
              </w:rPr>
            </w:pPr>
            <w:r w:rsidRPr="00E106BD">
              <w:rPr>
                <w:rFonts w:ascii="Arial" w:hAnsi="Arial" w:cs="Arial"/>
                <w:sz w:val="16"/>
                <w:szCs w:val="16"/>
              </w:rPr>
              <w:t>Patient must have received insufficient therapy with this drug under the Initial treatment restriction to complete a maximum of 20 weeks of treatment; OR</w:t>
            </w:r>
            <w:r w:rsidRPr="00E106BD">
              <w:rPr>
                <w:rFonts w:ascii="Arial" w:hAnsi="Arial" w:cs="Arial"/>
                <w:sz w:val="16"/>
                <w:szCs w:val="16"/>
              </w:rPr>
              <w:br/>
              <w:t>Patient must have received insufficient therapy with this drug under the Continuing treatment restriction to complete a maximum of 24 weeks of treatment; AND</w:t>
            </w:r>
            <w:r w:rsidRPr="00E106BD">
              <w:rPr>
                <w:rFonts w:ascii="Arial" w:hAnsi="Arial" w:cs="Arial"/>
                <w:sz w:val="16"/>
                <w:szCs w:val="16"/>
              </w:rPr>
              <w:br/>
              <w:t>The treatment must provide no more than the balance of up to 20 or 24 weeks of treatment available under the above respective restriction;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 xml:space="preserve">subsidised agent for this condition. </w:t>
            </w:r>
            <w:r w:rsidRPr="00E106BD">
              <w:rPr>
                <w:rFonts w:ascii="Arial" w:hAnsi="Arial" w:cs="Arial"/>
                <w:sz w:val="16"/>
                <w:szCs w:val="16"/>
              </w:rPr>
              <w:br/>
              <w:t xml:space="preserve">Must be treated in a centre with expertise in the management of CTEPH. </w:t>
            </w:r>
            <w:r w:rsidRPr="00E106BD">
              <w:rPr>
                <w:rFonts w:ascii="Arial" w:hAnsi="Arial" w:cs="Arial"/>
                <w:sz w:val="16"/>
                <w:szCs w:val="16"/>
              </w:rPr>
              <w:br/>
              <w:t>Patient must be aged 18 years or older.</w:t>
            </w:r>
          </w:p>
        </w:tc>
        <w:tc>
          <w:tcPr>
            <w:tcW w:w="2552" w:type="dxa"/>
            <w:tcBorders>
              <w:bottom w:val="single" w:sz="4" w:space="0" w:color="auto"/>
            </w:tcBorders>
            <w:shd w:val="clear" w:color="auto" w:fill="auto"/>
            <w:tcMar>
              <w:top w:w="28" w:type="dxa"/>
              <w:left w:w="28" w:type="dxa"/>
              <w:right w:w="57" w:type="dxa"/>
            </w:tcMar>
          </w:tcPr>
          <w:p w:rsidR="00104560" w:rsidRPr="00E106BD" w:rsidDel="0027417B" w:rsidRDefault="00104560" w:rsidP="00881477">
            <w:pPr>
              <w:spacing w:line="240" w:lineRule="auto"/>
              <w:rPr>
                <w:rFonts w:ascii="Arial" w:eastAsia="SimSun" w:hAnsi="Arial" w:cs="Arial"/>
                <w:sz w:val="16"/>
                <w:szCs w:val="16"/>
                <w:lang w:eastAsia="zh-CN"/>
              </w:rPr>
            </w:pPr>
            <w:r w:rsidRPr="00E106BD">
              <w:rPr>
                <w:rFonts w:ascii="Arial" w:hAnsi="Arial" w:cs="Arial"/>
                <w:sz w:val="16"/>
                <w:szCs w:val="16"/>
              </w:rPr>
              <w:t>Compliance with Authority Required procedures</w:t>
            </w:r>
          </w:p>
        </w:tc>
      </w:tr>
      <w:tr w:rsidR="00104560" w:rsidRPr="00E106BD" w:rsidDel="0027417B" w:rsidTr="008929EB">
        <w:tc>
          <w:tcPr>
            <w:tcW w:w="1729" w:type="dxa"/>
            <w:tcBorders>
              <w:bottom w:val="single" w:sz="4" w:space="0" w:color="auto"/>
            </w:tcBorders>
            <w:shd w:val="clear" w:color="auto" w:fill="auto"/>
            <w:tcMar>
              <w:top w:w="28" w:type="dxa"/>
              <w:left w:w="28" w:type="dxa"/>
            </w:tcMar>
          </w:tcPr>
          <w:p w:rsidR="00104560" w:rsidRPr="00E106BD" w:rsidDel="0027417B"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3A13C5">
              <w:rPr>
                <w:rFonts w:ascii="Arial" w:eastAsia="SimSun" w:hAnsi="Arial" w:cs="Arial"/>
                <w:sz w:val="16"/>
                <w:szCs w:val="16"/>
                <w:lang w:eastAsia="zh-CN"/>
              </w:rPr>
              <w:t>C10231</w:t>
            </w:r>
          </w:p>
        </w:tc>
        <w:tc>
          <w:tcPr>
            <w:tcW w:w="709" w:type="dxa"/>
            <w:tcBorders>
              <w:bottom w:val="single" w:sz="4" w:space="0" w:color="auto"/>
            </w:tcBorders>
            <w:shd w:val="clear" w:color="auto" w:fill="auto"/>
            <w:tcMar>
              <w:top w:w="28" w:type="dxa"/>
              <w:left w:w="28" w:type="dxa"/>
            </w:tcMar>
          </w:tcPr>
          <w:p w:rsidR="00104560" w:rsidRPr="00E106BD" w:rsidDel="0027417B"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rPr>
                <w:szCs w:val="16"/>
              </w:rPr>
            </w:pPr>
            <w:r w:rsidRPr="003A13C5">
              <w:rPr>
                <w:rFonts w:eastAsia="SimSun"/>
                <w:szCs w:val="16"/>
              </w:rPr>
              <w:t>Pulmonary arterial hypertension (PAH)</w:t>
            </w:r>
            <w:r w:rsidRPr="003A13C5">
              <w:rPr>
                <w:rFonts w:eastAsia="SimSun"/>
                <w:szCs w:val="16"/>
              </w:rPr>
              <w:br/>
              <w:t>Continuing treatment</w:t>
            </w:r>
            <w:r w:rsidRPr="003A13C5">
              <w:rPr>
                <w:rFonts w:eastAsia="SimSun"/>
                <w:szCs w:val="16"/>
              </w:rPr>
              <w:br/>
              <w:t>Patient must have received their most recent course of PBS-subsidised treatment with this PAH agent for this condition; AND</w:t>
            </w:r>
            <w:r w:rsidRPr="003A13C5">
              <w:rPr>
                <w:rFonts w:eastAsia="SimSun"/>
                <w:szCs w:val="16"/>
              </w:rPr>
              <w:br/>
              <w:t>The treatment must be the sole PBS-subsidised PAH agent for this condition.</w:t>
            </w:r>
            <w:r w:rsidRPr="003A13C5">
              <w:rPr>
                <w:rFonts w:eastAsia="SimSun"/>
                <w:szCs w:val="16"/>
              </w:rPr>
              <w:br/>
              <w:t xml:space="preserve">The term </w:t>
            </w:r>
            <w:r w:rsidR="00A653CA">
              <w:rPr>
                <w:rFonts w:eastAsia="SimSun"/>
                <w:szCs w:val="16"/>
              </w:rPr>
              <w:t>‘</w:t>
            </w:r>
            <w:r w:rsidRPr="003A13C5">
              <w:rPr>
                <w:rFonts w:eastAsia="SimSun"/>
                <w:szCs w:val="16"/>
              </w:rPr>
              <w:t>PAH agents</w:t>
            </w:r>
            <w:r w:rsidR="00A653CA">
              <w:rPr>
                <w:rFonts w:eastAsia="SimSun"/>
                <w:szCs w:val="16"/>
              </w:rPr>
              <w:t>’</w:t>
            </w:r>
            <w:r w:rsidRPr="003A13C5">
              <w:rPr>
                <w:rFonts w:eastAsia="SimSun"/>
                <w:szCs w:val="16"/>
              </w:rPr>
              <w:t xml:space="preserve"> refers to bosentan monohydrate, iloprost trometamol, epoprostenol sodium, sildenafil citrate, ambrisentan, tadalafil, macitentan, and riociguat.</w:t>
            </w:r>
            <w:r w:rsidRPr="003A13C5">
              <w:rPr>
                <w:rFonts w:eastAsia="SimSun"/>
                <w:szCs w:val="16"/>
              </w:rPr>
              <w:br/>
              <w:t>PAH agents are not PBS-subsidised for patients with pulmonary hypertension secondary to interstitial lung disease associated with connective tissue disease, where the total lung capacity is less than 70% of predicted.</w:t>
            </w:r>
            <w:r w:rsidRPr="003A13C5">
              <w:rPr>
                <w:rFonts w:eastAsia="SimSun"/>
                <w:szCs w:val="16"/>
              </w:rPr>
              <w:br/>
              <w:t>The maximum quantity authorised will be limited to provide sufficient supply for 1 month of treatment, based on the dosage recommendations in the TGA-approved Product Information.</w:t>
            </w:r>
            <w:r w:rsidRPr="003A13C5">
              <w:rPr>
                <w:rFonts w:eastAsia="SimSun"/>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3A13C5">
              <w:rPr>
                <w:rFonts w:ascii="Arial" w:eastAsia="SimSun" w:hAnsi="Arial" w:cs="Arial"/>
                <w:sz w:val="16"/>
                <w:szCs w:val="16"/>
                <w:lang w:eastAsia="zh-CN"/>
              </w:rPr>
              <w:t>Compliance with Authority Required procedures</w:t>
            </w:r>
          </w:p>
        </w:tc>
      </w:tr>
      <w:tr w:rsidR="00104560" w:rsidRPr="00E106BD" w:rsidDel="0027417B" w:rsidTr="008929EB">
        <w:tc>
          <w:tcPr>
            <w:tcW w:w="1729" w:type="dxa"/>
            <w:tcBorders>
              <w:bottom w:val="single" w:sz="4" w:space="0" w:color="auto"/>
            </w:tcBorders>
            <w:shd w:val="clear" w:color="auto" w:fill="auto"/>
            <w:tcMar>
              <w:top w:w="28" w:type="dxa"/>
              <w:left w:w="28" w:type="dxa"/>
            </w:tcMar>
          </w:tcPr>
          <w:p w:rsidR="00104560" w:rsidRPr="00E106BD" w:rsidDel="0027417B"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3A13C5">
              <w:rPr>
                <w:rFonts w:ascii="Arial" w:eastAsia="SimSun" w:hAnsi="Arial" w:cs="Arial"/>
                <w:sz w:val="16"/>
                <w:szCs w:val="16"/>
                <w:lang w:eastAsia="zh-CN"/>
              </w:rPr>
              <w:t>C10243</w:t>
            </w:r>
          </w:p>
        </w:tc>
        <w:tc>
          <w:tcPr>
            <w:tcW w:w="709" w:type="dxa"/>
            <w:tcBorders>
              <w:bottom w:val="single" w:sz="4" w:space="0" w:color="auto"/>
            </w:tcBorders>
            <w:shd w:val="clear" w:color="auto" w:fill="auto"/>
            <w:tcMar>
              <w:top w:w="28" w:type="dxa"/>
              <w:left w:w="28" w:type="dxa"/>
            </w:tcMar>
          </w:tcPr>
          <w:p w:rsidR="00104560" w:rsidRPr="00E106BD" w:rsidDel="0027417B"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rPr>
                <w:szCs w:val="16"/>
              </w:rPr>
            </w:pPr>
            <w:r w:rsidRPr="003A13C5">
              <w:rPr>
                <w:rFonts w:eastAsia="SimSun"/>
                <w:szCs w:val="16"/>
              </w:rPr>
              <w:t>Pulmonary arterial hypertension (PAH)</w:t>
            </w:r>
            <w:r w:rsidRPr="003A13C5">
              <w:rPr>
                <w:rFonts w:eastAsia="SimSun"/>
                <w:szCs w:val="16"/>
              </w:rPr>
              <w:br/>
              <w:t>Initial 2 (change)</w:t>
            </w:r>
            <w:r w:rsidRPr="003A13C5">
              <w:rPr>
                <w:rFonts w:eastAsia="SimSun"/>
                <w:szCs w:val="16"/>
              </w:rPr>
              <w:br/>
              <w:t>Patient must have documented WHO Functional Class III PAH or WHO Functional Class IV PAH; AND</w:t>
            </w:r>
            <w:r w:rsidRPr="003A13C5">
              <w:rPr>
                <w:rFonts w:eastAsia="SimSun"/>
                <w:szCs w:val="16"/>
              </w:rPr>
              <w:br/>
              <w:t>Patient must have had their most recent course of PBS-subsidised treatment for this condition with a PAH agent other than this agent; AND</w:t>
            </w:r>
            <w:r w:rsidRPr="003A13C5">
              <w:rPr>
                <w:rFonts w:eastAsia="SimSun"/>
                <w:szCs w:val="16"/>
              </w:rPr>
              <w:br/>
              <w:t>The treatment must be the sole PBS-subsidised PAH agent for this condition.</w:t>
            </w:r>
            <w:r w:rsidRPr="003A13C5">
              <w:rPr>
                <w:rFonts w:eastAsia="SimSun"/>
                <w:szCs w:val="16"/>
              </w:rPr>
              <w:br/>
              <w:t xml:space="preserve">The term </w:t>
            </w:r>
            <w:r w:rsidR="00A653CA">
              <w:rPr>
                <w:rFonts w:eastAsia="SimSun"/>
                <w:szCs w:val="16"/>
              </w:rPr>
              <w:t>‘</w:t>
            </w:r>
            <w:r w:rsidRPr="003A13C5">
              <w:rPr>
                <w:rFonts w:eastAsia="SimSun"/>
                <w:szCs w:val="16"/>
              </w:rPr>
              <w:t>PAH agents</w:t>
            </w:r>
            <w:r w:rsidR="00A653CA">
              <w:rPr>
                <w:rFonts w:eastAsia="SimSun"/>
                <w:szCs w:val="16"/>
              </w:rPr>
              <w:t>’</w:t>
            </w:r>
            <w:r w:rsidRPr="003A13C5">
              <w:rPr>
                <w:rFonts w:eastAsia="SimSun"/>
                <w:szCs w:val="16"/>
              </w:rPr>
              <w:t xml:space="preserve"> refers to bosentan monohydrate, iloprost trometamol, epoprostenol sodium, sildenafil citrate, ambrisentan, tadalafil, macitentan, and riociguat.</w:t>
            </w:r>
            <w:r w:rsidRPr="003A13C5">
              <w:rPr>
                <w:rFonts w:eastAsia="SimSun"/>
                <w:szCs w:val="16"/>
              </w:rPr>
              <w:br/>
              <w:t>PAH agents are not PBS-subsidised for patients with pulmonary hypertension secondary to interstitial lung disease associated with connective tissue disease, where the total lung capacity is less than 70% of predicted.</w:t>
            </w:r>
            <w:r w:rsidRPr="003A13C5">
              <w:rPr>
                <w:rFonts w:eastAsia="SimSun"/>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sidR="00A653CA">
              <w:rPr>
                <w:rFonts w:eastAsia="SimSun"/>
                <w:szCs w:val="16"/>
              </w:rPr>
              <w:t>’</w:t>
            </w:r>
            <w:r w:rsidRPr="003A13C5">
              <w:rPr>
                <w:rFonts w:eastAsia="SimSun"/>
                <w:szCs w:val="16"/>
              </w:rPr>
              <w:t>s restriction, irrespective of the severity of their disease at the time the application to swap therapy is submitted.</w:t>
            </w:r>
            <w:r w:rsidRPr="003A13C5">
              <w:rPr>
                <w:rFonts w:eastAsia="SimSun"/>
                <w:szCs w:val="16"/>
              </w:rPr>
              <w:br/>
              <w:t>Applications to swap between the 8 PAH agents must be made under the relevant initial treatment (monotherapy) restriction.</w:t>
            </w:r>
            <w:r w:rsidRPr="003A13C5">
              <w:rPr>
                <w:rFonts w:eastAsia="SimSun"/>
                <w:szCs w:val="16"/>
              </w:rPr>
              <w:br/>
              <w:t>Approvals for prescriptions for dose titration will provide sufficient quantity for dose titrations by 0.5 mg increments at 2-week intervals to achieve up to a maximum of 2.5 mg three times daily based on the dosage recommendations for initiation of treatment in the TGA-approved Product Information. No repeats will be authorised for these prescriptions.</w:t>
            </w:r>
            <w:r w:rsidRPr="003A13C5">
              <w:rPr>
                <w:rFonts w:eastAsia="SimSun"/>
                <w:szCs w:val="16"/>
              </w:rPr>
              <w:br/>
              <w:t>Approvals for subsequent authority prescription will be limited to 1 month of treatment, with the quantity approved based on the dosage recommendations in the TGA-approved Product Information, and a maximum of 4 repeats.</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3A13C5">
              <w:rPr>
                <w:rFonts w:ascii="Arial" w:eastAsia="SimSun" w:hAnsi="Arial" w:cs="Arial"/>
                <w:sz w:val="16"/>
                <w:szCs w:val="16"/>
                <w:lang w:eastAsia="zh-CN"/>
              </w:rPr>
              <w:t>Compliance with Authority Required procedures</w:t>
            </w:r>
          </w:p>
        </w:tc>
      </w:tr>
      <w:tr w:rsidR="00104560" w:rsidRPr="00E106BD" w:rsidDel="0027417B" w:rsidTr="008929EB">
        <w:tc>
          <w:tcPr>
            <w:tcW w:w="1729" w:type="dxa"/>
            <w:tcBorders>
              <w:bottom w:val="single" w:sz="4" w:space="0" w:color="auto"/>
            </w:tcBorders>
            <w:shd w:val="clear" w:color="auto" w:fill="auto"/>
            <w:tcMar>
              <w:top w:w="28" w:type="dxa"/>
              <w:left w:w="28" w:type="dxa"/>
            </w:tcMar>
          </w:tcPr>
          <w:p w:rsidR="00104560" w:rsidRPr="00E106BD" w:rsidDel="0027417B"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3A13C5"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C10245</w:t>
            </w:r>
          </w:p>
        </w:tc>
        <w:tc>
          <w:tcPr>
            <w:tcW w:w="709" w:type="dxa"/>
            <w:tcBorders>
              <w:bottom w:val="single" w:sz="4" w:space="0" w:color="auto"/>
            </w:tcBorders>
            <w:shd w:val="clear" w:color="auto" w:fill="auto"/>
            <w:tcMar>
              <w:top w:w="28" w:type="dxa"/>
              <w:left w:w="28" w:type="dxa"/>
            </w:tcMar>
          </w:tcPr>
          <w:p w:rsidR="00104560" w:rsidRPr="00E106BD" w:rsidDel="0027417B"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3A13C5" w:rsidRDefault="00104560" w:rsidP="00881477">
            <w:pPr>
              <w:pStyle w:val="mps3-data"/>
              <w:spacing w:before="0"/>
              <w:rPr>
                <w:rFonts w:eastAsia="SimSun"/>
                <w:szCs w:val="16"/>
              </w:rPr>
            </w:pPr>
            <w:r w:rsidRPr="003A13C5">
              <w:rPr>
                <w:rFonts w:eastAsia="SimSun"/>
                <w:szCs w:val="16"/>
              </w:rPr>
              <w:t>Pulmonary arterial hypertension (PAH)</w:t>
            </w:r>
            <w:r w:rsidRPr="003A13C5">
              <w:rPr>
                <w:rFonts w:eastAsia="SimSun"/>
                <w:szCs w:val="16"/>
              </w:rPr>
              <w:br/>
              <w:t>Initial 1 (new patients)</w:t>
            </w:r>
            <w:r w:rsidRPr="003A13C5">
              <w:rPr>
                <w:rFonts w:eastAsia="SimSun"/>
                <w:szCs w:val="16"/>
              </w:rPr>
              <w:br/>
              <w:t>Patient must not have received prior PBS-subsidised treatment with a pulmonary arterial hypertension (PAH) agent; AND</w:t>
            </w:r>
            <w:r w:rsidRPr="003A13C5">
              <w:rPr>
                <w:rFonts w:eastAsia="SimSun"/>
                <w:szCs w:val="16"/>
              </w:rPr>
              <w:br/>
              <w:t>Patient must have been assessed by a physician with expertise in the management of PAH; AND</w:t>
            </w:r>
            <w:r w:rsidRPr="003A13C5">
              <w:rPr>
                <w:rFonts w:eastAsia="SimSun"/>
                <w:szCs w:val="16"/>
              </w:rPr>
              <w:br/>
              <w:t>Patient must have WHO Functional Class III PAH or WHO Functional Class IV PAH; AND</w:t>
            </w:r>
            <w:r w:rsidRPr="003A13C5">
              <w:rPr>
                <w:rFonts w:eastAsia="SimSun"/>
                <w:szCs w:val="16"/>
              </w:rPr>
              <w:br/>
              <w:t>The treatment must be the sole PBS-subsidised PAH agent for this condition.</w:t>
            </w:r>
            <w:r w:rsidRPr="003A13C5">
              <w:rPr>
                <w:rFonts w:eastAsia="SimSun"/>
                <w:szCs w:val="16"/>
              </w:rPr>
              <w:br/>
              <w:t xml:space="preserve">The term </w:t>
            </w:r>
            <w:r w:rsidR="00A653CA">
              <w:rPr>
                <w:rFonts w:eastAsia="SimSun"/>
                <w:szCs w:val="16"/>
              </w:rPr>
              <w:t>‘</w:t>
            </w:r>
            <w:r w:rsidRPr="003A13C5">
              <w:rPr>
                <w:rFonts w:eastAsia="SimSun"/>
                <w:szCs w:val="16"/>
              </w:rPr>
              <w:t>PAH agents</w:t>
            </w:r>
            <w:r w:rsidR="00A653CA">
              <w:rPr>
                <w:rFonts w:eastAsia="SimSun"/>
                <w:szCs w:val="16"/>
              </w:rPr>
              <w:t>’</w:t>
            </w:r>
            <w:r w:rsidRPr="003A13C5">
              <w:rPr>
                <w:rFonts w:eastAsia="SimSun"/>
                <w:szCs w:val="16"/>
              </w:rPr>
              <w:t xml:space="preserve"> refers to bosentan monohydrate, iloprost trometamol, epoprostenol sodium, sildenafil citrate, ambrisentan, tadalafil, macitentan, and riociguat.</w:t>
            </w:r>
            <w:r w:rsidRPr="003A13C5">
              <w:rPr>
                <w:rFonts w:eastAsia="SimSun"/>
                <w:szCs w:val="16"/>
              </w:rPr>
              <w:br/>
              <w:t>PAH agents are not PBS-subsidised for patients with pulmonary hypertension secondary to interstitial lung disease associated with connective tissue disease, where the total lung capacity is less than 70% of predicted.</w:t>
            </w:r>
            <w:r w:rsidRPr="003A13C5">
              <w:rPr>
                <w:rFonts w:eastAsia="SimSun"/>
                <w:szCs w:val="16"/>
              </w:rPr>
              <w:br/>
              <w:t>PAH (WHO Group 1 pulmonary hypertension) is defined as follows:</w:t>
            </w:r>
            <w:r w:rsidRPr="003A13C5">
              <w:rPr>
                <w:rFonts w:eastAsia="SimSun"/>
                <w:szCs w:val="16"/>
              </w:rPr>
              <w:br/>
              <w:t>(i) mean pulmonary artery pressure (mPAP) greater than or equal to 25 mmHg at rest and pulmonary artery wedge pressure (PAWP) less than or equal to 15 mmHg; or</w:t>
            </w:r>
            <w:r w:rsidRPr="003A13C5">
              <w:rPr>
                <w:rFonts w:eastAsia="SimSun"/>
                <w:szCs w:val="16"/>
              </w:rPr>
              <w:br/>
              <w:t>(ii) where a right heart catheter (RHC) cannot be performed on clinical grounds, right ventricular systolic pressure (RVSP), assessed by echocardiography (ECHO), greater than 40 mmHg, with normal left ventricular function.</w:t>
            </w:r>
            <w:r w:rsidRPr="003A13C5">
              <w:rPr>
                <w:rFonts w:eastAsia="SimSun"/>
                <w:szCs w:val="16"/>
              </w:rPr>
              <w:br/>
              <w:t>Applications for authorisation must be in writing and must include:</w:t>
            </w:r>
            <w:r w:rsidRPr="003A13C5">
              <w:rPr>
                <w:rFonts w:eastAsia="SimSun"/>
                <w:szCs w:val="16"/>
              </w:rPr>
              <w:br/>
              <w:t>(1) a completed authority prescription form; and</w:t>
            </w:r>
            <w:r w:rsidRPr="003A13C5">
              <w:rPr>
                <w:rFonts w:eastAsia="SimSun"/>
                <w:szCs w:val="16"/>
              </w:rPr>
              <w:br/>
              <w:t>(2) a completed Pulmonary Arterial Hypertension PBS Authority Application - Supporting Information form which includes results from the three tests below, where available:</w:t>
            </w:r>
            <w:r w:rsidRPr="003A13C5">
              <w:rPr>
                <w:rFonts w:eastAsia="SimSun"/>
                <w:szCs w:val="16"/>
              </w:rPr>
              <w:br/>
              <w:t>(i) RHC composite assessment; and</w:t>
            </w:r>
            <w:r w:rsidRPr="003A13C5">
              <w:rPr>
                <w:rFonts w:eastAsia="SimSun"/>
                <w:szCs w:val="16"/>
              </w:rPr>
              <w:br/>
              <w:t>(ii) ECHO composite assessment; and</w:t>
            </w:r>
            <w:r w:rsidRPr="003A13C5">
              <w:rPr>
                <w:rFonts w:eastAsia="SimSun"/>
                <w:szCs w:val="16"/>
              </w:rPr>
              <w:br/>
              <w:t>(iii) 6 Minute Walk Test (6MWT).</w:t>
            </w:r>
            <w:r w:rsidRPr="003A13C5">
              <w:rPr>
                <w:rFonts w:eastAsia="SimSun"/>
                <w:szCs w:val="16"/>
              </w:rPr>
              <w:br/>
              <w:t>Where it is not possible to perform all 3 tests on clinical grounds, the following list outlines the preferred test combination, in descending order, for the purposes of initiation of PBS-subsidised treatment:</w:t>
            </w:r>
            <w:r w:rsidRPr="003A13C5">
              <w:rPr>
                <w:rFonts w:eastAsia="SimSun"/>
                <w:szCs w:val="16"/>
              </w:rPr>
              <w:br/>
              <w:t>(1) RHC plus ECHO composite assessments;</w:t>
            </w:r>
            <w:r w:rsidRPr="003A13C5">
              <w:rPr>
                <w:rFonts w:eastAsia="SimSun"/>
                <w:szCs w:val="16"/>
              </w:rPr>
              <w:br/>
              <w:t>(2) RHC composite assessment plus 6MWT;</w:t>
            </w:r>
            <w:r w:rsidRPr="003A13C5">
              <w:rPr>
                <w:rFonts w:eastAsia="SimSun"/>
                <w:szCs w:val="16"/>
              </w:rPr>
              <w:br/>
              <w:t>(3) RHC composite assessment only.</w:t>
            </w:r>
            <w:r w:rsidRPr="003A13C5">
              <w:rPr>
                <w:rFonts w:eastAsia="SimSun"/>
                <w:szCs w:val="16"/>
              </w:rPr>
              <w:br/>
              <w:t>In circumstances where a RHC cannot be performed on clinical grounds, applications may be submitted for consideration based on the results of the following test combinations, which are listed in descending order of preference:</w:t>
            </w:r>
            <w:r w:rsidRPr="003A13C5">
              <w:rPr>
                <w:rFonts w:eastAsia="SimSun"/>
                <w:szCs w:val="16"/>
              </w:rPr>
              <w:br/>
              <w:t>(1) ECHO composite assessment plus 6MWT;</w:t>
            </w:r>
            <w:r w:rsidRPr="003A13C5">
              <w:rPr>
                <w:rFonts w:eastAsia="SimSun"/>
                <w:szCs w:val="16"/>
              </w:rPr>
              <w:br/>
              <w:t>(2) ECHO composite assessment only.</w:t>
            </w:r>
            <w:r w:rsidRPr="003A13C5">
              <w:rPr>
                <w:rFonts w:eastAsia="SimSun"/>
                <w:szCs w:val="16"/>
              </w:rPr>
              <w:br/>
              <w:t>Where fewer than 3 tests are able to be performed on clinical grounds, a patient specific reason outlining why the particular test(s) could not be conducted must be provided with the authority application.</w:t>
            </w:r>
            <w:r w:rsidRPr="003A13C5">
              <w:rPr>
                <w:rFonts w:eastAsia="SimSun"/>
                <w:szCs w:val="16"/>
              </w:rPr>
              <w:br/>
              <w:t>Where a RHC cannot be performed on clinical grounds, confirmation of the reason(s) must be provided with the authority application by a second PAH physician or cardiologist with expertise in the management of PAH.</w:t>
            </w:r>
            <w:r w:rsidRPr="003A13C5">
              <w:rPr>
                <w:rFonts w:eastAsia="SimSun"/>
                <w:szCs w:val="16"/>
              </w:rPr>
              <w:br/>
              <w:t>The test results provided must not be more than 2 months old at the time of application.</w:t>
            </w:r>
            <w:r w:rsidRPr="003A13C5">
              <w:rPr>
                <w:rFonts w:eastAsia="SimSun"/>
                <w:szCs w:val="16"/>
              </w:rPr>
              <w:br/>
              <w:t>Approvals for prescriptions for dose titration will provide sufficient quantity for dose titrations by 0.5 mg increments at 2-week intervals to achieve up to a maximum of 2.5 mg three times daily based on the dosage recommendations for initiation of treatment in the TGA-approved Product Information. No repeats will be authorised for these prescriptions.</w:t>
            </w:r>
            <w:r w:rsidRPr="003A13C5">
              <w:rPr>
                <w:rFonts w:eastAsia="SimSun"/>
                <w:szCs w:val="16"/>
              </w:rPr>
              <w:br/>
              <w:t>Approvals for subsequent authority prescription will be limited to 1 month of treatment, with the quantity approved based on the dosage recommendations in the TGA-approved Product Information, and a maximum of 4 repeats.</w:t>
            </w:r>
          </w:p>
        </w:tc>
        <w:tc>
          <w:tcPr>
            <w:tcW w:w="2552" w:type="dxa"/>
            <w:tcBorders>
              <w:bottom w:val="single" w:sz="4" w:space="0" w:color="auto"/>
            </w:tcBorders>
            <w:shd w:val="clear" w:color="auto" w:fill="auto"/>
            <w:tcMar>
              <w:top w:w="28" w:type="dxa"/>
              <w:left w:w="28" w:type="dxa"/>
              <w:right w:w="57" w:type="dxa"/>
            </w:tcMar>
          </w:tcPr>
          <w:p w:rsidR="00104560" w:rsidRPr="003A13C5"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Written Authority Required procedures</w:t>
            </w:r>
          </w:p>
        </w:tc>
      </w:tr>
      <w:tr w:rsidR="00104560" w:rsidRPr="00E106BD" w:rsidDel="00A12BDA" w:rsidTr="008929EB">
        <w:tc>
          <w:tcPr>
            <w:tcW w:w="1729" w:type="dxa"/>
            <w:tcBorders>
              <w:bottom w:val="single" w:sz="4" w:space="0" w:color="auto"/>
            </w:tcBorders>
            <w:shd w:val="clear" w:color="auto" w:fill="auto"/>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bookmarkStart w:id="237" w:name="CU_501781055"/>
            <w:bookmarkStart w:id="238" w:name="CU_502781392"/>
            <w:bookmarkEnd w:id="237"/>
            <w:bookmarkEnd w:id="238"/>
            <w:r w:rsidRPr="00E106BD">
              <w:rPr>
                <w:rFonts w:ascii="Arial" w:eastAsia="SimSun" w:hAnsi="Arial" w:cs="Arial"/>
                <w:sz w:val="16"/>
                <w:szCs w:val="16"/>
                <w:lang w:eastAsia="zh-CN"/>
              </w:rPr>
              <w:t>Ritonavir</w:t>
            </w:r>
          </w:p>
        </w:tc>
        <w:tc>
          <w:tcPr>
            <w:tcW w:w="709" w:type="dxa"/>
            <w:tcBorders>
              <w:bottom w:val="single" w:sz="4" w:space="0" w:color="auto"/>
            </w:tcBorders>
            <w:shd w:val="clear" w:color="auto" w:fill="auto"/>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Borders>
              <w:bottom w:val="single" w:sz="4" w:space="0" w:color="auto"/>
            </w:tcBorders>
            <w:shd w:val="clear" w:color="auto" w:fill="auto"/>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104560" w:rsidRPr="00E106BD" w:rsidDel="00A12BD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104560" w:rsidRPr="00E106BD" w:rsidDel="00A12BD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104560" w:rsidRPr="00E106BD" w:rsidDel="00A12BDA" w:rsidTr="008929EB">
        <w:tc>
          <w:tcPr>
            <w:tcW w:w="1729" w:type="dxa"/>
            <w:tcBorders>
              <w:bottom w:val="single" w:sz="4" w:space="0" w:color="auto"/>
            </w:tcBorders>
            <w:shd w:val="clear" w:color="auto" w:fill="auto"/>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Borders>
              <w:bottom w:val="single" w:sz="4" w:space="0" w:color="auto"/>
            </w:tcBorders>
            <w:shd w:val="clear" w:color="auto" w:fill="auto"/>
            <w:tcMar>
              <w:top w:w="28" w:type="dxa"/>
              <w:left w:w="28" w:type="dxa"/>
            </w:tcMar>
          </w:tcPr>
          <w:p w:rsidR="00104560" w:rsidRPr="00E106BD" w:rsidDel="00A12BDA"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104560" w:rsidRPr="00E106BD" w:rsidDel="00A12BD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104560" w:rsidRPr="00E106BD" w:rsidDel="00A12BDA"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Rituximab</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C7021</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t>Severe active granulomatosis with polyangiitis (Wegeners granulomatosis)</w:t>
            </w:r>
            <w:r w:rsidRPr="00E106BD">
              <w:br/>
              <w:t>Re</w:t>
            </w:r>
            <w:r>
              <w:noBreakHyphen/>
            </w:r>
            <w:r w:rsidRPr="00E106BD">
              <w:t>induction of remission</w:t>
            </w:r>
            <w:r w:rsidRPr="00E106BD">
              <w:br/>
              <w:t>The treatment must be for the re</w:t>
            </w:r>
            <w:r>
              <w:noBreakHyphen/>
            </w:r>
            <w:r w:rsidRPr="00E106BD">
              <w:t>induction of remission; AND</w:t>
            </w:r>
            <w:r w:rsidRPr="00E106BD">
              <w:br/>
              <w:t>Patient must have previously received and responded to this drug for this condition; AND</w:t>
            </w:r>
            <w:r w:rsidRPr="00E106BD">
              <w:br/>
              <w:t>The treatment must in combination with glucocorticoids; AND</w:t>
            </w:r>
            <w:r w:rsidRPr="00E106BD">
              <w:br/>
              <w:t>Patient must be at risk of end</w:t>
            </w:r>
            <w:r>
              <w:noBreakHyphen/>
            </w:r>
            <w:r w:rsidRPr="00E106BD">
              <w:t>organ damage or mortality; AND</w:t>
            </w:r>
            <w:r w:rsidRPr="00E106BD">
              <w:br/>
              <w:t>Patient must be contraindicated, refractory or unable to tolerate cyclophosphamide.</w:t>
            </w:r>
            <w:r w:rsidRPr="00E106BD">
              <w:br/>
              <w:t>Diagnosis should be made according to the Chapel Hill Consensus Conference Nomenclature of the Vasculitides with anti</w:t>
            </w:r>
            <w:r>
              <w:noBreakHyphen/>
            </w:r>
            <w:r w:rsidRPr="00E106BD">
              <w:t>neutrophil cytoplasmic antibody (ANCA) positive serology.</w:t>
            </w:r>
            <w:r w:rsidRPr="00E106BD">
              <w:br/>
              <w:t>This drug is not PBS</w:t>
            </w:r>
            <w:r>
              <w:noBreakHyphen/>
            </w:r>
            <w:r w:rsidRPr="00E106BD">
              <w:t>subsidised for maintenance of remission</w:t>
            </w:r>
            <w:r w:rsidRPr="00E106BD">
              <w:br/>
              <w:t>The authority application must be made in writing</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C7022</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t>Severe active microscopic polyangiitis</w:t>
            </w:r>
            <w:r w:rsidRPr="00E106BD">
              <w:br/>
              <w:t>Re</w:t>
            </w:r>
            <w:r>
              <w:noBreakHyphen/>
            </w:r>
            <w:r w:rsidRPr="00E106BD">
              <w:t>induction of remission</w:t>
            </w:r>
            <w:r w:rsidRPr="00E106BD">
              <w:br/>
              <w:t>The treatment must be for the re</w:t>
            </w:r>
            <w:r>
              <w:noBreakHyphen/>
            </w:r>
            <w:r w:rsidRPr="00E106BD">
              <w:t>induction of remission; AND</w:t>
            </w:r>
            <w:r w:rsidRPr="00E106BD">
              <w:br/>
              <w:t>Patient must have previously received and responded to this drug for this condition; AND</w:t>
            </w:r>
            <w:r w:rsidRPr="00E106BD">
              <w:br/>
              <w:t>The treatment must in combination with glucocorticoids; AND</w:t>
            </w:r>
            <w:r w:rsidRPr="00E106BD">
              <w:br/>
              <w:t>Patient must be at risk of end</w:t>
            </w:r>
            <w:r>
              <w:noBreakHyphen/>
            </w:r>
            <w:r w:rsidRPr="00E106BD">
              <w:t>organ damage or mortality; AND</w:t>
            </w:r>
            <w:r w:rsidRPr="00E106BD">
              <w:br/>
              <w:t>Patient must be contraindicated, refractory or unable to tolerate cyclophosphamide.</w:t>
            </w:r>
            <w:r w:rsidRPr="00E106BD">
              <w:br/>
              <w:t>Diagnosis should be made according to the Chapel Hill Consensus Conference Nomenclature of the Vasculitides with anti</w:t>
            </w:r>
            <w:r>
              <w:noBreakHyphen/>
            </w:r>
            <w:r w:rsidRPr="00E106BD">
              <w:t>neutrophil cytoplasmic antibody (ANCA) positive serology.</w:t>
            </w:r>
            <w:r w:rsidRPr="00E106BD">
              <w:br/>
              <w:t>This drug is not PBS</w:t>
            </w:r>
            <w:r>
              <w:noBreakHyphen/>
            </w:r>
            <w:r w:rsidRPr="00E106BD">
              <w:t>subsidised for maintenance therapy.</w:t>
            </w:r>
            <w:r w:rsidRPr="00E106BD">
              <w:br/>
              <w:t>The authority application must be made in writing</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C9336</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granulomatosis with polyangiitis (Wegeners granulomatosis)</w:t>
            </w:r>
            <w:r w:rsidRPr="00E106BD">
              <w:rPr>
                <w:rFonts w:eastAsia="SimSun"/>
                <w:szCs w:val="16"/>
              </w:rPr>
              <w:br/>
              <w:t>Re</w:t>
            </w:r>
            <w:r>
              <w:rPr>
                <w:rFonts w:eastAsia="SimSun"/>
                <w:szCs w:val="16"/>
              </w:rPr>
              <w:noBreakHyphen/>
            </w:r>
            <w:r w:rsidRPr="00E106BD">
              <w:rPr>
                <w:rFonts w:eastAsia="SimSun"/>
                <w:szCs w:val="16"/>
              </w:rPr>
              <w:t>induction of remission</w:t>
            </w:r>
            <w:r w:rsidRPr="00E106BD">
              <w:rPr>
                <w:rFonts w:eastAsia="SimSun"/>
                <w:szCs w:val="16"/>
              </w:rPr>
              <w:br/>
              <w:t>The treatment must be for the re</w:t>
            </w:r>
            <w:r>
              <w:rPr>
                <w:rFonts w:eastAsia="SimSun"/>
                <w:szCs w:val="16"/>
              </w:rPr>
              <w:noBreakHyphen/>
            </w:r>
            <w:r w:rsidRPr="00E106BD">
              <w:rPr>
                <w:rFonts w:eastAsia="SimSun"/>
                <w:szCs w:val="16"/>
              </w:rPr>
              <w:t>induction of remission; AND</w:t>
            </w:r>
            <w:r w:rsidRPr="00E106BD">
              <w:rPr>
                <w:rFonts w:eastAsia="SimSun"/>
                <w:szCs w:val="16"/>
              </w:rPr>
              <w:br/>
              <w:t>Patient must have previously received and responded to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of remission</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9336</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C9340</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rheumatoid arthritis</w:t>
            </w:r>
            <w:r w:rsidRPr="00E106BD">
              <w:rPr>
                <w:rFonts w:eastAsia="SimSun"/>
                <w:szCs w:val="16"/>
              </w:rPr>
              <w:br/>
              <w:t>Subsequent continuing treatment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previously received PBS</w:t>
            </w:r>
            <w:r>
              <w:rPr>
                <w:rFonts w:eastAsia="SimSun"/>
                <w:szCs w:val="16"/>
              </w:rPr>
              <w:noBreakHyphen/>
            </w:r>
            <w:r w:rsidRPr="00E106BD">
              <w:rPr>
                <w:rFonts w:eastAsia="SimSun"/>
                <w:szCs w:val="16"/>
              </w:rPr>
              <w:t>subsidised treatment with this drug for this condition under the First continuing treatment restriction; AND</w:t>
            </w:r>
            <w:r w:rsidRPr="00E106BD">
              <w:rPr>
                <w:rFonts w:eastAsia="SimSun"/>
                <w:szCs w:val="16"/>
              </w:rPr>
              <w:br/>
              <w:t>Patient must have demonstrated an adequate response to treatment with this drug;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Pr>
                <w:rFonts w:eastAsia="SimSun"/>
                <w:szCs w:val="16"/>
              </w:rPr>
              <w:noBreakHyphen/>
            </w:r>
            <w:r w:rsidRPr="00E106BD">
              <w:rPr>
                <w:rFonts w:eastAsia="SimSun"/>
                <w:szCs w:val="16"/>
              </w:rPr>
              <w:t xml:space="preserve"> Supporting Information Form.</w:t>
            </w:r>
            <w:r w:rsidRPr="00E106BD">
              <w:rPr>
                <w:rFonts w:eastAsia="SimSun"/>
                <w:szCs w:val="16"/>
              </w:rPr>
              <w:br/>
              <w:t>A patient may qualify to receive a further course of treatment (every 24 weeks) with this drug provided they have demonstrated an adequate response to treatment following a minimum of 12 weeks after the first infusion of their most recent treatment with this drug. The demonstration of response must be submitted within 4 weeks of assessment.</w:t>
            </w:r>
            <w:r w:rsidRPr="00E106BD">
              <w:rPr>
                <w:rFonts w:eastAsia="SimSun"/>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eastAsia="SimSun"/>
                <w:szCs w:val="16"/>
              </w:rPr>
              <w:br/>
              <w:t>If a patient has either failed or ceased to respond to a PBS</w:t>
            </w:r>
            <w:r>
              <w:rPr>
                <w:rFonts w:eastAsia="SimSun"/>
                <w:szCs w:val="16"/>
              </w:rPr>
              <w:noBreakHyphen/>
            </w:r>
            <w:r w:rsidRPr="00E106BD">
              <w:rPr>
                <w:rFonts w:eastAsia="SimSun"/>
                <w:szCs w:val="16"/>
              </w:rPr>
              <w:t>subsidised biological medicine for this condition 5 times, they will not be eligible to receive further PBS</w:t>
            </w:r>
            <w:r>
              <w:rPr>
                <w:rFonts w:eastAsia="SimSun"/>
                <w:szCs w:val="16"/>
              </w:rPr>
              <w:noBreakHyphen/>
            </w:r>
            <w:r w:rsidRPr="00E106BD">
              <w:rPr>
                <w:rFonts w:eastAsia="SimSun"/>
                <w:szCs w:val="16"/>
              </w:rPr>
              <w:t>subsidised treatment with a biological medicine for this condition.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C9344</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granulomatosis with polyangiitis (Wegeners granulomatosis)</w:t>
            </w:r>
            <w:r w:rsidRPr="00E106BD">
              <w:rPr>
                <w:rFonts w:eastAsia="SimSun"/>
                <w:szCs w:val="16"/>
              </w:rPr>
              <w:br/>
              <w:t>Induction of remission</w:t>
            </w:r>
            <w:r w:rsidRPr="00E106BD">
              <w:rPr>
                <w:rFonts w:eastAsia="SimSun"/>
                <w:szCs w:val="16"/>
              </w:rPr>
              <w:br/>
              <w:t>The treatment must be for the induction of remission; AND</w:t>
            </w:r>
            <w:r w:rsidRPr="00E106BD">
              <w:rPr>
                <w:rFonts w:eastAsia="SimSun"/>
                <w:szCs w:val="16"/>
              </w:rPr>
              <w:br/>
              <w:t>Patient must not have previously received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of remission</w:t>
            </w:r>
            <w:r w:rsidRPr="00E106BD">
              <w:rPr>
                <w:rFonts w:eastAsia="SimSun"/>
                <w:szCs w:val="16"/>
              </w:rPr>
              <w:br/>
              <w:t>The authority application must be made in writing</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C9446</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rheumatoid arthritis</w:t>
            </w:r>
            <w:r w:rsidRPr="00E106BD">
              <w:rPr>
                <w:rFonts w:eastAsia="SimSun"/>
                <w:szCs w:val="16"/>
              </w:rPr>
              <w:br/>
              <w:t>Subsequent continuing treatment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previously received PBS</w:t>
            </w:r>
            <w:r>
              <w:rPr>
                <w:rFonts w:eastAsia="SimSun"/>
                <w:szCs w:val="16"/>
              </w:rPr>
              <w:noBreakHyphen/>
            </w:r>
            <w:r w:rsidRPr="00E106BD">
              <w:rPr>
                <w:rFonts w:eastAsia="SimSun"/>
                <w:szCs w:val="16"/>
              </w:rPr>
              <w:t>subsidised treatment with this drug for this condition under the First continuing treatment restriction; AND</w:t>
            </w:r>
            <w:r w:rsidRPr="00E106BD">
              <w:rPr>
                <w:rFonts w:eastAsia="SimSun"/>
                <w:szCs w:val="16"/>
              </w:rPr>
              <w:br/>
              <w:t>Patient must have demonstrated an adequate response to treatment with this drug;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measurement of response to the prior course of therapy must be documented in the patient</w:t>
            </w:r>
            <w:r w:rsidR="00A653CA">
              <w:rPr>
                <w:rFonts w:eastAsia="SimSun"/>
                <w:szCs w:val="16"/>
              </w:rPr>
              <w:t>’</w:t>
            </w:r>
            <w:r w:rsidRPr="00E106BD">
              <w:rPr>
                <w:rFonts w:eastAsia="SimSun"/>
                <w:szCs w:val="16"/>
              </w:rPr>
              <w:t>s medical notes.</w:t>
            </w:r>
            <w:r w:rsidRPr="00E106BD">
              <w:rPr>
                <w:rFonts w:eastAsia="SimSun"/>
                <w:szCs w:val="16"/>
              </w:rPr>
              <w:br/>
              <w:t>If a patient has either failed or ceased to respond to a PBS</w:t>
            </w:r>
            <w:r>
              <w:rPr>
                <w:rFonts w:eastAsia="SimSun"/>
                <w:szCs w:val="16"/>
              </w:rPr>
              <w:noBreakHyphen/>
            </w:r>
            <w:r w:rsidRPr="00E106BD">
              <w:rPr>
                <w:rFonts w:eastAsia="SimSun"/>
                <w:szCs w:val="16"/>
              </w:rPr>
              <w:t>subsidised biological medicine for this condition 5 times, they will not be eligible to receive further PBS</w:t>
            </w:r>
            <w:r>
              <w:rPr>
                <w:rFonts w:eastAsia="SimSun"/>
                <w:szCs w:val="16"/>
              </w:rPr>
              <w:noBreakHyphen/>
            </w:r>
            <w:r w:rsidRPr="00E106BD">
              <w:rPr>
                <w:rFonts w:eastAsia="SimSun"/>
                <w:szCs w:val="16"/>
              </w:rPr>
              <w:t>subsidised treatment with a biological medicine for this condition.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9446</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C9448</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rheumatoid arthritis</w:t>
            </w:r>
            <w:r w:rsidRPr="00E106BD">
              <w:rPr>
                <w:rFonts w:eastAsia="SimSun"/>
                <w:szCs w:val="16"/>
              </w:rPr>
              <w:br/>
              <w:t xml:space="preserve">Initial treatment </w:t>
            </w:r>
            <w:r>
              <w:rPr>
                <w:rFonts w:eastAsia="SimSun"/>
                <w:szCs w:val="16"/>
              </w:rPr>
              <w:noBreakHyphen/>
            </w:r>
            <w:r w:rsidRPr="00E106BD">
              <w:rPr>
                <w:rFonts w:eastAsia="SimSun"/>
                <w:szCs w:val="16"/>
              </w:rPr>
              <w:t xml:space="preserve"> Initial 2 (change or recommencement of treatment after a break in biological medicine of less than 24 months)</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received prior PBS</w:t>
            </w:r>
            <w:r>
              <w:rPr>
                <w:rFonts w:eastAsia="SimSun"/>
                <w:szCs w:val="16"/>
              </w:rPr>
              <w:noBreakHyphen/>
            </w:r>
            <w:r w:rsidRPr="00E106BD">
              <w:rPr>
                <w:rFonts w:eastAsia="SimSun"/>
                <w:szCs w:val="16"/>
              </w:rPr>
              <w:t>subsidised treatment with a biological medicine for this condition; AND</w:t>
            </w:r>
            <w:r w:rsidRPr="00E106BD">
              <w:rPr>
                <w:rFonts w:eastAsia="SimSun"/>
                <w:szCs w:val="16"/>
              </w:rPr>
              <w:br/>
              <w:t>Patient must have failed to respond to at least 1 PBS</w:t>
            </w:r>
            <w:r>
              <w:rPr>
                <w:rFonts w:eastAsia="SimSun"/>
                <w:szCs w:val="16"/>
              </w:rPr>
              <w:noBreakHyphen/>
            </w:r>
            <w:r w:rsidRPr="00E106BD">
              <w:rPr>
                <w:rFonts w:eastAsia="SimSun"/>
                <w:szCs w:val="16"/>
              </w:rPr>
              <w:t>subsidised tumour necrosis factor (TNF) alfa antagonist for this condition; AND</w:t>
            </w:r>
            <w:r w:rsidRPr="00E106BD">
              <w:rPr>
                <w:rFonts w:eastAsia="SimSun"/>
                <w:szCs w:val="16"/>
              </w:rPr>
              <w:br/>
              <w:t>Patient must not have failed to respond to previous PBS</w:t>
            </w:r>
            <w:r>
              <w:rPr>
                <w:rFonts w:eastAsia="SimSun"/>
                <w:szCs w:val="16"/>
              </w:rPr>
              <w:noBreakHyphen/>
            </w:r>
            <w:r w:rsidRPr="00E106BD">
              <w:rPr>
                <w:rFonts w:eastAsia="SimSun"/>
                <w:szCs w:val="16"/>
              </w:rPr>
              <w:t>subsidised treatment with this drug for this condition; AND</w:t>
            </w:r>
            <w:r w:rsidRPr="00E106BD">
              <w:rPr>
                <w:rFonts w:eastAsia="SimSun"/>
                <w:szCs w:val="16"/>
              </w:rPr>
              <w:br/>
              <w:t>Patient must not have already failed , or ceased to respond to, PBS</w:t>
            </w:r>
            <w:r>
              <w:rPr>
                <w:rFonts w:eastAsia="SimSun"/>
                <w:szCs w:val="16"/>
              </w:rPr>
              <w:noBreakHyphen/>
            </w:r>
            <w:r w:rsidRPr="00E106BD">
              <w:rPr>
                <w:rFonts w:eastAsia="SimSun"/>
                <w:szCs w:val="16"/>
              </w:rPr>
              <w:t>subsidised biological medicine treatment for this condition 5 times; AND</w:t>
            </w:r>
            <w:r w:rsidRPr="00E106BD">
              <w:rPr>
                <w:rFonts w:eastAsia="SimSun"/>
                <w:szCs w:val="16"/>
              </w:rPr>
              <w:br/>
              <w:t>Patient must not receive more than 2 infusions of this drug under this restriction;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An application for a patient who has received PBS</w:t>
            </w:r>
            <w:r>
              <w:rPr>
                <w:rFonts w:eastAsia="SimSun"/>
                <w:szCs w:val="16"/>
              </w:rPr>
              <w:noBreakHyphen/>
            </w:r>
            <w:r w:rsidRPr="00E106BD">
              <w:rPr>
                <w:rFonts w:eastAsia="SimSun"/>
                <w:szCs w:val="16"/>
              </w:rPr>
              <w:t>subsidised treatment with this drug and who wishes to re</w:t>
            </w:r>
            <w:r>
              <w:rPr>
                <w:rFonts w:eastAsia="SimSun"/>
                <w:szCs w:val="16"/>
              </w:rPr>
              <w:noBreakHyphen/>
            </w:r>
            <w:r w:rsidRPr="00E106BD">
              <w:rPr>
                <w:rFonts w:eastAsia="SimSun"/>
                <w:szCs w:val="16"/>
              </w:rPr>
              <w:t>commence therapy with this drug, must be accompanied by evidence of a response to the patient</w:t>
            </w:r>
            <w:r w:rsidR="00A653CA">
              <w:rPr>
                <w:rFonts w:eastAsia="SimSun"/>
                <w:szCs w:val="16"/>
              </w:rPr>
              <w:t>’</w:t>
            </w:r>
            <w:r w:rsidRPr="00E106BD">
              <w:rPr>
                <w:rFonts w:eastAsia="SimSun"/>
                <w:szCs w:val="16"/>
              </w:rPr>
              <w:t>s most recent course of PBS</w:t>
            </w:r>
            <w:r>
              <w:rPr>
                <w:rFonts w:eastAsia="SimSun"/>
                <w:szCs w:val="16"/>
              </w:rPr>
              <w:noBreakHyphen/>
            </w:r>
            <w:r w:rsidRPr="00E106BD">
              <w:rPr>
                <w:rFonts w:eastAsia="SimSun"/>
                <w:szCs w:val="16"/>
              </w:rPr>
              <w:t>subsidised treatment with this drug, within the timeframes specified below.</w:t>
            </w:r>
            <w:r w:rsidRPr="00E106BD">
              <w:rPr>
                <w:rFonts w:eastAsia="SimSun"/>
                <w:szCs w:val="16"/>
              </w:rPr>
              <w:br/>
              <w:t>Where the most recent course of PBS</w:t>
            </w:r>
            <w:r>
              <w:rPr>
                <w:rFonts w:eastAsia="SimSun"/>
                <w:szCs w:val="16"/>
              </w:rPr>
              <w:noBreakHyphen/>
            </w:r>
            <w:r w:rsidRPr="00E106BD">
              <w:rPr>
                <w:rFonts w:eastAsia="SimSun"/>
                <w:szCs w:val="16"/>
              </w:rPr>
              <w:t>subsidised treatment with this drug was approved under either of the Initial 1, Initial 2, Initial 3, first or subsequent continuing treatment restrictions, it is recommended that an assessment of a patient</w:t>
            </w:r>
            <w:r w:rsidR="00A653CA">
              <w:rPr>
                <w:rFonts w:eastAsia="SimSun"/>
                <w:szCs w:val="16"/>
              </w:rPr>
              <w:t>’</w:t>
            </w:r>
            <w:r w:rsidRPr="00E106BD">
              <w:rPr>
                <w:rFonts w:eastAsia="SimSun"/>
                <w:szCs w:val="16"/>
              </w:rPr>
              <w:t>s response is conducted following a minimum of 12 weeks of therapy and no later than 4 weeks from the completion of the most recent course of treatment.</w:t>
            </w:r>
            <w:r w:rsidRPr="00E106BD">
              <w:rPr>
                <w:rFonts w:eastAsia="SimSun"/>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A patient may qualify to receive a further course of treatment (every 24 weeks) with this drug provided they have demonstrated an adequate response to treatment following a minimum of 12 weeks after the first infusion of their most recent treatment with this drug. The demonstration of response must be submitted within 4 weeks of assessment.</w:t>
            </w:r>
            <w:r w:rsidRPr="00E106BD">
              <w:rPr>
                <w:rFonts w:eastAsia="SimSun"/>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SimSun"/>
                <w:szCs w:val="16"/>
              </w:rPr>
              <w:br/>
              <w:t>A patient whose most recent course of PBS</w:t>
            </w:r>
            <w:r>
              <w:rPr>
                <w:rFonts w:eastAsia="SimSun"/>
                <w:szCs w:val="16"/>
              </w:rPr>
              <w:noBreakHyphen/>
            </w:r>
            <w:r w:rsidRPr="00E106BD">
              <w:rPr>
                <w:rFonts w:eastAsia="SimSun"/>
                <w:szCs w:val="16"/>
              </w:rPr>
              <w:t>subsidised therapy was with this drug and whose response to this treatment is demonstrated at 12 weeks, may apply for a further course of this drug under the First continuing treatment restriction.</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Pr>
                <w:rFonts w:eastAsia="SimSun"/>
                <w:szCs w:val="16"/>
              </w:rPr>
              <w:noBreakHyphen/>
            </w:r>
            <w:r w:rsidRPr="00E106BD">
              <w:rPr>
                <w:rFonts w:eastAsia="SimSun"/>
                <w:szCs w:val="16"/>
              </w:rPr>
              <w:t xml:space="preserve"> Supporting Information Form.</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If a patient fails to demonstrate a response to this drug and who qualifies to trial an alternate biological medicine according to the interchangeability arrangements for biological medicines for the treatment of severe rheumatoid arthritis, may do so without having to have a 22 week treatment</w:t>
            </w:r>
            <w:r>
              <w:rPr>
                <w:rFonts w:eastAsia="SimSun"/>
                <w:szCs w:val="16"/>
              </w:rPr>
              <w:noBreakHyphen/>
            </w:r>
            <w:r w:rsidRPr="00E106BD">
              <w:rPr>
                <w:rFonts w:eastAsia="SimSun"/>
                <w:szCs w:val="16"/>
              </w:rPr>
              <w:t>free period.</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C9449</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rheumatoid arthritis</w:t>
            </w:r>
            <w:r w:rsidRPr="00E106BD">
              <w:rPr>
                <w:rFonts w:eastAsia="SimSun"/>
                <w:szCs w:val="16"/>
              </w:rPr>
              <w:br/>
              <w:t xml:space="preserve">Initial treatment </w:t>
            </w:r>
            <w:r>
              <w:rPr>
                <w:rFonts w:eastAsia="SimSun"/>
                <w:szCs w:val="16"/>
              </w:rPr>
              <w:noBreakHyphen/>
            </w:r>
            <w:r w:rsidRPr="00E106BD">
              <w:rPr>
                <w:rFonts w:eastAsia="SimSun"/>
                <w:szCs w:val="16"/>
              </w:rPr>
              <w:t xml:space="preserve"> Initial 3 (recommencement of treatment after a break in biological medicine of more than 24 months)</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previously received PBS</w:t>
            </w:r>
            <w:r>
              <w:rPr>
                <w:rFonts w:eastAsia="SimSun"/>
                <w:szCs w:val="16"/>
              </w:rPr>
              <w:noBreakHyphen/>
            </w:r>
            <w:r w:rsidRPr="00E106BD">
              <w:rPr>
                <w:rFonts w:eastAsia="SimSun"/>
                <w:szCs w:val="16"/>
              </w:rPr>
              <w:t>subsidised treatment with a biological medicine for this condition; AND</w:t>
            </w:r>
            <w:r w:rsidRPr="00E106BD">
              <w:rPr>
                <w:rFonts w:eastAsia="SimSun"/>
                <w:szCs w:val="16"/>
              </w:rPr>
              <w:br/>
              <w:t>Patient must have a break in treatment of 24 months or more from the most recent PBS</w:t>
            </w:r>
            <w:r>
              <w:rPr>
                <w:rFonts w:eastAsia="SimSun"/>
                <w:szCs w:val="16"/>
              </w:rPr>
              <w:noBreakHyphen/>
            </w:r>
            <w:r w:rsidRPr="00E106BD">
              <w:rPr>
                <w:rFonts w:eastAsia="SimSun"/>
                <w:szCs w:val="16"/>
              </w:rPr>
              <w:t>subsidised biological medicine for this condition; AND</w:t>
            </w:r>
            <w:r w:rsidRPr="00E106BD">
              <w:rPr>
                <w:rFonts w:eastAsia="SimSun"/>
                <w:szCs w:val="16"/>
              </w:rPr>
              <w:br/>
              <w:t>Patient must have failed to respond to at least 1 PBS</w:t>
            </w:r>
            <w:r>
              <w:rPr>
                <w:rFonts w:eastAsia="SimSun"/>
                <w:szCs w:val="16"/>
              </w:rPr>
              <w:noBreakHyphen/>
            </w:r>
            <w:r w:rsidRPr="00E106BD">
              <w:rPr>
                <w:rFonts w:eastAsia="SimSun"/>
                <w:szCs w:val="16"/>
              </w:rPr>
              <w:t>subsidised tumour necrosis factor (TNF) alfa antagonist for this condition; AND</w:t>
            </w:r>
            <w:r w:rsidRPr="00E106BD">
              <w:rPr>
                <w:rFonts w:eastAsia="SimSun"/>
                <w:szCs w:val="16"/>
              </w:rPr>
              <w:br/>
              <w:t>Patient must not have failed to respond to previous PBS</w:t>
            </w:r>
            <w:r>
              <w:rPr>
                <w:rFonts w:eastAsia="SimSun"/>
                <w:szCs w:val="16"/>
              </w:rPr>
              <w:noBreakHyphen/>
            </w:r>
            <w:r w:rsidRPr="00E106BD">
              <w:rPr>
                <w:rFonts w:eastAsia="SimSun"/>
                <w:szCs w:val="16"/>
              </w:rPr>
              <w:t>subsidised treatment with this drug for this condition; AND</w:t>
            </w:r>
            <w:r w:rsidRPr="00E106BD">
              <w:rPr>
                <w:rFonts w:eastAsia="SimSun"/>
                <w:szCs w:val="16"/>
              </w:rPr>
              <w:br/>
              <w:t>Patient must not have already failed , or ceased to respond to, PBS</w:t>
            </w:r>
            <w:r>
              <w:rPr>
                <w:rFonts w:eastAsia="SimSun"/>
                <w:szCs w:val="16"/>
              </w:rPr>
              <w:noBreakHyphen/>
            </w:r>
            <w:r w:rsidRPr="00E106BD">
              <w:rPr>
                <w:rFonts w:eastAsia="SimSun"/>
                <w:szCs w:val="16"/>
              </w:rPr>
              <w:t>subsidised biological medicine treatment for this condition 5 times; AND</w:t>
            </w:r>
            <w:r w:rsidRPr="00E106BD">
              <w:rPr>
                <w:rFonts w:eastAsia="SimSun"/>
                <w:szCs w:val="16"/>
              </w:rPr>
              <w:br/>
              <w:t>The condition must have an elevated erythrocyte sedimentation rate (ESR) greater than 25 mm per hour; OR</w:t>
            </w:r>
            <w:r w:rsidRPr="00E106BD">
              <w:rPr>
                <w:rFonts w:eastAsia="SimSun"/>
                <w:szCs w:val="16"/>
              </w:rPr>
              <w:br/>
              <w:t>The condition must have a C</w:t>
            </w:r>
            <w:r>
              <w:rPr>
                <w:rFonts w:eastAsia="SimSun"/>
                <w:szCs w:val="16"/>
              </w:rPr>
              <w:noBreakHyphen/>
            </w:r>
            <w:r w:rsidRPr="00E106BD">
              <w:rPr>
                <w:rFonts w:eastAsia="SimSun"/>
                <w:szCs w:val="16"/>
              </w:rPr>
              <w:t>reactive protein (CRP) level greater than 15 mg per L; AND</w:t>
            </w:r>
            <w:r w:rsidRPr="00E106BD">
              <w:rPr>
                <w:rFonts w:eastAsia="SimSun"/>
                <w:szCs w:val="16"/>
              </w:rPr>
              <w:br/>
              <w:t>The condition must have either (a) a total active joint count of at least 20 active (swollen and tender) joints; or (b) at least 4 active major joints; AND</w:t>
            </w:r>
            <w:r w:rsidRPr="00E106BD">
              <w:rPr>
                <w:rFonts w:eastAsia="SimSun"/>
                <w:szCs w:val="16"/>
              </w:rPr>
              <w:br/>
              <w:t>Patient must not receive more than 2 infusions of this drug under this restriction;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All measures of joint count and ESR and/or CRP must be no more than one month old at the time of initial application.</w:t>
            </w:r>
            <w:r w:rsidRPr="00E106BD">
              <w:rPr>
                <w:rFonts w:eastAsia="SimSun"/>
                <w:szCs w:val="16"/>
              </w:rPr>
              <w:br/>
              <w:t>If the above requirement to demonstrate an elevated ESR or CRP cannot be met, the application must state the reasons why this criterion cannot be satisfied.</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Pr>
                <w:rFonts w:eastAsia="SimSun"/>
                <w:szCs w:val="16"/>
              </w:rPr>
              <w:noBreakHyphen/>
            </w:r>
            <w:r w:rsidRPr="00E106BD">
              <w:rPr>
                <w:rFonts w:eastAsia="SimSun"/>
                <w:szCs w:val="16"/>
              </w:rPr>
              <w:t xml:space="preserve"> Supporting Information Form.</w:t>
            </w:r>
            <w:r w:rsidRPr="00E106BD">
              <w:rPr>
                <w:rFonts w:eastAsia="SimSun"/>
                <w:szCs w:val="16"/>
              </w:rPr>
              <w:br/>
              <w:t>It is recommended that an assessment of a patient</w:t>
            </w:r>
            <w:r w:rsidR="00A653CA">
              <w:rPr>
                <w:rFonts w:eastAsia="SimSun"/>
                <w:szCs w:val="16"/>
              </w:rPr>
              <w:t>’</w:t>
            </w:r>
            <w:r w:rsidRPr="00E106BD">
              <w:rPr>
                <w:rFonts w:eastAsia="SimSun"/>
                <w:szCs w:val="16"/>
              </w:rPr>
              <w:t>s response is conducted following a minimum of 12 weeks of therapy and no later than 4 weeks from the completion of the most recent course of treatment.</w:t>
            </w:r>
            <w:r w:rsidRPr="00E106BD">
              <w:rPr>
                <w:rFonts w:eastAsia="SimSun"/>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SimSun"/>
                <w:szCs w:val="16"/>
              </w:rPr>
              <w:br/>
              <w:t>A patient whose most recent course of PBS</w:t>
            </w:r>
            <w:r>
              <w:rPr>
                <w:rFonts w:eastAsia="SimSun"/>
                <w:szCs w:val="16"/>
              </w:rPr>
              <w:noBreakHyphen/>
            </w:r>
            <w:r w:rsidRPr="00E106BD">
              <w:rPr>
                <w:rFonts w:eastAsia="SimSun"/>
                <w:szCs w:val="16"/>
              </w:rPr>
              <w:t>subsidised therapy was with this drug and whose response to this treatment is demonstrated at 12 weeks, may apply for a further course of this drug under the First continuing treatment restriction.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If a patient fails to demonstrate a response to this drug and who qualifies to trial an alternate biological medicine according to the interchangeability arrangements for biological medicines for the treatment of severe rheumatoid arthritis, may do so without having to have a 22 week treatment</w:t>
            </w:r>
            <w:r>
              <w:rPr>
                <w:rFonts w:eastAsia="SimSun"/>
                <w:szCs w:val="16"/>
              </w:rPr>
              <w:noBreakHyphen/>
            </w:r>
            <w:r w:rsidRPr="00E106BD">
              <w:rPr>
                <w:rFonts w:eastAsia="SimSun"/>
                <w:szCs w:val="16"/>
              </w:rPr>
              <w:t>free period.</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C9450</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rheumatoid arthritis</w:t>
            </w:r>
            <w:r w:rsidRPr="00E106BD">
              <w:rPr>
                <w:rFonts w:eastAsia="SimSun"/>
                <w:szCs w:val="16"/>
              </w:rPr>
              <w:br/>
              <w:t>First continuing treatment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received this drug as their most recent course of PBS</w:t>
            </w:r>
            <w:r>
              <w:rPr>
                <w:rFonts w:eastAsia="SimSun"/>
                <w:szCs w:val="16"/>
              </w:rPr>
              <w:noBreakHyphen/>
            </w:r>
            <w:r w:rsidRPr="00E106BD">
              <w:rPr>
                <w:rFonts w:eastAsia="SimSun"/>
                <w:szCs w:val="16"/>
              </w:rPr>
              <w:t>subsidised biological medicine treatment for this condition; AND</w:t>
            </w:r>
            <w:r w:rsidRPr="00E106BD">
              <w:rPr>
                <w:rFonts w:eastAsia="SimSun"/>
                <w:szCs w:val="16"/>
              </w:rPr>
              <w:br/>
              <w:t>Patient must have demonstrated an adequate response to treatment with this drug; AND</w:t>
            </w:r>
            <w:r w:rsidRPr="00E106BD">
              <w:rPr>
                <w:rFonts w:eastAsia="SimSun"/>
                <w:szCs w:val="16"/>
              </w:rPr>
              <w:br/>
              <w:t>Patient must not receive more than 2 infusions of this drug under this restriction;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Pr>
                <w:rFonts w:eastAsia="SimSun"/>
                <w:szCs w:val="16"/>
              </w:rPr>
              <w:noBreakHyphen/>
            </w:r>
            <w:r w:rsidRPr="00E106BD">
              <w:rPr>
                <w:rFonts w:eastAsia="SimSun"/>
                <w:szCs w:val="16"/>
              </w:rPr>
              <w:t xml:space="preserve"> Supporting Information Form.</w:t>
            </w:r>
            <w:r w:rsidRPr="00E106BD">
              <w:rPr>
                <w:rFonts w:eastAsia="SimSun"/>
                <w:szCs w:val="16"/>
              </w:rPr>
              <w:br/>
              <w:t>A patient may qualify to receive a further course of treatment (every 24 weeks) with this drug provided they have demonstrated an adequate response to treatment following a minimum of 12 weeks after the first infusion of their most recent treatment with this drug. The demonstration of response must be submitted within 4 weeks of assessment.</w:t>
            </w:r>
            <w:r w:rsidRPr="00E106BD">
              <w:rPr>
                <w:rFonts w:eastAsia="SimSun"/>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eastAsia="SimSun"/>
                <w:szCs w:val="16"/>
              </w:rPr>
              <w:br/>
              <w:t>If a patient has either failed or ceased to respond to a PBS</w:t>
            </w:r>
            <w:r>
              <w:rPr>
                <w:rFonts w:eastAsia="SimSun"/>
                <w:szCs w:val="16"/>
              </w:rPr>
              <w:noBreakHyphen/>
            </w:r>
            <w:r w:rsidRPr="00E106BD">
              <w:rPr>
                <w:rFonts w:eastAsia="SimSun"/>
                <w:szCs w:val="16"/>
              </w:rPr>
              <w:t>subsidised biological medicine for this condition 5 times, they will not be eligible to receive further PBS</w:t>
            </w:r>
            <w:r>
              <w:rPr>
                <w:rFonts w:eastAsia="SimSun"/>
                <w:szCs w:val="16"/>
              </w:rPr>
              <w:noBreakHyphen/>
            </w:r>
            <w:r w:rsidRPr="00E106BD">
              <w:rPr>
                <w:rFonts w:eastAsia="SimSun"/>
                <w:szCs w:val="16"/>
              </w:rPr>
              <w:t>subsidised treatment with a biological medicine for this condition.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C9511</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microscopic polyangiitis</w:t>
            </w:r>
            <w:r w:rsidRPr="00E106BD">
              <w:rPr>
                <w:rFonts w:eastAsia="SimSun"/>
                <w:szCs w:val="16"/>
              </w:rPr>
              <w:br/>
              <w:t>Induction of remission</w:t>
            </w:r>
            <w:r w:rsidRPr="00E106BD">
              <w:rPr>
                <w:rFonts w:eastAsia="SimSun"/>
                <w:szCs w:val="16"/>
              </w:rPr>
              <w:br/>
              <w:t>The treatment must be for the induction of remission; AND</w:t>
            </w:r>
            <w:r w:rsidRPr="00E106BD">
              <w:rPr>
                <w:rFonts w:eastAsia="SimSun"/>
                <w:szCs w:val="16"/>
              </w:rPr>
              <w:br/>
              <w:t>Patient must not have previously received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therapy.</w:t>
            </w:r>
            <w:r w:rsidRPr="00E106BD">
              <w:rPr>
                <w:rFonts w:eastAsia="SimSun"/>
                <w:szCs w:val="16"/>
              </w:rPr>
              <w:br/>
              <w:t>The authority application must be made in writing</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C9512</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rheumatoid arthritis</w:t>
            </w:r>
            <w:r w:rsidRPr="00E106BD">
              <w:rPr>
                <w:rFonts w:eastAsia="SimSun"/>
                <w:szCs w:val="16"/>
              </w:rPr>
              <w:br/>
              <w:t xml:space="preserve">Initial treatment </w:t>
            </w:r>
            <w:r>
              <w:rPr>
                <w:rFonts w:eastAsia="SimSun"/>
                <w:szCs w:val="16"/>
              </w:rPr>
              <w:noBreakHyphen/>
            </w:r>
            <w:r w:rsidRPr="00E106BD">
              <w:rPr>
                <w:rFonts w:eastAsia="SimSun"/>
                <w:szCs w:val="16"/>
              </w:rPr>
              <w:t xml:space="preserve"> Initial 1 (new patient)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failed to respond to at least 1 PBS</w:t>
            </w:r>
            <w:r>
              <w:rPr>
                <w:rFonts w:eastAsia="SimSun"/>
                <w:szCs w:val="16"/>
              </w:rPr>
              <w:noBreakHyphen/>
            </w:r>
            <w:r w:rsidRPr="00E106BD">
              <w:rPr>
                <w:rFonts w:eastAsia="SimSun"/>
                <w:szCs w:val="16"/>
              </w:rPr>
              <w:t>subsidised tumour necrosis factor (TNF) alfa antagonist for this condition; AND</w:t>
            </w:r>
            <w:r w:rsidRPr="00E106BD">
              <w:rPr>
                <w:rFonts w:eastAsia="SimSun"/>
                <w:szCs w:val="16"/>
              </w:rPr>
              <w:br/>
              <w:t>Patient must have failed, in the 24 months immediately prior to the date of the application, to achieve an adequate response to a trial of at least 6 months of intensive treatment with disease modifying anti</w:t>
            </w:r>
            <w:r>
              <w:rPr>
                <w:rFonts w:eastAsia="SimSun"/>
                <w:szCs w:val="16"/>
              </w:rPr>
              <w:noBreakHyphen/>
            </w:r>
            <w:r w:rsidRPr="00E106BD">
              <w:rPr>
                <w:rFonts w:eastAsia="SimSun"/>
                <w:szCs w:val="16"/>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eastAsia="SimSun"/>
                <w:szCs w:val="16"/>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Pr>
                <w:rFonts w:eastAsia="SimSun"/>
                <w:szCs w:val="16"/>
              </w:rPr>
              <w:noBreakHyphen/>
            </w:r>
            <w:r w:rsidRPr="00E106BD">
              <w:rPr>
                <w:rFonts w:eastAsia="SimSun"/>
                <w:szCs w:val="16"/>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eastAsia="SimSun"/>
                <w:szCs w:val="16"/>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Pr>
                <w:rFonts w:eastAsia="SimSun"/>
                <w:szCs w:val="16"/>
              </w:rPr>
              <w:noBreakHyphen/>
            </w:r>
            <w:r w:rsidRPr="00E106BD">
              <w:rPr>
                <w:rFonts w:eastAsia="SimSun"/>
                <w:szCs w:val="16"/>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eastAsia="SimSun"/>
                <w:szCs w:val="16"/>
              </w:rPr>
              <w:br/>
              <w:t>Patient must not receive more than 2 infusions of this drug under this restriction;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If methotrexate is contraindicated according to the TGA</w:t>
            </w:r>
            <w:r>
              <w:rPr>
                <w:rFonts w:eastAsia="SimSun"/>
                <w:szCs w:val="16"/>
              </w:rPr>
              <w:noBreakHyphen/>
            </w:r>
            <w:r w:rsidRPr="00E106BD">
              <w:rPr>
                <w:rFonts w:eastAsia="SimSun"/>
                <w:szCs w:val="16"/>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E106BD">
              <w:rPr>
                <w:rFonts w:eastAsia="SimSun"/>
                <w:szCs w:val="16"/>
              </w:rPr>
              <w:br/>
              <w:t>The application must include details of the DMARDs trialled, their doses and duration of treatment, and all relevant contraindications and/or intolerances including severity.</w:t>
            </w:r>
            <w:r w:rsidRPr="00E106BD">
              <w:rPr>
                <w:rFonts w:eastAsia="SimSun"/>
                <w:szCs w:val="16"/>
              </w:rPr>
              <w:br/>
              <w:t>The requirement to trial at least 2 DMARDs for periods of at least 3 months each can be met using single agents sequentially or by using one or more combinations of DMARDs.</w:t>
            </w:r>
            <w:r w:rsidRPr="00E106BD">
              <w:rPr>
                <w:rFonts w:eastAsia="SimSun"/>
                <w:szCs w:val="16"/>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E106BD">
              <w:rPr>
                <w:rFonts w:eastAsia="SimSun"/>
                <w:szCs w:val="16"/>
              </w:rPr>
              <w:br/>
              <w:t>The following criteria indicate failure to achieve an adequate response and must be demonstrated in all patients at the time of the initial application:</w:t>
            </w:r>
            <w:r w:rsidRPr="00E106BD">
              <w:rPr>
                <w:rFonts w:eastAsia="SimSun"/>
                <w:szCs w:val="16"/>
              </w:rPr>
              <w:br/>
              <w:t>an elevated erythrocyte sedimentation rate (ESR) greater than 25 mm per hour or a C</w:t>
            </w:r>
            <w:r>
              <w:rPr>
                <w:rFonts w:eastAsia="SimSun"/>
                <w:szCs w:val="16"/>
              </w:rPr>
              <w:noBreakHyphen/>
            </w:r>
            <w:r w:rsidRPr="00E106BD">
              <w:rPr>
                <w:rFonts w:eastAsia="SimSun"/>
                <w:szCs w:val="16"/>
              </w:rPr>
              <w:t>reactive protein (CRP) level greater than 15 mg per L; AND either</w:t>
            </w:r>
            <w:r w:rsidRPr="00E106BD">
              <w:rPr>
                <w:rFonts w:eastAsia="SimSun"/>
                <w:szCs w:val="16"/>
              </w:rPr>
              <w:br/>
              <w:t>(a) a total active joint count of at least 20 active (swollen and tender) joints; or</w:t>
            </w:r>
            <w:r w:rsidRPr="00E106BD">
              <w:rPr>
                <w:rFonts w:eastAsia="SimSun"/>
                <w:szCs w:val="16"/>
              </w:rPr>
              <w:br/>
              <w:t>(b) at least 4 active joints from the following list of major joints:</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The joint count and ESR and/or CRP must be determined at the completion of the 6 month intensive DMARD trial, but prior to ceasing DMARD therapy. All measures must be no more than one month old at the time of initial application.</w:t>
            </w:r>
            <w:r w:rsidRPr="00E106BD">
              <w:rPr>
                <w:rFonts w:eastAsia="SimSun"/>
                <w:szCs w:val="16"/>
              </w:rPr>
              <w:br/>
              <w:t>If the above requirement to demonstrate an elevated ESR or CRP cannot be met, the application must state the reasons why this criterion cannot be satisfied.</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Pr>
                <w:rFonts w:eastAsia="SimSun"/>
                <w:szCs w:val="16"/>
              </w:rPr>
              <w:noBreakHyphen/>
            </w:r>
            <w:r w:rsidRPr="00E106BD">
              <w:rPr>
                <w:rFonts w:eastAsia="SimSun"/>
                <w:szCs w:val="16"/>
              </w:rPr>
              <w:t xml:space="preserve"> Supporting Information Form.</w:t>
            </w:r>
            <w:r w:rsidRPr="00E106BD">
              <w:rPr>
                <w:rFonts w:eastAsia="SimSun"/>
                <w:szCs w:val="16"/>
              </w:rPr>
              <w:br/>
              <w:t>It is recommended that an assessment of a patient</w:t>
            </w:r>
            <w:r w:rsidR="00A653CA">
              <w:rPr>
                <w:rFonts w:eastAsia="SimSun"/>
                <w:szCs w:val="16"/>
              </w:rPr>
              <w:t>’</w:t>
            </w:r>
            <w:r w:rsidRPr="00E106BD">
              <w:rPr>
                <w:rFonts w:eastAsia="SimSun"/>
                <w:szCs w:val="16"/>
              </w:rPr>
              <w:t>s response is conducted following a minimum of 12 weeks of therapy and no later than 4 weeks from the completion of the most recent course of treatment.</w:t>
            </w:r>
            <w:r w:rsidRPr="00E106BD">
              <w:rPr>
                <w:rFonts w:eastAsia="SimSun"/>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SimSun"/>
                <w:szCs w:val="16"/>
              </w:rPr>
              <w:br/>
              <w:t>A patient whose most recent course of PBS</w:t>
            </w:r>
            <w:r>
              <w:rPr>
                <w:rFonts w:eastAsia="SimSun"/>
                <w:szCs w:val="16"/>
              </w:rPr>
              <w:noBreakHyphen/>
            </w:r>
            <w:r w:rsidRPr="00E106BD">
              <w:rPr>
                <w:rFonts w:eastAsia="SimSun"/>
                <w:szCs w:val="16"/>
              </w:rPr>
              <w:t>subsidised therapy was with this drug and whose response to this treatment is demonstrated at 12 weeks, may apply for a further course of this drug under the First continuing treatment restriction.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If a patient fails to demonstrate a response to this drug and who qualifies to trial an alternate biological medicine according to the interchangeability arrangements for biological medicines for the treatment of severe rheumatoid arthritis, may do so without having to have a 22 week treatment</w:t>
            </w:r>
            <w:r>
              <w:rPr>
                <w:rFonts w:eastAsia="SimSun"/>
                <w:szCs w:val="16"/>
              </w:rPr>
              <w:noBreakHyphen/>
            </w:r>
            <w:r w:rsidRPr="00E106BD">
              <w:rPr>
                <w:rFonts w:eastAsia="SimSun"/>
                <w:szCs w:val="16"/>
              </w:rPr>
              <w:t>free period.</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C9539</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microscopic polyangiitis</w:t>
            </w:r>
            <w:r w:rsidRPr="00E106BD">
              <w:rPr>
                <w:rFonts w:eastAsia="SimSun"/>
                <w:szCs w:val="16"/>
              </w:rPr>
              <w:br/>
              <w:t>Re</w:t>
            </w:r>
            <w:r>
              <w:rPr>
                <w:rFonts w:eastAsia="SimSun"/>
                <w:szCs w:val="16"/>
              </w:rPr>
              <w:noBreakHyphen/>
            </w:r>
            <w:r w:rsidRPr="00E106BD">
              <w:rPr>
                <w:rFonts w:eastAsia="SimSun"/>
                <w:szCs w:val="16"/>
              </w:rPr>
              <w:t>induction of remission</w:t>
            </w:r>
            <w:r w:rsidRPr="00E106BD">
              <w:rPr>
                <w:rFonts w:eastAsia="SimSun"/>
                <w:szCs w:val="16"/>
              </w:rPr>
              <w:br/>
              <w:t>The treatment must be for the re</w:t>
            </w:r>
            <w:r>
              <w:rPr>
                <w:rFonts w:eastAsia="SimSun"/>
                <w:szCs w:val="16"/>
              </w:rPr>
              <w:noBreakHyphen/>
            </w:r>
            <w:r w:rsidRPr="00E106BD">
              <w:rPr>
                <w:rFonts w:eastAsia="SimSun"/>
                <w:szCs w:val="16"/>
              </w:rPr>
              <w:t>induction of remission; AND</w:t>
            </w:r>
            <w:r w:rsidRPr="00E106BD">
              <w:rPr>
                <w:rFonts w:eastAsia="SimSun"/>
                <w:szCs w:val="16"/>
              </w:rPr>
              <w:br/>
              <w:t>Patient must have previously received and responded to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therapy.</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9539</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C9611</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rheumatoid arthritis</w:t>
            </w:r>
            <w:r w:rsidRPr="00E106BD">
              <w:rPr>
                <w:rFonts w:eastAsia="SimSun"/>
                <w:szCs w:val="16"/>
              </w:rPr>
              <w:br/>
              <w:t>Subsequent continuing treatment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previously received PBS</w:t>
            </w:r>
            <w:r>
              <w:rPr>
                <w:rFonts w:eastAsia="SimSun"/>
                <w:szCs w:val="16"/>
              </w:rPr>
              <w:noBreakHyphen/>
            </w:r>
            <w:r w:rsidRPr="00E106BD">
              <w:rPr>
                <w:rFonts w:eastAsia="SimSun"/>
                <w:szCs w:val="16"/>
              </w:rPr>
              <w:t>subsidised treatment with this drug for this condition under the First continuing treatment restriction; AND</w:t>
            </w:r>
            <w:r w:rsidRPr="00E106BD">
              <w:rPr>
                <w:rFonts w:eastAsia="SimSun"/>
                <w:szCs w:val="16"/>
              </w:rPr>
              <w:br/>
              <w:t>Patient must have demonstrated an adequate response to treatment with this drug;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measurement of response to the prior course of therapy must be documented in the patient</w:t>
            </w:r>
            <w:r w:rsidR="00A653CA">
              <w:rPr>
                <w:rFonts w:eastAsia="SimSun"/>
                <w:szCs w:val="16"/>
              </w:rPr>
              <w:t>’</w:t>
            </w:r>
            <w:r w:rsidRPr="00E106BD">
              <w:rPr>
                <w:rFonts w:eastAsia="SimSun"/>
                <w:szCs w:val="16"/>
              </w:rPr>
              <w:t>s medical notes.</w:t>
            </w:r>
            <w:r w:rsidRPr="00E106BD">
              <w:rPr>
                <w:rFonts w:eastAsia="SimSun"/>
                <w:szCs w:val="16"/>
              </w:rPr>
              <w:br/>
              <w:t>If a patient has either failed or ceased to respond to a PBS</w:t>
            </w:r>
            <w:r>
              <w:rPr>
                <w:rFonts w:eastAsia="SimSun"/>
                <w:szCs w:val="16"/>
              </w:rPr>
              <w:noBreakHyphen/>
            </w:r>
            <w:r w:rsidRPr="00E106BD">
              <w:rPr>
                <w:rFonts w:eastAsia="SimSun"/>
                <w:szCs w:val="16"/>
              </w:rPr>
              <w:t>subsidised biological medicine for this condition 5 times, they will not be eligible to receive further PBS</w:t>
            </w:r>
            <w:r>
              <w:rPr>
                <w:rFonts w:eastAsia="SimSun"/>
                <w:szCs w:val="16"/>
              </w:rPr>
              <w:noBreakHyphen/>
            </w:r>
            <w:r w:rsidRPr="00E106BD">
              <w:rPr>
                <w:rFonts w:eastAsia="SimSun"/>
                <w:szCs w:val="16"/>
              </w:rPr>
              <w:t>subsidised treatment with a biological medicine for this condition.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9611</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C9640</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granulomatosis with polyangiitis (Wegeners granulomatosis)</w:t>
            </w:r>
            <w:r w:rsidRPr="00E106BD">
              <w:rPr>
                <w:rFonts w:eastAsia="SimSun"/>
                <w:szCs w:val="16"/>
              </w:rPr>
              <w:br/>
              <w:t>Re</w:t>
            </w:r>
            <w:r>
              <w:rPr>
                <w:rFonts w:eastAsia="SimSun"/>
                <w:szCs w:val="16"/>
              </w:rPr>
              <w:noBreakHyphen/>
            </w:r>
            <w:r w:rsidRPr="00E106BD">
              <w:rPr>
                <w:rFonts w:eastAsia="SimSun"/>
                <w:szCs w:val="16"/>
              </w:rPr>
              <w:t>induction of remission</w:t>
            </w:r>
            <w:r w:rsidRPr="00E106BD">
              <w:rPr>
                <w:rFonts w:eastAsia="SimSun"/>
                <w:szCs w:val="16"/>
              </w:rPr>
              <w:br/>
              <w:t>The treatment must be for the re</w:t>
            </w:r>
            <w:r>
              <w:rPr>
                <w:rFonts w:eastAsia="SimSun"/>
                <w:szCs w:val="16"/>
              </w:rPr>
              <w:noBreakHyphen/>
            </w:r>
            <w:r w:rsidRPr="00E106BD">
              <w:rPr>
                <w:rFonts w:eastAsia="SimSun"/>
                <w:szCs w:val="16"/>
              </w:rPr>
              <w:t>induction of remission; AND</w:t>
            </w:r>
            <w:r w:rsidRPr="00E106BD">
              <w:rPr>
                <w:rFonts w:eastAsia="SimSun"/>
                <w:szCs w:val="16"/>
              </w:rPr>
              <w:br/>
              <w:t>Patient must have previously received and responded to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of remission</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9640</w:t>
            </w:r>
          </w:p>
        </w:tc>
      </w:tr>
      <w:tr w:rsidR="00104560" w:rsidRPr="00E106BD" w:rsidDel="002B0452" w:rsidTr="008929EB">
        <w:tc>
          <w:tcPr>
            <w:tcW w:w="1729" w:type="dxa"/>
            <w:tcBorders>
              <w:bottom w:val="single" w:sz="4" w:space="0" w:color="auto"/>
            </w:tcBorders>
            <w:shd w:val="clear" w:color="auto" w:fill="auto"/>
            <w:tcMar>
              <w:top w:w="28" w:type="dxa"/>
              <w:left w:w="28" w:type="dxa"/>
            </w:tcMar>
          </w:tcPr>
          <w:p w:rsidR="00104560" w:rsidRPr="00E106BD" w:rsidDel="002B0452" w:rsidRDefault="00104560"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C9641</w:t>
            </w:r>
          </w:p>
        </w:tc>
        <w:tc>
          <w:tcPr>
            <w:tcW w:w="709" w:type="dxa"/>
            <w:tcBorders>
              <w:bottom w:val="single" w:sz="4" w:space="0" w:color="auto"/>
            </w:tcBorders>
            <w:shd w:val="clear" w:color="auto" w:fill="auto"/>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104560" w:rsidRPr="00E106BD" w:rsidRDefault="00104560" w:rsidP="00881477">
            <w:pPr>
              <w:pStyle w:val="mps3-data"/>
              <w:spacing w:before="0" w:after="0"/>
              <w:rPr>
                <w:szCs w:val="16"/>
              </w:rPr>
            </w:pPr>
            <w:r w:rsidRPr="00E106BD">
              <w:rPr>
                <w:rFonts w:eastAsia="SimSun"/>
                <w:szCs w:val="16"/>
              </w:rPr>
              <w:t>Severe active microscopic polyangiitis</w:t>
            </w:r>
            <w:r w:rsidRPr="00E106BD">
              <w:rPr>
                <w:rFonts w:eastAsia="SimSun"/>
                <w:szCs w:val="16"/>
              </w:rPr>
              <w:br/>
              <w:t>Re</w:t>
            </w:r>
            <w:r>
              <w:rPr>
                <w:rFonts w:eastAsia="SimSun"/>
                <w:szCs w:val="16"/>
              </w:rPr>
              <w:noBreakHyphen/>
            </w:r>
            <w:r w:rsidRPr="00E106BD">
              <w:rPr>
                <w:rFonts w:eastAsia="SimSun"/>
                <w:szCs w:val="16"/>
              </w:rPr>
              <w:t>induction of remission</w:t>
            </w:r>
            <w:r w:rsidRPr="00E106BD">
              <w:rPr>
                <w:rFonts w:eastAsia="SimSun"/>
                <w:szCs w:val="16"/>
              </w:rPr>
              <w:br/>
              <w:t>The treatment must be for the re</w:t>
            </w:r>
            <w:r>
              <w:rPr>
                <w:rFonts w:eastAsia="SimSun"/>
                <w:szCs w:val="16"/>
              </w:rPr>
              <w:noBreakHyphen/>
            </w:r>
            <w:r w:rsidRPr="00E106BD">
              <w:rPr>
                <w:rFonts w:eastAsia="SimSun"/>
                <w:szCs w:val="16"/>
              </w:rPr>
              <w:t>induction of remission; AND</w:t>
            </w:r>
            <w:r w:rsidRPr="00E106BD">
              <w:rPr>
                <w:rFonts w:eastAsia="SimSun"/>
                <w:szCs w:val="16"/>
              </w:rPr>
              <w:br/>
              <w:t>Patient must have previously received and responded to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therapy.</w:t>
            </w:r>
          </w:p>
        </w:tc>
        <w:tc>
          <w:tcPr>
            <w:tcW w:w="2552" w:type="dxa"/>
            <w:tcBorders>
              <w:bottom w:val="single" w:sz="4" w:space="0" w:color="auto"/>
            </w:tcBorders>
            <w:shd w:val="clear" w:color="auto" w:fill="auto"/>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9641</w:t>
            </w:r>
          </w:p>
        </w:tc>
      </w:tr>
      <w:tr w:rsidR="00104560" w:rsidRPr="00E106BD" w:rsidDel="00E97A10" w:rsidTr="008929EB">
        <w:tc>
          <w:tcPr>
            <w:tcW w:w="172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bookmarkStart w:id="239" w:name="CU_503781723"/>
            <w:bookmarkStart w:id="240" w:name="CU_504789509"/>
            <w:bookmarkStart w:id="241" w:name="CU_505792506"/>
            <w:bookmarkStart w:id="242" w:name="CU_506796685"/>
            <w:bookmarkStart w:id="243" w:name="CU_507799764"/>
            <w:bookmarkStart w:id="244" w:name="CU_509804555"/>
            <w:bookmarkEnd w:id="239"/>
            <w:bookmarkEnd w:id="240"/>
            <w:bookmarkEnd w:id="241"/>
            <w:bookmarkEnd w:id="242"/>
            <w:bookmarkEnd w:id="243"/>
            <w:bookmarkEnd w:id="244"/>
            <w:r w:rsidRPr="00E106BD">
              <w:rPr>
                <w:rFonts w:ascii="Arial" w:eastAsia="SimSun" w:hAnsi="Arial" w:cs="Arial"/>
                <w:sz w:val="16"/>
                <w:szCs w:val="16"/>
                <w:lang w:eastAsia="zh-CN"/>
              </w:rPr>
              <w:t>Romiplostim</w:t>
            </w: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C6694</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Initial treatment 1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New patient</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had a splenectomy;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failed to acheive an adequate response to, or be intolerant to, corticosteroid therapy following the splenectomy;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failed to acheive an adequate response to, or be intolerant to, immunoglobulin therapy following the splenectomy;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following criteria indicate failure to achieve an adequate response and must be demonstrated at the time of initial application;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a platelet count of less than or equal to 20,000 million per L; OR</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 a platelet count of 20,000 million to 30,000 million per L, where the patient is experiencing significant bleeding or has a history of significant bleeding in this platelet range.</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At the time of the written authority application, medical practitioners should request the appropriate quantity of vials of appropriate strength to provide sufficient drug for a single treatment at a dose of 1 microgram/kg. Up to 1 repeat may be requested with the initial written application.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Subsequently during the initial period of dose titration, authority applications for a single dose and up to 1 repeat may be requested by telephone. The dose (microgram/kg/week) must be provided at the time of application.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Once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dose has been stable for a period of 4 weeks, authority approvals for sufficient vials of appropriate strength based on the weight of the patient and dose (microgram/kg/week) for up to 4 weeks of treatment and up to 4 repeats may be granted, as long as the total period of treatment authorised under this restriction does not exceed 24 weeks.</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approval will not be given for doses higher than 10 micrograms/kg/week</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authority application must be made in writing and must include:</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a completed authority prescription form,</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a signed patient acknowledgement,</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(3) a completed Idiopathic Thrombocytopenic Purpura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(4) a copy of a full blood count pathology report supporting the diagnosis of ITP,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(5) where the application is sought on the basis of a medical contraindication to surgery, a signed and dated letter from the clinician making this assessment which includes the date upon which the patient was assessed for surgery and the clinical grounds upon which surgery is contraindicated.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full blood count must be no more than 1 month old at the time of application.</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104560" w:rsidRPr="00E106BD" w:rsidDel="00E97A10" w:rsidTr="008929EB">
        <w:tc>
          <w:tcPr>
            <w:tcW w:w="1729" w:type="dxa"/>
            <w:tcMar>
              <w:top w:w="28" w:type="dxa"/>
              <w:left w:w="28" w:type="dxa"/>
            </w:tcMar>
          </w:tcPr>
          <w:p w:rsidR="00104560" w:rsidRPr="00E106BD" w:rsidRDefault="00104560" w:rsidP="00881477">
            <w:pPr>
              <w:widowControl w:val="0"/>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C6737</w:t>
            </w:r>
          </w:p>
        </w:tc>
        <w:tc>
          <w:tcPr>
            <w:tcW w:w="709" w:type="dxa"/>
            <w:tcMar>
              <w:top w:w="28" w:type="dxa"/>
              <w:left w:w="28" w:type="dxa"/>
            </w:tcMar>
          </w:tcPr>
          <w:p w:rsidR="00104560" w:rsidRPr="00E106BD" w:rsidDel="00E97A10" w:rsidRDefault="00104560" w:rsidP="00881477">
            <w:pPr>
              <w:widowControl w:val="0"/>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First Continuing treatment or Re</w:t>
            </w:r>
            <w:r>
              <w:rPr>
                <w:rFonts w:ascii="Arial" w:eastAsia="SimSun" w:hAnsi="Arial" w:cs="Arial"/>
                <w:sz w:val="16"/>
                <w:szCs w:val="16"/>
                <w:lang w:eastAsia="zh-CN"/>
              </w:rPr>
              <w:noBreakHyphen/>
            </w:r>
            <w:r w:rsidRPr="00E106BD">
              <w:rPr>
                <w:rFonts w:ascii="Arial" w:eastAsia="SimSun" w:hAnsi="Arial" w:cs="Arial"/>
                <w:sz w:val="16"/>
                <w:szCs w:val="16"/>
                <w:lang w:eastAsia="zh-CN"/>
              </w:rPr>
              <w:t>initiation of interrupted treatment</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initial treatment with this drug for this condition; AND</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demonstrated a sustained platelet response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Initial treatment restriction; AND</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For the purposes of this restriction, a sustained platelet response is defined as:</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use of rescue medication (corticosteroids or immunoglobulins) on no more than one occasion during the initial period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AND either of the following:</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 a platelet count greater than or equal to 50,000 million per L on at least four (4) occasions, each at least one week apart;</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OR</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 a platelet count greater than 30,000 million per L and which is double the baseline (pre</w:t>
            </w:r>
            <w:r>
              <w:rPr>
                <w:rFonts w:ascii="Arial" w:eastAsia="SimSun" w:hAnsi="Arial" w:cs="Arial"/>
                <w:sz w:val="16"/>
                <w:szCs w:val="16"/>
                <w:lang w:eastAsia="zh-CN"/>
              </w:rPr>
              <w:noBreakHyphen/>
            </w:r>
            <w:r w:rsidRPr="00E106BD">
              <w:rPr>
                <w:rFonts w:ascii="Arial" w:eastAsia="SimSun" w:hAnsi="Arial" w:cs="Arial"/>
                <w:sz w:val="16"/>
                <w:szCs w:val="16"/>
                <w:lang w:eastAsia="zh-CN"/>
              </w:rPr>
              <w:t>treatment) platelet count on at least four (4) occasions, each at least one week apart.</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medical practitioner should request sufficient number of vials of appropriate strength based on the weight of the patient and dose (microgram/kg/week) to provide 4 weeks of treatment. Up to a maximum of 5 repeats may be authorised.</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approval will not be given for doses higher than 10 micrograms/kg/week</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Applications for the First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or Re</w:t>
            </w:r>
            <w:r>
              <w:rPr>
                <w:rFonts w:ascii="Arial" w:eastAsia="SimSun" w:hAnsi="Arial" w:cs="Arial"/>
                <w:sz w:val="16"/>
                <w:szCs w:val="16"/>
                <w:lang w:eastAsia="zh-CN"/>
              </w:rPr>
              <w:noBreakHyphen/>
            </w:r>
            <w:r w:rsidRPr="00E106BD">
              <w:rPr>
                <w:rFonts w:ascii="Arial" w:eastAsia="SimSun" w:hAnsi="Arial" w:cs="Arial"/>
                <w:sz w:val="16"/>
                <w:szCs w:val="16"/>
                <w:lang w:eastAsia="zh-CN"/>
              </w:rPr>
              <w:t>initiation of interrupted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must be made in writing and must include:</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a completed authority prescription form, and</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(2) a completed Idiopathic Thrombocytopenic Purpura Continuing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 and</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(3) copies of the platelet count pathology reports (unless previously provided for patients re</w:t>
            </w:r>
            <w:r>
              <w:rPr>
                <w:rFonts w:ascii="Arial" w:eastAsia="SimSun" w:hAnsi="Arial" w:cs="Arial"/>
                <w:sz w:val="16"/>
                <w:szCs w:val="16"/>
                <w:lang w:eastAsia="zh-CN"/>
              </w:rPr>
              <w:noBreakHyphen/>
            </w:r>
            <w:r w:rsidRPr="00E106BD">
              <w:rPr>
                <w:rFonts w:ascii="Arial" w:eastAsia="SimSun" w:hAnsi="Arial" w:cs="Arial"/>
                <w:sz w:val="16"/>
                <w:szCs w:val="16"/>
                <w:lang w:eastAsia="zh-CN"/>
              </w:rPr>
              <w:t>initiating therapy).</w:t>
            </w:r>
          </w:p>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platelet count must be no more than one month old at the time of application.</w:t>
            </w:r>
          </w:p>
        </w:tc>
        <w:tc>
          <w:tcPr>
            <w:tcW w:w="2552" w:type="dxa"/>
            <w:tcMar>
              <w:top w:w="28" w:type="dxa"/>
              <w:left w:w="28" w:type="dxa"/>
              <w:right w:w="57" w:type="dxa"/>
            </w:tcMar>
          </w:tcPr>
          <w:p w:rsidR="00104560" w:rsidRPr="00E106BD" w:rsidRDefault="00104560"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104560" w:rsidRPr="00E106BD" w:rsidDel="00E97A10" w:rsidTr="008929EB">
        <w:trPr>
          <w:cantSplit/>
        </w:trPr>
        <w:tc>
          <w:tcPr>
            <w:tcW w:w="172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C6738</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Initial 1, Initial 2, First Continuing treatment or Re</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initiation of interrupted treatment, and Second and Subsequent Continuing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insufficient therapy with this drug for this condition under the Initial 1 restriction to complete 24 weeks treatment; OR</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insufficient therapy with this drug for this condition under the Initial 2 restriction to complete 24 weeks treatment; OR</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insufficient therapy with this drug for this condition under the First Continuing treatment or Re</w:t>
            </w:r>
            <w:r>
              <w:rPr>
                <w:rFonts w:ascii="Arial" w:eastAsia="SimSun" w:hAnsi="Arial" w:cs="Arial"/>
                <w:sz w:val="16"/>
                <w:szCs w:val="16"/>
                <w:lang w:eastAsia="zh-CN"/>
              </w:rPr>
              <w:noBreakHyphen/>
            </w:r>
            <w:r w:rsidRPr="00E106BD">
              <w:rPr>
                <w:rFonts w:ascii="Arial" w:eastAsia="SimSun" w:hAnsi="Arial" w:cs="Arial"/>
                <w:sz w:val="16"/>
                <w:szCs w:val="16"/>
                <w:lang w:eastAsia="zh-CN"/>
              </w:rPr>
              <w:t>initiation of interrupted treatment restriction to complete 24 weeks treatment; OR</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insufficient therapy with this drug for this condition under the Second and subsequent Continuing treatment restriction to complete 24 weeks treatment;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provide no more than the balance of up to 24 weeks treatment available under the above restriction.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104560" w:rsidRPr="00E106BD" w:rsidDel="00E97A10" w:rsidTr="008929EB">
        <w:tc>
          <w:tcPr>
            <w:tcW w:w="172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C6766</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Initial treatment 2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New patient</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not have had a splenectomy;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failed to acheive an adequate response to, or be intolerant to, corticosteroid therapy at a dose equivalent to 0.5</w:t>
            </w:r>
            <w:r>
              <w:rPr>
                <w:rFonts w:ascii="Arial" w:eastAsia="SimSun" w:hAnsi="Arial" w:cs="Arial"/>
                <w:sz w:val="16"/>
                <w:szCs w:val="16"/>
                <w:lang w:eastAsia="zh-CN"/>
              </w:rPr>
              <w:noBreakHyphen/>
            </w:r>
            <w:r w:rsidRPr="00E106BD">
              <w:rPr>
                <w:rFonts w:ascii="Arial" w:eastAsia="SimSun" w:hAnsi="Arial" w:cs="Arial"/>
                <w:sz w:val="16"/>
                <w:szCs w:val="16"/>
                <w:lang w:eastAsia="zh-CN"/>
              </w:rPr>
              <w:t>2 mg/kg/day of prednisone for at least 4</w:t>
            </w:r>
            <w:r>
              <w:rPr>
                <w:rFonts w:ascii="Arial" w:eastAsia="SimSun" w:hAnsi="Arial" w:cs="Arial"/>
                <w:sz w:val="16"/>
                <w:szCs w:val="16"/>
                <w:lang w:eastAsia="zh-CN"/>
              </w:rPr>
              <w:noBreakHyphen/>
            </w:r>
            <w:r w:rsidRPr="00E106BD">
              <w:rPr>
                <w:rFonts w:ascii="Arial" w:eastAsia="SimSun" w:hAnsi="Arial" w:cs="Arial"/>
                <w:sz w:val="16"/>
                <w:szCs w:val="16"/>
                <w:lang w:eastAsia="zh-CN"/>
              </w:rPr>
              <w:t>6 weeks;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failed to acheive an adequate response to, or be intolerant to, immunoglobulin therapy;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unsuitable for splenectomy due to medical reasons;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following criteria indicate failure to achieve an adequate response and must be demonstrated at the time of initial application;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a platelet count of less than or equal to 20,000 million per L; OR</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 a platelet count of 20,000 million to 30,000 million per L, where the patient is experiencing significant bleeding or has a history of significant bleeding in this platelet range.</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At the time of the written authority application, medical practitioners should request the appropriate quantity of vials of appropriate strength to provide sufficient drug for a single treatment at a dose of 1 microgram/kg. Up to 1 repeat may be requested with the initial written application.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Subsequently during the initial period of dose titration, authority applications for a single dose and up to 1 repeat may be requested by telephone. The dose (microgram/kg/week) must be provided at the time of application.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Once a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dose has been stable for a period of 4 weeks, authority approvals for sufficient vials of appropriate strength based on the weight of the patient and dose (microgram/kg/week) for up to 4 weeks of treatment and up to 4 repeats may be granted, as long as the total period of treatment authorised under this restriction does not exceed 24 weeks.</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approval will not be given for doses higher than 10 micrograms/kg/week</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authority application must be made in writing and must include:</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a completed authority prescription form,</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a signed patient acknowledgement,</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(3) a completed Idiopathic Thrombocytopenic Purpura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(4) a copy of a full blood count pathology report supporting the diagnosis of ITP,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(5) where the application is sought on the basis of a medical contraindication to surgery, a signed and dated letter from the clinician making this assessment which includes the date upon which the patient was assessed for surgery and the clinical grounds upon which surgery is contraindicated.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full blood count must be no more than 1 month old at the time of application.</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104560" w:rsidRPr="00E106BD" w:rsidDel="00E97A10" w:rsidTr="008929EB">
        <w:tc>
          <w:tcPr>
            <w:tcW w:w="172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C6789</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Second or Subsequent Continuing treatment</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demonstrated a continuing response to treatment with this drug;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For the purpose of this restriction, a continuing response to treatment with drug is defined as:</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use of rescue medication (corticosteroids or immunoglobulins) on no more than one occasion during the most recent 24 week period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AND either of the following:</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 a platelet count greater than or equal to 50,000 million per L</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OR</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 a platelet count greater than 30,000 million per L and which is double the baseline platelet count.</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platelet count must be no more than one month old at the time of application.</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medical practitioner should request sufficient number of vials of appropriate strength based on the weight of the patient and dose (microgram/kg/week) to provide 4 weeks of treatment. Up to a maximum of 5 repeats may be authorised.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approval will not be given for doses higher than 10 micrograms/kg/week</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applications for second and subsequent periods of continuing therapy may be made by telephone</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104560" w:rsidRPr="00E106BD" w:rsidDel="00E97A10" w:rsidTr="008929EB">
        <w:trPr>
          <w:cantSplit/>
        </w:trPr>
        <w:tc>
          <w:tcPr>
            <w:tcW w:w="172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Saquinavir</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104560" w:rsidRPr="00E106BD" w:rsidDel="00E97A10"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Mar>
              <w:top w:w="28" w:type="dxa"/>
              <w:left w:w="28" w:type="dxa"/>
              <w:right w:w="57" w:type="dxa"/>
            </w:tcMar>
          </w:tcPr>
          <w:p w:rsidR="00104560" w:rsidRPr="00E106BD" w:rsidDel="00E97A10"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104560" w:rsidRPr="00E106BD" w:rsidDel="00E97A10" w:rsidTr="008929EB">
        <w:trPr>
          <w:cantSplit/>
        </w:trPr>
        <w:tc>
          <w:tcPr>
            <w:tcW w:w="172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104560" w:rsidRPr="00E106BD" w:rsidDel="00E97A10"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Mar>
              <w:top w:w="28" w:type="dxa"/>
              <w:left w:w="28" w:type="dxa"/>
              <w:right w:w="57" w:type="dxa"/>
            </w:tcMar>
          </w:tcPr>
          <w:p w:rsidR="00104560" w:rsidRPr="00E106BD" w:rsidDel="00E97A10"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104560" w:rsidRPr="00E106BD" w:rsidDel="00E97A10" w:rsidTr="008929EB">
        <w:tc>
          <w:tcPr>
            <w:tcW w:w="172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Sevelamer</w:t>
            </w:r>
          </w:p>
        </w:tc>
        <w:tc>
          <w:tcPr>
            <w:tcW w:w="709" w:type="dxa"/>
            <w:tcMar>
              <w:top w:w="28" w:type="dxa"/>
              <w:left w:w="28" w:type="dxa"/>
            </w:tcMar>
          </w:tcPr>
          <w:p w:rsidR="00104560" w:rsidRPr="00104560" w:rsidRDefault="00104560" w:rsidP="00881477">
            <w:pPr>
              <w:spacing w:line="240" w:lineRule="auto"/>
              <w:rPr>
                <w:rFonts w:ascii="Arial" w:eastAsia="SimSun" w:hAnsi="Arial" w:cs="Arial"/>
                <w:sz w:val="16"/>
                <w:szCs w:val="16"/>
                <w:lang w:eastAsia="zh-CN"/>
              </w:rPr>
            </w:pPr>
            <w:r w:rsidRPr="00104560">
              <w:rPr>
                <w:rFonts w:ascii="Arial" w:hAnsi="Arial" w:cs="Arial"/>
                <w:sz w:val="16"/>
                <w:szCs w:val="16"/>
              </w:rPr>
              <w:t>C5530</w:t>
            </w:r>
          </w:p>
        </w:tc>
        <w:tc>
          <w:tcPr>
            <w:tcW w:w="709" w:type="dxa"/>
            <w:tcMar>
              <w:top w:w="28" w:type="dxa"/>
              <w:left w:w="28" w:type="dxa"/>
            </w:tcMar>
          </w:tcPr>
          <w:p w:rsidR="00104560" w:rsidRPr="00104560"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104560" w:rsidRDefault="00104560" w:rsidP="00881477">
            <w:pPr>
              <w:spacing w:line="240" w:lineRule="auto"/>
              <w:rPr>
                <w:rFonts w:ascii="Arial" w:eastAsia="SimSun" w:hAnsi="Arial" w:cs="Arial"/>
                <w:sz w:val="16"/>
                <w:szCs w:val="16"/>
                <w:lang w:eastAsia="zh-CN"/>
              </w:rPr>
            </w:pPr>
            <w:r w:rsidRPr="00104560">
              <w:rPr>
                <w:rFonts w:ascii="Arial" w:hAnsi="Arial" w:cs="Arial"/>
                <w:sz w:val="16"/>
                <w:szCs w:val="16"/>
              </w:rPr>
              <w:t>Hyperphosphataemia</w:t>
            </w:r>
            <w:r w:rsidRPr="00104560">
              <w:rPr>
                <w:rFonts w:ascii="Arial" w:hAnsi="Arial" w:cs="Arial"/>
                <w:sz w:val="16"/>
                <w:szCs w:val="16"/>
              </w:rPr>
              <w:br/>
              <w:t>Initiation and stabilisation</w:t>
            </w:r>
            <w:r w:rsidRPr="00104560">
              <w:rPr>
                <w:rFonts w:ascii="Arial" w:hAnsi="Arial" w:cs="Arial"/>
                <w:sz w:val="16"/>
                <w:szCs w:val="16"/>
              </w:rPr>
              <w:br/>
              <w:t>The condition must not be adequately controlled by calcium; AND</w:t>
            </w:r>
            <w:r w:rsidRPr="00104560">
              <w:rPr>
                <w:rFonts w:ascii="Arial" w:hAnsi="Arial" w:cs="Arial"/>
                <w:sz w:val="16"/>
                <w:szCs w:val="16"/>
              </w:rPr>
              <w:br/>
              <w:t>Patient must have a serum phosphate of greater than 1.6 mmol per L at the commencement of therapy; OR</w:t>
            </w:r>
            <w:r w:rsidRPr="00104560">
              <w:rPr>
                <w:rFonts w:ascii="Arial" w:hAnsi="Arial" w:cs="Arial"/>
                <w:sz w:val="16"/>
                <w:szCs w:val="16"/>
              </w:rPr>
              <w:br/>
              <w:t>The condition must be where a serum calcium times phosphate product is greater than 4 at the commencement of therapy; AND</w:t>
            </w:r>
            <w:r w:rsidRPr="00104560">
              <w:rPr>
                <w:rFonts w:ascii="Arial" w:hAnsi="Arial" w:cs="Arial"/>
                <w:sz w:val="16"/>
                <w:szCs w:val="16"/>
              </w:rPr>
              <w:br/>
              <w:t>The treatment must not be used in combination with any other non-calcium phosphate binding agents.</w:t>
            </w:r>
            <w:r w:rsidRPr="00104560">
              <w:rPr>
                <w:rFonts w:ascii="Arial" w:hAnsi="Arial" w:cs="Arial"/>
                <w:sz w:val="16"/>
                <w:szCs w:val="16"/>
              </w:rPr>
              <w:br/>
              <w:t>Patient must be undergoing dialysis for chronic kidney disease.</w:t>
            </w:r>
          </w:p>
        </w:tc>
        <w:tc>
          <w:tcPr>
            <w:tcW w:w="2552" w:type="dxa"/>
            <w:tcMar>
              <w:top w:w="28" w:type="dxa"/>
              <w:left w:w="28" w:type="dxa"/>
              <w:right w:w="57" w:type="dxa"/>
            </w:tcMar>
          </w:tcPr>
          <w:p w:rsidR="00104560" w:rsidRPr="00104560" w:rsidRDefault="00104560" w:rsidP="00881477">
            <w:pPr>
              <w:spacing w:line="240" w:lineRule="auto"/>
              <w:rPr>
                <w:rFonts w:ascii="Arial" w:eastAsia="SimSun" w:hAnsi="Arial" w:cs="Arial"/>
                <w:sz w:val="16"/>
                <w:szCs w:val="16"/>
                <w:lang w:eastAsia="zh-CN"/>
              </w:rPr>
            </w:pPr>
            <w:r w:rsidRPr="00104560">
              <w:rPr>
                <w:rFonts w:ascii="Arial" w:hAnsi="Arial" w:cs="Arial"/>
                <w:sz w:val="16"/>
                <w:szCs w:val="16"/>
              </w:rPr>
              <w:t>Compliance with Authority Required procedures - Streamlined Authority Code 5530</w:t>
            </w:r>
          </w:p>
        </w:tc>
      </w:tr>
      <w:tr w:rsidR="00104560" w:rsidRPr="00E106BD" w:rsidDel="00E97A10" w:rsidTr="008929EB">
        <w:tc>
          <w:tcPr>
            <w:tcW w:w="172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C9762</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Hyperphosphataemia</w:t>
            </w:r>
            <w:r w:rsidRPr="00E106BD">
              <w:rPr>
                <w:rFonts w:ascii="Arial" w:eastAsia="SimSun" w:hAnsi="Arial" w:cs="Arial"/>
                <w:sz w:val="16"/>
                <w:szCs w:val="16"/>
                <w:lang w:eastAsia="zh-CN"/>
              </w:rPr>
              <w:br/>
              <w:t>Initiation and stabilisation</w:t>
            </w:r>
            <w:r w:rsidRPr="00E106BD">
              <w:rPr>
                <w:rFonts w:ascii="Arial" w:eastAsia="SimSun" w:hAnsi="Arial" w:cs="Arial"/>
                <w:sz w:val="16"/>
                <w:szCs w:val="16"/>
                <w:lang w:eastAsia="zh-CN"/>
              </w:rPr>
              <w:br/>
              <w:t>The condition must not be adequately controlled by calcium; AND</w:t>
            </w:r>
            <w:r w:rsidRPr="00E106BD">
              <w:rPr>
                <w:rFonts w:ascii="Arial" w:eastAsia="SimSun" w:hAnsi="Arial" w:cs="Arial"/>
                <w:sz w:val="16"/>
                <w:szCs w:val="16"/>
                <w:lang w:eastAsia="zh-CN"/>
              </w:rPr>
              <w:br/>
              <w:t>Patient must have a serum phosphate of greater than 1.6 mmol per L at the commencement of therapy; OR</w:t>
            </w:r>
            <w:r w:rsidRPr="00E106BD">
              <w:rPr>
                <w:rFonts w:ascii="Arial" w:eastAsia="SimSun" w:hAnsi="Arial" w:cs="Arial"/>
                <w:sz w:val="16"/>
                <w:szCs w:val="16"/>
                <w:lang w:eastAsia="zh-CN"/>
              </w:rPr>
              <w:br/>
              <w:t>The condition must be where a serum calcium times phosphate product is greater than 4 at the commencement of therapy; AND</w:t>
            </w:r>
            <w:r w:rsidRPr="00E106BD">
              <w:rPr>
                <w:rFonts w:ascii="Arial" w:eastAsia="SimSun" w:hAnsi="Arial" w:cs="Arial"/>
                <w:sz w:val="16"/>
                <w:szCs w:val="16"/>
                <w:lang w:eastAsia="zh-CN"/>
              </w:rPr>
              <w:br/>
              <w:t>The treatment must not be used in combination with any other non</w:t>
            </w:r>
            <w:r>
              <w:rPr>
                <w:rFonts w:ascii="Arial" w:eastAsia="SimSun" w:hAnsi="Arial" w:cs="Arial"/>
                <w:sz w:val="16"/>
                <w:szCs w:val="16"/>
                <w:lang w:eastAsia="zh-CN"/>
              </w:rPr>
              <w:noBreakHyphen/>
            </w:r>
            <w:r w:rsidRPr="00E106BD">
              <w:rPr>
                <w:rFonts w:ascii="Arial" w:eastAsia="SimSun" w:hAnsi="Arial" w:cs="Arial"/>
                <w:sz w:val="16"/>
                <w:szCs w:val="16"/>
                <w:lang w:eastAsia="zh-CN"/>
              </w:rPr>
              <w:t>calcium phosphate binding agents.</w:t>
            </w:r>
            <w:r w:rsidRPr="00E106BD">
              <w:rPr>
                <w:rFonts w:ascii="Arial" w:eastAsia="SimSun" w:hAnsi="Arial" w:cs="Arial"/>
                <w:sz w:val="16"/>
                <w:szCs w:val="16"/>
                <w:lang w:eastAsia="zh-CN"/>
              </w:rPr>
              <w:br/>
              <w:t>Patient must be undergoing dialysis for chronic kidney disease.</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9762</w:t>
            </w:r>
          </w:p>
        </w:tc>
      </w:tr>
      <w:tr w:rsidR="00104560" w:rsidRPr="00E106BD" w:rsidDel="00E97A10" w:rsidTr="008929EB">
        <w:tc>
          <w:tcPr>
            <w:tcW w:w="172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Sildenafil</w:t>
            </w: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C10228</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Continuing treatment</w:t>
            </w:r>
            <w:r w:rsidRPr="003A13C5">
              <w:rPr>
                <w:rFonts w:ascii="Arial" w:eastAsia="SimSun" w:hAnsi="Arial" w:cs="Arial"/>
                <w:sz w:val="16"/>
                <w:szCs w:val="16"/>
                <w:lang w:eastAsia="zh-CN"/>
              </w:rPr>
              <w:br/>
              <w:t>Patient must have received their most recent course of PBS-subsidised treatment with this PAH agent for this condition;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 xml:space="preserve">The term </w:t>
            </w:r>
            <w:r w:rsidR="00A653CA">
              <w:rPr>
                <w:rFonts w:ascii="Arial" w:eastAsia="SimSun" w:hAnsi="Arial" w:cs="Arial"/>
                <w:sz w:val="16"/>
                <w:szCs w:val="16"/>
                <w:lang w:eastAsia="zh-CN"/>
              </w:rPr>
              <w:t>‘</w:t>
            </w:r>
            <w:r w:rsidRPr="003A13C5">
              <w:rPr>
                <w:rFonts w:ascii="Arial" w:eastAsia="SimSun" w:hAnsi="Arial" w:cs="Arial"/>
                <w:sz w:val="16"/>
                <w:szCs w:val="16"/>
                <w:lang w:eastAsia="zh-CN"/>
              </w:rPr>
              <w:t>PAH agents</w:t>
            </w:r>
            <w:r w:rsidR="00A653CA">
              <w:rPr>
                <w:rFonts w:ascii="Arial" w:eastAsia="SimSun" w:hAnsi="Arial" w:cs="Arial"/>
                <w:sz w:val="16"/>
                <w:szCs w:val="16"/>
                <w:lang w:eastAsia="zh-CN"/>
              </w:rPr>
              <w:t>’</w:t>
            </w:r>
            <w:r w:rsidRPr="003A13C5">
              <w:rPr>
                <w:rFonts w:ascii="Arial" w:eastAsia="SimSun" w:hAnsi="Arial" w:cs="Arial"/>
                <w:sz w:val="16"/>
                <w:szCs w:val="16"/>
                <w:lang w:eastAsia="zh-CN"/>
              </w:rPr>
              <w:t xml:space="preserve">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Authority Required procedures</w:t>
            </w:r>
          </w:p>
        </w:tc>
      </w:tr>
      <w:tr w:rsidR="00104560" w:rsidRPr="00E106BD" w:rsidDel="00E97A10" w:rsidTr="008929EB">
        <w:tc>
          <w:tcPr>
            <w:tcW w:w="172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C10234</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Initial 2 (change)</w:t>
            </w:r>
            <w:r w:rsidRPr="003A13C5">
              <w:rPr>
                <w:rFonts w:ascii="Arial" w:eastAsia="SimSun" w:hAnsi="Arial" w:cs="Arial"/>
                <w:sz w:val="16"/>
                <w:szCs w:val="16"/>
                <w:lang w:eastAsia="zh-CN"/>
              </w:rPr>
              <w:br/>
              <w:t>Patient must have documented WHO Functional Class II PAH, or WHO Functional Class III PAH; AND</w:t>
            </w:r>
            <w:r w:rsidRPr="003A13C5">
              <w:rPr>
                <w:rFonts w:ascii="Arial" w:eastAsia="SimSun" w:hAnsi="Arial" w:cs="Arial"/>
                <w:sz w:val="16"/>
                <w:szCs w:val="16"/>
                <w:lang w:eastAsia="zh-CN"/>
              </w:rPr>
              <w:br/>
              <w:t>Patient must have had their most recent course of PBS-subsidised treatment for this condition with a PAH agent other than this agent;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 xml:space="preserve">The term </w:t>
            </w:r>
            <w:r w:rsidR="00A653CA">
              <w:rPr>
                <w:rFonts w:ascii="Arial" w:eastAsia="SimSun" w:hAnsi="Arial" w:cs="Arial"/>
                <w:sz w:val="16"/>
                <w:szCs w:val="16"/>
                <w:lang w:eastAsia="zh-CN"/>
              </w:rPr>
              <w:t>‘</w:t>
            </w:r>
            <w:r w:rsidRPr="003A13C5">
              <w:rPr>
                <w:rFonts w:ascii="Arial" w:eastAsia="SimSun" w:hAnsi="Arial" w:cs="Arial"/>
                <w:sz w:val="16"/>
                <w:szCs w:val="16"/>
                <w:lang w:eastAsia="zh-CN"/>
              </w:rPr>
              <w:t>PAH agents</w:t>
            </w:r>
            <w:r w:rsidR="00A653CA">
              <w:rPr>
                <w:rFonts w:ascii="Arial" w:eastAsia="SimSun" w:hAnsi="Arial" w:cs="Arial"/>
                <w:sz w:val="16"/>
                <w:szCs w:val="16"/>
                <w:lang w:eastAsia="zh-CN"/>
              </w:rPr>
              <w:t>’</w:t>
            </w:r>
            <w:r w:rsidRPr="003A13C5">
              <w:rPr>
                <w:rFonts w:ascii="Arial" w:eastAsia="SimSun" w:hAnsi="Arial" w:cs="Arial"/>
                <w:sz w:val="16"/>
                <w:szCs w:val="16"/>
                <w:lang w:eastAsia="zh-CN"/>
              </w:rPr>
              <w:t xml:space="preserve">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sidR="00A653CA">
              <w:rPr>
                <w:rFonts w:ascii="Arial" w:eastAsia="SimSun" w:hAnsi="Arial" w:cs="Arial"/>
                <w:sz w:val="16"/>
                <w:szCs w:val="16"/>
                <w:lang w:eastAsia="zh-CN"/>
              </w:rPr>
              <w:t>’</w:t>
            </w:r>
            <w:r w:rsidRPr="003A13C5">
              <w:rPr>
                <w:rFonts w:ascii="Arial" w:eastAsia="SimSun" w:hAnsi="Arial" w:cs="Arial"/>
                <w:sz w:val="16"/>
                <w:szCs w:val="16"/>
                <w:lang w:eastAsia="zh-CN"/>
              </w:rPr>
              <w:t>s restriction, irrespective of the severity of their disease at the time the application to swap therapy is submitted.</w:t>
            </w:r>
            <w:r w:rsidRPr="003A13C5">
              <w:rPr>
                <w:rFonts w:ascii="Arial" w:eastAsia="SimSun" w:hAnsi="Arial" w:cs="Arial"/>
                <w:sz w:val="16"/>
                <w:szCs w:val="16"/>
                <w:lang w:eastAsia="zh-CN"/>
              </w:rPr>
              <w:br/>
              <w:t>Applications to swap between the 8 PAH agents must be made under the relevant initial treatment (monotherapy) restriction.</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Authority Required procedures</w:t>
            </w:r>
          </w:p>
        </w:tc>
      </w:tr>
      <w:tr w:rsidR="00104560" w:rsidRPr="00E106BD" w:rsidDel="00E97A10" w:rsidTr="008929EB">
        <w:tc>
          <w:tcPr>
            <w:tcW w:w="172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C10304</w:t>
            </w:r>
          </w:p>
        </w:tc>
        <w:tc>
          <w:tcPr>
            <w:tcW w:w="709" w:type="dxa"/>
            <w:tcMar>
              <w:top w:w="28" w:type="dxa"/>
              <w:left w:w="28" w:type="dxa"/>
            </w:tcMar>
          </w:tcPr>
          <w:p w:rsidR="00104560" w:rsidRPr="00E106BD" w:rsidDel="00E97A10"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Initial 1 (new patients)</w:t>
            </w:r>
            <w:r w:rsidRPr="003A13C5">
              <w:rPr>
                <w:rFonts w:ascii="Arial" w:eastAsia="SimSun" w:hAnsi="Arial" w:cs="Arial"/>
                <w:sz w:val="16"/>
                <w:szCs w:val="16"/>
                <w:lang w:eastAsia="zh-CN"/>
              </w:rPr>
              <w:br/>
              <w:t>Patient must not have received prior PBS-subsidised treatment with a pulmonary arterial hypertension (PAH) agent; AND</w:t>
            </w:r>
            <w:r w:rsidRPr="003A13C5">
              <w:rPr>
                <w:rFonts w:ascii="Arial" w:eastAsia="SimSun" w:hAnsi="Arial" w:cs="Arial"/>
                <w:sz w:val="16"/>
                <w:szCs w:val="16"/>
                <w:lang w:eastAsia="zh-CN"/>
              </w:rPr>
              <w:br/>
              <w:t>Patient must have been assessed by a physician with expertise in the management of PAH; AND</w:t>
            </w:r>
            <w:r w:rsidRPr="003A13C5">
              <w:rPr>
                <w:rFonts w:ascii="Arial" w:eastAsia="SimSun" w:hAnsi="Arial" w:cs="Arial"/>
                <w:sz w:val="16"/>
                <w:szCs w:val="16"/>
                <w:lang w:eastAsia="zh-CN"/>
              </w:rPr>
              <w:br/>
              <w:t>Patient must have WHO Functional Class II PAH, or WHO Functional Class III PAH;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 xml:space="preserve">The term </w:t>
            </w:r>
            <w:r w:rsidR="00A653CA">
              <w:rPr>
                <w:rFonts w:ascii="Arial" w:eastAsia="SimSun" w:hAnsi="Arial" w:cs="Arial"/>
                <w:sz w:val="16"/>
                <w:szCs w:val="16"/>
                <w:lang w:eastAsia="zh-CN"/>
              </w:rPr>
              <w:t>‘</w:t>
            </w:r>
            <w:r w:rsidRPr="003A13C5">
              <w:rPr>
                <w:rFonts w:ascii="Arial" w:eastAsia="SimSun" w:hAnsi="Arial" w:cs="Arial"/>
                <w:sz w:val="16"/>
                <w:szCs w:val="16"/>
                <w:lang w:eastAsia="zh-CN"/>
              </w:rPr>
              <w:t>PAH agents</w:t>
            </w:r>
            <w:r w:rsidR="00A653CA">
              <w:rPr>
                <w:rFonts w:ascii="Arial" w:eastAsia="SimSun" w:hAnsi="Arial" w:cs="Arial"/>
                <w:sz w:val="16"/>
                <w:szCs w:val="16"/>
                <w:lang w:eastAsia="zh-CN"/>
              </w:rPr>
              <w:t>’</w:t>
            </w:r>
            <w:r w:rsidRPr="003A13C5">
              <w:rPr>
                <w:rFonts w:ascii="Arial" w:eastAsia="SimSun" w:hAnsi="Arial" w:cs="Arial"/>
                <w:sz w:val="16"/>
                <w:szCs w:val="16"/>
                <w:lang w:eastAsia="zh-CN"/>
              </w:rPr>
              <w:t xml:space="preserve">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PAH (WHO Group 1 pulmonary hypertension) is defined as follows:</w:t>
            </w:r>
            <w:r w:rsidRPr="003A13C5">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3A13C5">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3A13C5">
              <w:rPr>
                <w:rFonts w:ascii="Arial" w:eastAsia="SimSun" w:hAnsi="Arial" w:cs="Arial"/>
                <w:sz w:val="16"/>
                <w:szCs w:val="16"/>
                <w:lang w:eastAsia="zh-CN"/>
              </w:rPr>
              <w:br/>
              <w:t>Applications for authorisation must be in writing and must include:</w:t>
            </w:r>
            <w:r w:rsidRPr="003A13C5">
              <w:rPr>
                <w:rFonts w:ascii="Arial" w:eastAsia="SimSun" w:hAnsi="Arial" w:cs="Arial"/>
                <w:sz w:val="16"/>
                <w:szCs w:val="16"/>
                <w:lang w:eastAsia="zh-CN"/>
              </w:rPr>
              <w:br/>
              <w:t>(1) a completed authority prescription form; and</w:t>
            </w:r>
            <w:r w:rsidRPr="003A13C5">
              <w:rPr>
                <w:rFonts w:ascii="Arial" w:eastAsia="SimSun" w:hAnsi="Arial" w:cs="Arial"/>
                <w:sz w:val="16"/>
                <w:szCs w:val="16"/>
                <w:lang w:eastAsia="zh-CN"/>
              </w:rPr>
              <w:br/>
              <w:t>(2) a completed Pulmonary Arterial Hypertension PBS Authority Application - Supporting Information form which includes results from the three tests below, where available:</w:t>
            </w:r>
            <w:r w:rsidRPr="003A13C5">
              <w:rPr>
                <w:rFonts w:ascii="Arial" w:eastAsia="SimSun" w:hAnsi="Arial" w:cs="Arial"/>
                <w:sz w:val="16"/>
                <w:szCs w:val="16"/>
                <w:lang w:eastAsia="zh-CN"/>
              </w:rPr>
              <w:br/>
              <w:t>(i) RHC composite assessment; and</w:t>
            </w:r>
            <w:r w:rsidRPr="003A13C5">
              <w:rPr>
                <w:rFonts w:ascii="Arial" w:eastAsia="SimSun" w:hAnsi="Arial" w:cs="Arial"/>
                <w:sz w:val="16"/>
                <w:szCs w:val="16"/>
                <w:lang w:eastAsia="zh-CN"/>
              </w:rPr>
              <w:br/>
              <w:t>(ii) ECHO composite assessment; and</w:t>
            </w:r>
            <w:r w:rsidRPr="003A13C5">
              <w:rPr>
                <w:rFonts w:ascii="Arial" w:eastAsia="SimSun" w:hAnsi="Arial" w:cs="Arial"/>
                <w:sz w:val="16"/>
                <w:szCs w:val="16"/>
                <w:lang w:eastAsia="zh-CN"/>
              </w:rPr>
              <w:br/>
              <w:t>(iii) 6 Minute Walk Test (6MWT).</w:t>
            </w:r>
            <w:r w:rsidRPr="003A13C5">
              <w:rPr>
                <w:rFonts w:ascii="Arial" w:eastAsia="SimSun" w:hAnsi="Arial" w:cs="Arial"/>
                <w:sz w:val="16"/>
                <w:szCs w:val="16"/>
                <w:lang w:eastAsia="zh-CN"/>
              </w:rPr>
              <w:br/>
              <w:t>Where it is not possible to perform all 3 tests on clinical grounds, the following list outlines the preferred test combination, in descending order, for the purposes of initiation of PBS-subsidised treatment:</w:t>
            </w:r>
            <w:r w:rsidRPr="003A13C5">
              <w:rPr>
                <w:rFonts w:ascii="Arial" w:eastAsia="SimSun" w:hAnsi="Arial" w:cs="Arial"/>
                <w:sz w:val="16"/>
                <w:szCs w:val="16"/>
                <w:lang w:eastAsia="zh-CN"/>
              </w:rPr>
              <w:br/>
              <w:t>(1) RHC plus ECHO composite assessments;</w:t>
            </w:r>
            <w:r w:rsidRPr="003A13C5">
              <w:rPr>
                <w:rFonts w:ascii="Arial" w:eastAsia="SimSun" w:hAnsi="Arial" w:cs="Arial"/>
                <w:sz w:val="16"/>
                <w:szCs w:val="16"/>
                <w:lang w:eastAsia="zh-CN"/>
              </w:rPr>
              <w:br/>
              <w:t>(2) RHC composite assessment plus 6MWT;</w:t>
            </w:r>
            <w:r w:rsidRPr="003A13C5">
              <w:rPr>
                <w:rFonts w:ascii="Arial" w:eastAsia="SimSun" w:hAnsi="Arial" w:cs="Arial"/>
                <w:sz w:val="16"/>
                <w:szCs w:val="16"/>
                <w:lang w:eastAsia="zh-CN"/>
              </w:rPr>
              <w:br/>
              <w:t>(3) RHC composite assessment only.</w:t>
            </w:r>
            <w:r w:rsidRPr="003A13C5">
              <w:rPr>
                <w:rFonts w:ascii="Arial" w:eastAsia="SimSun" w:hAnsi="Arial" w:cs="Arial"/>
                <w:sz w:val="16"/>
                <w:szCs w:val="16"/>
                <w:lang w:eastAsia="zh-CN"/>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eastAsia="SimSun" w:hAnsi="Arial" w:cs="Arial"/>
                <w:sz w:val="16"/>
                <w:szCs w:val="16"/>
                <w:lang w:eastAsia="zh-CN"/>
              </w:rPr>
              <w:br/>
              <w:t>(1) ECHO composite assessment plus 6MWT;</w:t>
            </w:r>
            <w:r w:rsidRPr="003A13C5">
              <w:rPr>
                <w:rFonts w:ascii="Arial" w:eastAsia="SimSun" w:hAnsi="Arial" w:cs="Arial"/>
                <w:sz w:val="16"/>
                <w:szCs w:val="16"/>
                <w:lang w:eastAsia="zh-CN"/>
              </w:rPr>
              <w:br/>
              <w:t>(2) ECHO composite assessment only.</w:t>
            </w:r>
            <w:r w:rsidRPr="003A13C5">
              <w:rPr>
                <w:rFonts w:ascii="Arial" w:eastAsia="SimSun" w:hAnsi="Arial" w:cs="Arial"/>
                <w:sz w:val="16"/>
                <w:szCs w:val="16"/>
                <w:lang w:eastAsia="zh-CN"/>
              </w:rPr>
              <w:br/>
              <w:t>Where fewer than 3 tests are able to be performed on clinical grounds, a patient specific reason outlining why the particular test(s) could not be conducted must be provided with the authority application.</w:t>
            </w:r>
            <w:r w:rsidRPr="003A13C5">
              <w:rPr>
                <w:rFonts w:ascii="Arial" w:eastAsia="SimSun" w:hAnsi="Arial" w:cs="Arial"/>
                <w:sz w:val="16"/>
                <w:szCs w:val="16"/>
                <w:lang w:eastAsia="zh-CN"/>
              </w:rPr>
              <w:br/>
              <w:t>Where a RHC cannot be performed on clinical grounds, confirmation of the reason(s) must be provided with the authority application by a second PAH physician or cardiologist with expertise in the management of PAH.</w:t>
            </w:r>
            <w:r w:rsidRPr="003A13C5">
              <w:rPr>
                <w:rFonts w:ascii="Arial" w:eastAsia="SimSun" w:hAnsi="Arial" w:cs="Arial"/>
                <w:sz w:val="16"/>
                <w:szCs w:val="16"/>
                <w:lang w:eastAsia="zh-CN"/>
              </w:rPr>
              <w:br/>
              <w:t>The test results provided must not be more than 2 months old at the time of application.</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Written Authority Required procedures</w:t>
            </w:r>
          </w:p>
        </w:tc>
      </w:tr>
      <w:tr w:rsidR="00D07D18" w:rsidRPr="00E106BD" w:rsidDel="00E97A10" w:rsidTr="008929EB">
        <w:tc>
          <w:tcPr>
            <w:tcW w:w="1729" w:type="dxa"/>
            <w:tcMar>
              <w:top w:w="28" w:type="dxa"/>
              <w:left w:w="28" w:type="dxa"/>
            </w:tcMar>
          </w:tcPr>
          <w:p w:rsidR="00D07D18" w:rsidRPr="00E106BD" w:rsidDel="00E97A10" w:rsidRDefault="00D07D18" w:rsidP="00881477">
            <w:pPr>
              <w:spacing w:line="240" w:lineRule="auto"/>
              <w:rPr>
                <w:rFonts w:ascii="Arial" w:eastAsia="SimSun" w:hAnsi="Arial" w:cs="Arial"/>
                <w:sz w:val="16"/>
                <w:szCs w:val="16"/>
                <w:lang w:eastAsia="zh-CN"/>
              </w:rPr>
            </w:pPr>
          </w:p>
        </w:tc>
        <w:tc>
          <w:tcPr>
            <w:tcW w:w="709" w:type="dxa"/>
            <w:tcMar>
              <w:top w:w="28" w:type="dxa"/>
              <w:left w:w="28" w:type="dxa"/>
            </w:tcMar>
          </w:tcPr>
          <w:p w:rsidR="00D07D18" w:rsidRPr="003A13C5" w:rsidRDefault="00D07D18"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C10726</w:t>
            </w:r>
          </w:p>
        </w:tc>
        <w:tc>
          <w:tcPr>
            <w:tcW w:w="709" w:type="dxa"/>
            <w:tcMar>
              <w:top w:w="28" w:type="dxa"/>
              <w:left w:w="28" w:type="dxa"/>
            </w:tcMar>
          </w:tcPr>
          <w:p w:rsidR="00D07D18" w:rsidRPr="00E106BD" w:rsidDel="00E97A10" w:rsidRDefault="00D07D18" w:rsidP="00881477">
            <w:pPr>
              <w:spacing w:line="240" w:lineRule="auto"/>
              <w:rPr>
                <w:rFonts w:ascii="Arial" w:eastAsia="SimSun" w:hAnsi="Arial" w:cs="Arial"/>
                <w:sz w:val="16"/>
                <w:szCs w:val="16"/>
                <w:lang w:eastAsia="zh-CN"/>
              </w:rPr>
            </w:pPr>
          </w:p>
        </w:tc>
        <w:tc>
          <w:tcPr>
            <w:tcW w:w="7654" w:type="dxa"/>
            <w:tcMar>
              <w:top w:w="28" w:type="dxa"/>
              <w:left w:w="28" w:type="dxa"/>
            </w:tcMar>
          </w:tcPr>
          <w:p w:rsidR="00D07D18" w:rsidRPr="003A13C5" w:rsidRDefault="00D07D18"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Pulmonary arterial hypertension (PAH)</w:t>
            </w:r>
            <w:r w:rsidRPr="008F022A">
              <w:rPr>
                <w:rFonts w:ascii="Arial" w:eastAsia="SimSun" w:hAnsi="Arial" w:cs="Arial"/>
                <w:sz w:val="16"/>
                <w:szCs w:val="16"/>
                <w:lang w:eastAsia="zh-CN"/>
              </w:rPr>
              <w:br/>
              <w:t>Initial 1 (dual therapy - previously untreated patients)</w:t>
            </w:r>
            <w:r w:rsidRPr="008F022A">
              <w:rPr>
                <w:rFonts w:ascii="Arial" w:eastAsia="SimSun" w:hAnsi="Arial" w:cs="Arial"/>
                <w:sz w:val="16"/>
                <w:szCs w:val="16"/>
                <w:lang w:eastAsia="zh-CN"/>
              </w:rPr>
              <w:br/>
              <w:t>Patient must not have received prior PBS-subsidised treatment with a pulmonary arterial hypertension (PAH) agent; AND</w:t>
            </w:r>
            <w:r w:rsidRPr="008F022A">
              <w:rPr>
                <w:rFonts w:ascii="Arial" w:eastAsia="SimSun" w:hAnsi="Arial" w:cs="Arial"/>
                <w:sz w:val="16"/>
                <w:szCs w:val="16"/>
                <w:lang w:eastAsia="zh-CN"/>
              </w:rPr>
              <w:br/>
              <w:t>Patient must have been assessed by a physician with expertise in the management of PAH; AND</w:t>
            </w:r>
            <w:r w:rsidRPr="008F022A">
              <w:rPr>
                <w:rFonts w:ascii="Arial" w:eastAsia="SimSun" w:hAnsi="Arial" w:cs="Arial"/>
                <w:sz w:val="16"/>
                <w:szCs w:val="16"/>
                <w:lang w:eastAsia="zh-CN"/>
              </w:rPr>
              <w:br/>
              <w:t>Patient must currently have WHO Functional Class III PAH or WHO Functional Class IV PAH; AND</w:t>
            </w:r>
            <w:r w:rsidRPr="008F022A">
              <w:rPr>
                <w:rFonts w:ascii="Arial" w:eastAsia="SimSun" w:hAnsi="Arial" w:cs="Arial"/>
                <w:sz w:val="16"/>
                <w:szCs w:val="16"/>
                <w:lang w:eastAsia="zh-CN"/>
              </w:rPr>
              <w:br/>
              <w:t>The treatment must be in combination with a PBS-subsidised endothelin receptor antagonist (ERA) for this condition.</w:t>
            </w:r>
            <w:r w:rsidRPr="008F022A">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8F022A">
              <w:rPr>
                <w:rFonts w:ascii="Arial" w:eastAsia="SimSun" w:hAnsi="Arial" w:cs="Arial"/>
                <w:sz w:val="16"/>
                <w:szCs w:val="16"/>
                <w:lang w:eastAsia="zh-CN"/>
              </w:rPr>
              <w:br/>
              <w:t>For the purposes of PBS subsidy, dual therapy refers to combined use of an endothelin receptor antagonist (ERA) and a phosphodiesterase-5 inhibitor (PDE-5i).</w:t>
            </w:r>
            <w:r w:rsidRPr="008F022A">
              <w:rPr>
                <w:rFonts w:ascii="Arial" w:eastAsia="SimSun" w:hAnsi="Arial" w:cs="Arial"/>
                <w:sz w:val="16"/>
                <w:szCs w:val="16"/>
                <w:lang w:eastAsia="zh-CN"/>
              </w:rPr>
              <w:br/>
              <w:t>(i) An ERA includes bosentan monohydrate, or macitentan.</w:t>
            </w:r>
            <w:r w:rsidRPr="008F022A">
              <w:rPr>
                <w:rFonts w:ascii="Arial" w:eastAsia="SimSun" w:hAnsi="Arial" w:cs="Arial"/>
                <w:sz w:val="16"/>
                <w:szCs w:val="16"/>
                <w:lang w:eastAsia="zh-CN"/>
              </w:rPr>
              <w:br/>
              <w:t>(ii) A PDE-5i includes sildenafil citrate, or tadalafil.</w:t>
            </w:r>
            <w:r w:rsidRPr="008F022A">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8F022A">
              <w:rPr>
                <w:rFonts w:ascii="Arial" w:eastAsia="SimSun" w:hAnsi="Arial" w:cs="Arial"/>
                <w:sz w:val="16"/>
                <w:szCs w:val="16"/>
                <w:lang w:eastAsia="zh-CN"/>
              </w:rPr>
              <w:br/>
              <w:t>PAH (WHO Group 1 pulmonary hypertension) is defined as follows:</w:t>
            </w:r>
            <w:r w:rsidRPr="008F022A">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8F022A">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8F022A">
              <w:rPr>
                <w:rFonts w:ascii="Arial" w:eastAsia="SimSun" w:hAnsi="Arial" w:cs="Arial"/>
                <w:sz w:val="16"/>
                <w:szCs w:val="16"/>
                <w:lang w:eastAsia="zh-CN"/>
              </w:rPr>
              <w:br/>
              <w:t>Applications for authorisation must be in writing and must include:</w:t>
            </w:r>
            <w:r w:rsidRPr="008F022A">
              <w:rPr>
                <w:rFonts w:ascii="Arial" w:eastAsia="SimSun" w:hAnsi="Arial" w:cs="Arial"/>
                <w:sz w:val="16"/>
                <w:szCs w:val="16"/>
                <w:lang w:eastAsia="zh-CN"/>
              </w:rPr>
              <w:br/>
              <w:t>(1) a completed authority prescription form; and</w:t>
            </w:r>
            <w:r w:rsidRPr="008F022A">
              <w:rPr>
                <w:rFonts w:ascii="Arial" w:eastAsia="SimSun" w:hAnsi="Arial" w:cs="Arial"/>
                <w:sz w:val="16"/>
                <w:szCs w:val="16"/>
                <w:lang w:eastAsia="zh-CN"/>
              </w:rPr>
              <w:br/>
              <w:t>(2) a completed Pulmonary Arterial Hypertension PBS Authority Application - Supporting Information form which includes results from the three tests below, where available:</w:t>
            </w:r>
            <w:r w:rsidRPr="008F022A">
              <w:rPr>
                <w:rFonts w:ascii="Arial" w:eastAsia="SimSun" w:hAnsi="Arial" w:cs="Arial"/>
                <w:sz w:val="16"/>
                <w:szCs w:val="16"/>
                <w:lang w:eastAsia="zh-CN"/>
              </w:rPr>
              <w:br/>
              <w:t>(i) RHC composite assessment; and</w:t>
            </w:r>
            <w:r w:rsidRPr="008F022A">
              <w:rPr>
                <w:rFonts w:ascii="Arial" w:eastAsia="SimSun" w:hAnsi="Arial" w:cs="Arial"/>
                <w:sz w:val="16"/>
                <w:szCs w:val="16"/>
                <w:lang w:eastAsia="zh-CN"/>
              </w:rPr>
              <w:br/>
              <w:t>(ii) ECHO composite assessment; and</w:t>
            </w:r>
            <w:r w:rsidRPr="008F022A">
              <w:rPr>
                <w:rFonts w:ascii="Arial" w:eastAsia="SimSun" w:hAnsi="Arial" w:cs="Arial"/>
                <w:sz w:val="16"/>
                <w:szCs w:val="16"/>
                <w:lang w:eastAsia="zh-CN"/>
              </w:rPr>
              <w:br/>
              <w:t>(iii) 6 Minute Walk Test (6MWT).</w:t>
            </w:r>
            <w:r w:rsidRPr="008F022A">
              <w:rPr>
                <w:rFonts w:ascii="Arial" w:eastAsia="SimSun" w:hAnsi="Arial" w:cs="Arial"/>
                <w:sz w:val="16"/>
                <w:szCs w:val="16"/>
                <w:lang w:eastAsia="zh-CN"/>
              </w:rPr>
              <w:br/>
              <w:t>Where it is not possible to perform all 3 tests on clinical grounds, the following list outlines the preferred test combination, in descending order, for the purposes of initiation of PBS-subsidised treatment:</w:t>
            </w:r>
            <w:r w:rsidRPr="008F022A">
              <w:rPr>
                <w:rFonts w:ascii="Arial" w:eastAsia="SimSun" w:hAnsi="Arial" w:cs="Arial"/>
                <w:sz w:val="16"/>
                <w:szCs w:val="16"/>
                <w:lang w:eastAsia="zh-CN"/>
              </w:rPr>
              <w:br/>
              <w:t>(1) RHC plus ECHO composite assessments;</w:t>
            </w:r>
            <w:r w:rsidRPr="008F022A">
              <w:rPr>
                <w:rFonts w:ascii="Arial" w:eastAsia="SimSun" w:hAnsi="Arial" w:cs="Arial"/>
                <w:sz w:val="16"/>
                <w:szCs w:val="16"/>
                <w:lang w:eastAsia="zh-CN"/>
              </w:rPr>
              <w:br/>
              <w:t>(2) RHC composite assessment plus 6MWT;</w:t>
            </w:r>
            <w:r w:rsidRPr="008F022A">
              <w:rPr>
                <w:rFonts w:ascii="Arial" w:eastAsia="SimSun" w:hAnsi="Arial" w:cs="Arial"/>
                <w:sz w:val="16"/>
                <w:szCs w:val="16"/>
                <w:lang w:eastAsia="zh-CN"/>
              </w:rPr>
              <w:br/>
              <w:t>(3) RHC composite assessment only.</w:t>
            </w:r>
            <w:r w:rsidRPr="008F022A">
              <w:rPr>
                <w:rFonts w:ascii="Arial" w:eastAsia="SimSun" w:hAnsi="Arial" w:cs="Arial"/>
                <w:sz w:val="16"/>
                <w:szCs w:val="16"/>
                <w:lang w:eastAsia="zh-CN"/>
              </w:rPr>
              <w:br/>
              <w:t>In circumstances where a RHC cannot be performed on clinical grounds, applications may be submitted for consideration based on the results of the following test combinations, which are listed in descending order of preference:</w:t>
            </w:r>
            <w:r w:rsidRPr="008F022A">
              <w:rPr>
                <w:rFonts w:ascii="Arial" w:eastAsia="SimSun" w:hAnsi="Arial" w:cs="Arial"/>
                <w:sz w:val="16"/>
                <w:szCs w:val="16"/>
                <w:lang w:eastAsia="zh-CN"/>
              </w:rPr>
              <w:br/>
              <w:t>(1) ECHO composite assessment plus 6MWT;</w:t>
            </w:r>
            <w:r w:rsidRPr="008F022A">
              <w:rPr>
                <w:rFonts w:ascii="Arial" w:eastAsia="SimSun" w:hAnsi="Arial" w:cs="Arial"/>
                <w:sz w:val="16"/>
                <w:szCs w:val="16"/>
                <w:lang w:eastAsia="zh-CN"/>
              </w:rPr>
              <w:br/>
              <w:t>(2) ECHO composite assessment only.</w:t>
            </w:r>
            <w:r w:rsidRPr="008F022A">
              <w:rPr>
                <w:rFonts w:ascii="Arial" w:eastAsia="SimSun" w:hAnsi="Arial" w:cs="Arial"/>
                <w:sz w:val="16"/>
                <w:szCs w:val="16"/>
                <w:lang w:eastAsia="zh-CN"/>
              </w:rPr>
              <w:br/>
              <w:t>Where fewer than 3 tests are able to be performed on clinical grounds, a patient specific reason outlining why the particular test(s) could not be conducted must be provided with the authority application.</w:t>
            </w:r>
            <w:r w:rsidRPr="008F022A">
              <w:rPr>
                <w:rFonts w:ascii="Arial" w:eastAsia="SimSun" w:hAnsi="Arial" w:cs="Arial"/>
                <w:sz w:val="16"/>
                <w:szCs w:val="16"/>
                <w:lang w:eastAsia="zh-CN"/>
              </w:rPr>
              <w:br/>
              <w:t>Where a RHC cannot be performed on clinical grounds, confirmation of the reason(s) must be provided with the authority application by a second PAH physician or cardiologist with expertise in the management of PAH.</w:t>
            </w:r>
            <w:r w:rsidRPr="008F022A">
              <w:rPr>
                <w:rFonts w:ascii="Arial" w:eastAsia="SimSun" w:hAnsi="Arial" w:cs="Arial"/>
                <w:sz w:val="16"/>
                <w:szCs w:val="16"/>
                <w:lang w:eastAsia="zh-CN"/>
              </w:rPr>
              <w:br/>
              <w:t>The test results provided must not be more than 2 months old at the time of application.</w:t>
            </w:r>
            <w:r w:rsidRPr="008F022A">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8F022A">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D07D18" w:rsidRPr="003A13C5" w:rsidRDefault="00D07D18"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Compliance with Written Authority Required procedures</w:t>
            </w:r>
          </w:p>
        </w:tc>
      </w:tr>
      <w:tr w:rsidR="005219FF" w:rsidRPr="00E106BD" w:rsidDel="00E97A10" w:rsidTr="008929EB">
        <w:tc>
          <w:tcPr>
            <w:tcW w:w="1729" w:type="dxa"/>
            <w:tcMar>
              <w:top w:w="28" w:type="dxa"/>
              <w:left w:w="28" w:type="dxa"/>
            </w:tcMar>
          </w:tcPr>
          <w:p w:rsidR="005219FF" w:rsidRPr="00E106BD" w:rsidDel="00E97A10" w:rsidRDefault="005219FF" w:rsidP="00881477">
            <w:pPr>
              <w:spacing w:line="240" w:lineRule="auto"/>
              <w:rPr>
                <w:rFonts w:ascii="Arial" w:eastAsia="SimSun" w:hAnsi="Arial" w:cs="Arial"/>
                <w:sz w:val="16"/>
                <w:szCs w:val="16"/>
                <w:lang w:eastAsia="zh-CN"/>
              </w:rPr>
            </w:pPr>
          </w:p>
        </w:tc>
        <w:tc>
          <w:tcPr>
            <w:tcW w:w="709" w:type="dxa"/>
            <w:tcMar>
              <w:top w:w="28" w:type="dxa"/>
              <w:left w:w="28" w:type="dxa"/>
            </w:tcMar>
          </w:tcPr>
          <w:p w:rsidR="005219FF" w:rsidRPr="00D07D18" w:rsidRDefault="005219FF"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C10732</w:t>
            </w:r>
          </w:p>
        </w:tc>
        <w:tc>
          <w:tcPr>
            <w:tcW w:w="709" w:type="dxa"/>
            <w:tcMar>
              <w:top w:w="28" w:type="dxa"/>
              <w:left w:w="28" w:type="dxa"/>
            </w:tcMar>
          </w:tcPr>
          <w:p w:rsidR="005219FF" w:rsidRPr="00E106BD" w:rsidDel="00E97A10" w:rsidRDefault="005219FF" w:rsidP="00881477">
            <w:pPr>
              <w:spacing w:line="240" w:lineRule="auto"/>
              <w:rPr>
                <w:rFonts w:ascii="Arial" w:eastAsia="SimSun" w:hAnsi="Arial" w:cs="Arial"/>
                <w:sz w:val="16"/>
                <w:szCs w:val="16"/>
                <w:lang w:eastAsia="zh-CN"/>
              </w:rPr>
            </w:pPr>
          </w:p>
        </w:tc>
        <w:tc>
          <w:tcPr>
            <w:tcW w:w="7654" w:type="dxa"/>
            <w:tcMar>
              <w:top w:w="28" w:type="dxa"/>
              <w:left w:w="28" w:type="dxa"/>
            </w:tcMar>
          </w:tcPr>
          <w:p w:rsidR="005219FF" w:rsidRPr="00D07D18" w:rsidRDefault="005219FF"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Pulmonary arterial hypertension (PAH)</w:t>
            </w:r>
            <w:r w:rsidRPr="008F022A">
              <w:rPr>
                <w:rFonts w:ascii="Arial" w:eastAsia="SimSun" w:hAnsi="Arial" w:cs="Arial"/>
                <w:sz w:val="16"/>
                <w:szCs w:val="16"/>
                <w:lang w:eastAsia="zh-CN"/>
              </w:rPr>
              <w:br/>
              <w:t>Continuing treatment (dual therapy)</w:t>
            </w:r>
            <w:r w:rsidRPr="008F022A">
              <w:rPr>
                <w:rFonts w:ascii="Arial" w:eastAsia="SimSun" w:hAnsi="Arial" w:cs="Arial"/>
                <w:sz w:val="16"/>
                <w:szCs w:val="16"/>
                <w:lang w:eastAsia="zh-CN"/>
              </w:rPr>
              <w:br/>
              <w:t>Patient must have received their most recent course of PBS-subsidised treatment with this PAH agent and an endothelin receptor antagonist (ERA) for this condition.</w:t>
            </w:r>
            <w:r w:rsidRPr="008F022A">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8F022A">
              <w:rPr>
                <w:rFonts w:ascii="Arial" w:eastAsia="SimSun" w:hAnsi="Arial" w:cs="Arial"/>
                <w:sz w:val="16"/>
                <w:szCs w:val="16"/>
                <w:lang w:eastAsia="zh-CN"/>
              </w:rPr>
              <w:br/>
              <w:t>For the purposes of PBS subsidy, dual therapy refers to combined use of an endothelin receptor antagonist (ERA) and a phosphodiesterase-5 inhibitor (PDE-5i).</w:t>
            </w:r>
            <w:r w:rsidRPr="008F022A">
              <w:rPr>
                <w:rFonts w:ascii="Arial" w:eastAsia="SimSun" w:hAnsi="Arial" w:cs="Arial"/>
                <w:sz w:val="16"/>
                <w:szCs w:val="16"/>
                <w:lang w:eastAsia="zh-CN"/>
              </w:rPr>
              <w:br/>
              <w:t>(i) An ERA includes bosentan monohydrate, or macitentan.</w:t>
            </w:r>
            <w:r w:rsidRPr="008F022A">
              <w:rPr>
                <w:rFonts w:ascii="Arial" w:eastAsia="SimSun" w:hAnsi="Arial" w:cs="Arial"/>
                <w:sz w:val="16"/>
                <w:szCs w:val="16"/>
                <w:lang w:eastAsia="zh-CN"/>
              </w:rPr>
              <w:br/>
              <w:t>(ii) A PDE-5i includes sildenafil citrate, or tadalafil.</w:t>
            </w:r>
            <w:r w:rsidRPr="008F022A">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8F022A">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8F022A">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5219FF" w:rsidRPr="00D07D18" w:rsidRDefault="005219FF"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Compliance with Authority Required procedures</w:t>
            </w:r>
          </w:p>
        </w:tc>
      </w:tr>
      <w:tr w:rsidR="005219FF" w:rsidRPr="00E106BD" w:rsidDel="00E97A10" w:rsidTr="008929EB">
        <w:tc>
          <w:tcPr>
            <w:tcW w:w="1729" w:type="dxa"/>
            <w:tcMar>
              <w:top w:w="28" w:type="dxa"/>
              <w:left w:w="28" w:type="dxa"/>
            </w:tcMar>
          </w:tcPr>
          <w:p w:rsidR="005219FF" w:rsidRPr="00E106BD" w:rsidDel="00E97A10" w:rsidRDefault="005219FF" w:rsidP="00881477">
            <w:pPr>
              <w:spacing w:line="240" w:lineRule="auto"/>
              <w:rPr>
                <w:rFonts w:ascii="Arial" w:eastAsia="SimSun" w:hAnsi="Arial" w:cs="Arial"/>
                <w:sz w:val="16"/>
                <w:szCs w:val="16"/>
                <w:lang w:eastAsia="zh-CN"/>
              </w:rPr>
            </w:pPr>
          </w:p>
        </w:tc>
        <w:tc>
          <w:tcPr>
            <w:tcW w:w="709" w:type="dxa"/>
            <w:tcMar>
              <w:top w:w="28" w:type="dxa"/>
              <w:left w:w="28" w:type="dxa"/>
            </w:tcMar>
          </w:tcPr>
          <w:p w:rsidR="005219FF" w:rsidRPr="00D07D18" w:rsidRDefault="005219FF"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C10797</w:t>
            </w:r>
          </w:p>
        </w:tc>
        <w:tc>
          <w:tcPr>
            <w:tcW w:w="709" w:type="dxa"/>
            <w:tcMar>
              <w:top w:w="28" w:type="dxa"/>
              <w:left w:w="28" w:type="dxa"/>
            </w:tcMar>
          </w:tcPr>
          <w:p w:rsidR="005219FF" w:rsidRPr="00E106BD" w:rsidDel="00E97A10" w:rsidRDefault="005219FF" w:rsidP="00881477">
            <w:pPr>
              <w:spacing w:line="240" w:lineRule="auto"/>
              <w:rPr>
                <w:rFonts w:ascii="Arial" w:eastAsia="SimSun" w:hAnsi="Arial" w:cs="Arial"/>
                <w:sz w:val="16"/>
                <w:szCs w:val="16"/>
                <w:lang w:eastAsia="zh-CN"/>
              </w:rPr>
            </w:pPr>
          </w:p>
        </w:tc>
        <w:tc>
          <w:tcPr>
            <w:tcW w:w="7654" w:type="dxa"/>
            <w:tcMar>
              <w:top w:w="28" w:type="dxa"/>
              <w:left w:w="28" w:type="dxa"/>
            </w:tcMar>
          </w:tcPr>
          <w:p w:rsidR="005219FF" w:rsidRPr="00D07D18" w:rsidRDefault="005219FF"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Pulmonary arterial hypertension (PAH)</w:t>
            </w:r>
            <w:r w:rsidRPr="008F022A">
              <w:rPr>
                <w:rFonts w:ascii="Arial" w:eastAsia="SimSun" w:hAnsi="Arial" w:cs="Arial"/>
                <w:sz w:val="16"/>
                <w:szCs w:val="16"/>
                <w:lang w:eastAsia="zh-CN"/>
              </w:rPr>
              <w:br/>
              <w:t>Grandfathered patients (dual therapy)</w:t>
            </w:r>
            <w:r w:rsidRPr="008F022A">
              <w:rPr>
                <w:rFonts w:ascii="Arial" w:eastAsia="SimSun" w:hAnsi="Arial" w:cs="Arial"/>
                <w:sz w:val="16"/>
                <w:szCs w:val="16"/>
                <w:lang w:eastAsia="zh-CN"/>
              </w:rPr>
              <w:br/>
              <w:t>Patient must be receiving dual therapy with this non PBS-subsidised pulmonary arterial hypertension (PAH) agent and a non PBS-subsidised endothelin receptor antagonist (ERA) for this condition prior to 1 October 2020; AND</w:t>
            </w:r>
            <w:r w:rsidRPr="008F022A">
              <w:rPr>
                <w:rFonts w:ascii="Arial" w:eastAsia="SimSun" w:hAnsi="Arial" w:cs="Arial"/>
                <w:sz w:val="16"/>
                <w:szCs w:val="16"/>
                <w:lang w:eastAsia="zh-CN"/>
              </w:rPr>
              <w:br/>
              <w:t>Patient must have been assessed by a physician with expertise in the management of PAH; AND</w:t>
            </w:r>
            <w:r w:rsidRPr="008F022A">
              <w:rPr>
                <w:rFonts w:ascii="Arial" w:eastAsia="SimSun" w:hAnsi="Arial" w:cs="Arial"/>
                <w:sz w:val="16"/>
                <w:szCs w:val="16"/>
                <w:lang w:eastAsia="zh-CN"/>
              </w:rPr>
              <w:br/>
              <w:t>Patient must have documented WHO Functional Class III PAH or WHO Functional Class IV PAH.</w:t>
            </w:r>
            <w:r w:rsidRPr="008F022A">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8F022A">
              <w:rPr>
                <w:rFonts w:ascii="Arial" w:eastAsia="SimSun" w:hAnsi="Arial" w:cs="Arial"/>
                <w:sz w:val="16"/>
                <w:szCs w:val="16"/>
                <w:lang w:eastAsia="zh-CN"/>
              </w:rPr>
              <w:br/>
              <w:t>For the purposes of PBS subsidy, dual therapy refers to combined use of an endothelin receptor antagonist (ERA) and a phosphodiesterase-5 inhibitor (PDE-5i).</w:t>
            </w:r>
            <w:r w:rsidRPr="008F022A">
              <w:rPr>
                <w:rFonts w:ascii="Arial" w:eastAsia="SimSun" w:hAnsi="Arial" w:cs="Arial"/>
                <w:sz w:val="16"/>
                <w:szCs w:val="16"/>
                <w:lang w:eastAsia="zh-CN"/>
              </w:rPr>
              <w:br/>
              <w:t>(i) An ERA includes bosentan monohydrate, or macitentan.</w:t>
            </w:r>
            <w:r w:rsidRPr="008F022A">
              <w:rPr>
                <w:rFonts w:ascii="Arial" w:eastAsia="SimSun" w:hAnsi="Arial" w:cs="Arial"/>
                <w:sz w:val="16"/>
                <w:szCs w:val="16"/>
                <w:lang w:eastAsia="zh-CN"/>
              </w:rPr>
              <w:br/>
              <w:t>(ii) A PDE-5i includes sildenafil citrate, or tadalafil.</w:t>
            </w:r>
            <w:r w:rsidRPr="008F022A">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8F022A">
              <w:rPr>
                <w:rFonts w:ascii="Arial" w:eastAsia="SimSun" w:hAnsi="Arial" w:cs="Arial"/>
                <w:sz w:val="16"/>
                <w:szCs w:val="16"/>
                <w:lang w:eastAsia="zh-CN"/>
              </w:rPr>
              <w:br/>
              <w:t>PAH (WHO Group 1 pulmonary hypertension) is defined as follows:</w:t>
            </w:r>
            <w:r w:rsidRPr="008F022A">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8F022A">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8F022A">
              <w:rPr>
                <w:rFonts w:ascii="Arial" w:eastAsia="SimSun" w:hAnsi="Arial" w:cs="Arial"/>
                <w:sz w:val="16"/>
                <w:szCs w:val="16"/>
                <w:lang w:eastAsia="zh-CN"/>
              </w:rPr>
              <w:br/>
              <w:t>Applications for authorisation must be in writing and must include:</w:t>
            </w:r>
            <w:r w:rsidRPr="008F022A">
              <w:rPr>
                <w:rFonts w:ascii="Arial" w:eastAsia="SimSun" w:hAnsi="Arial" w:cs="Arial"/>
                <w:sz w:val="16"/>
                <w:szCs w:val="16"/>
                <w:lang w:eastAsia="zh-CN"/>
              </w:rPr>
              <w:br/>
              <w:t>(1) a completed authority prescription form; and</w:t>
            </w:r>
            <w:r w:rsidRPr="008F022A">
              <w:rPr>
                <w:rFonts w:ascii="Arial" w:eastAsia="SimSun" w:hAnsi="Arial" w:cs="Arial"/>
                <w:sz w:val="16"/>
                <w:szCs w:val="16"/>
                <w:lang w:eastAsia="zh-CN"/>
              </w:rPr>
              <w:br/>
              <w:t>(2) a completed Pulmonary Arterial Hypertension PBS Authority Application - Supporting Information form which includes results from the three tests below, where available:</w:t>
            </w:r>
            <w:r w:rsidRPr="008F022A">
              <w:rPr>
                <w:rFonts w:ascii="Arial" w:eastAsia="SimSun" w:hAnsi="Arial" w:cs="Arial"/>
                <w:sz w:val="16"/>
                <w:szCs w:val="16"/>
                <w:lang w:eastAsia="zh-CN"/>
              </w:rPr>
              <w:br/>
              <w:t>(i) RHC composite assessment; and</w:t>
            </w:r>
            <w:r w:rsidRPr="008F022A">
              <w:rPr>
                <w:rFonts w:ascii="Arial" w:eastAsia="SimSun" w:hAnsi="Arial" w:cs="Arial"/>
                <w:sz w:val="16"/>
                <w:szCs w:val="16"/>
                <w:lang w:eastAsia="zh-CN"/>
              </w:rPr>
              <w:br/>
              <w:t>(ii) ECHO composite assessment; and</w:t>
            </w:r>
            <w:r w:rsidRPr="008F022A">
              <w:rPr>
                <w:rFonts w:ascii="Arial" w:eastAsia="SimSun" w:hAnsi="Arial" w:cs="Arial"/>
                <w:sz w:val="16"/>
                <w:szCs w:val="16"/>
                <w:lang w:eastAsia="zh-CN"/>
              </w:rPr>
              <w:br/>
              <w:t>(iii) 6 Minute Walk Test (6MWT).</w:t>
            </w:r>
            <w:r w:rsidRPr="008F022A">
              <w:rPr>
                <w:rFonts w:ascii="Arial" w:eastAsia="SimSun" w:hAnsi="Arial" w:cs="Arial"/>
                <w:sz w:val="16"/>
                <w:szCs w:val="16"/>
                <w:lang w:eastAsia="zh-CN"/>
              </w:rPr>
              <w:br/>
              <w:t>Where it was not possible to perform all 3 tests on clinical grounds, the following list outlines the preferred test combination, in descending order, for the purposes of initiation of PBS-subsidised treatment:</w:t>
            </w:r>
            <w:r w:rsidRPr="008F022A">
              <w:rPr>
                <w:rFonts w:ascii="Arial" w:eastAsia="SimSun" w:hAnsi="Arial" w:cs="Arial"/>
                <w:sz w:val="16"/>
                <w:szCs w:val="16"/>
                <w:lang w:eastAsia="zh-CN"/>
              </w:rPr>
              <w:br/>
              <w:t>(1) RHC plus ECHO composite assessments;</w:t>
            </w:r>
            <w:r w:rsidRPr="008F022A">
              <w:rPr>
                <w:rFonts w:ascii="Arial" w:eastAsia="SimSun" w:hAnsi="Arial" w:cs="Arial"/>
                <w:sz w:val="16"/>
                <w:szCs w:val="16"/>
                <w:lang w:eastAsia="zh-CN"/>
              </w:rPr>
              <w:br/>
              <w:t>(2) RHC composite assessment plus 6MWT;</w:t>
            </w:r>
            <w:r w:rsidRPr="008F022A">
              <w:rPr>
                <w:rFonts w:ascii="Arial" w:eastAsia="SimSun" w:hAnsi="Arial" w:cs="Arial"/>
                <w:sz w:val="16"/>
                <w:szCs w:val="16"/>
                <w:lang w:eastAsia="zh-CN"/>
              </w:rPr>
              <w:br/>
              <w:t>(3) RHC composite assessment only.</w:t>
            </w:r>
            <w:r w:rsidRPr="008F022A">
              <w:rPr>
                <w:rFonts w:ascii="Arial" w:eastAsia="SimSun" w:hAnsi="Arial" w:cs="Arial"/>
                <w:sz w:val="16"/>
                <w:szCs w:val="16"/>
                <w:lang w:eastAsia="zh-CN"/>
              </w:rPr>
              <w:br/>
              <w:t>In circumstances where a RHC could not be performed on clinical grounds, applications may be submitted for consideration based on the results of the following test combinations, which are listed in descending order of preference:</w:t>
            </w:r>
            <w:r w:rsidRPr="008F022A">
              <w:rPr>
                <w:rFonts w:ascii="Arial" w:eastAsia="SimSun" w:hAnsi="Arial" w:cs="Arial"/>
                <w:sz w:val="16"/>
                <w:szCs w:val="16"/>
                <w:lang w:eastAsia="zh-CN"/>
              </w:rPr>
              <w:br/>
              <w:t>(1) ECHO composite assessment plus 6MWT;</w:t>
            </w:r>
            <w:r w:rsidRPr="008F022A">
              <w:rPr>
                <w:rFonts w:ascii="Arial" w:eastAsia="SimSun" w:hAnsi="Arial" w:cs="Arial"/>
                <w:sz w:val="16"/>
                <w:szCs w:val="16"/>
                <w:lang w:eastAsia="zh-CN"/>
              </w:rPr>
              <w:br/>
              <w:t>(2) ECHO composite assessment only.</w:t>
            </w:r>
            <w:r w:rsidRPr="008F022A">
              <w:rPr>
                <w:rFonts w:ascii="Arial" w:eastAsia="SimSun" w:hAnsi="Arial" w:cs="Arial"/>
                <w:sz w:val="16"/>
                <w:szCs w:val="16"/>
                <w:lang w:eastAsia="zh-CN"/>
              </w:rPr>
              <w:br/>
              <w:t>Where fewer than 3 tests were able to be performed on clinical grounds, a patient specific reason outlining why the particular test(s) could not be conducted must be provided with the authority application.</w:t>
            </w:r>
            <w:r w:rsidRPr="008F022A">
              <w:rPr>
                <w:rFonts w:ascii="Arial" w:eastAsia="SimSun" w:hAnsi="Arial" w:cs="Arial"/>
                <w:sz w:val="16"/>
                <w:szCs w:val="16"/>
                <w:lang w:eastAsia="zh-CN"/>
              </w:rPr>
              <w:br/>
              <w:t>Where a RHC could not be performed on clinical grounds, confirmation of the reason(s) must be provided with the authority application by a second PAH physician or cardiologist with expertise in the management of PAH.</w:t>
            </w:r>
            <w:r w:rsidRPr="008F022A">
              <w:rPr>
                <w:rFonts w:ascii="Arial" w:eastAsia="SimSun" w:hAnsi="Arial" w:cs="Arial"/>
                <w:sz w:val="16"/>
                <w:szCs w:val="16"/>
                <w:lang w:eastAsia="zh-CN"/>
              </w:rPr>
              <w:br/>
              <w:t>A patient may qualify for PBS-subsidised treatment under this restriction once only. For continuing PBS-subsidised treatment, a Grandfathered patient must qualify under the Continuing treatment criteria for dual therapy for this condition.</w:t>
            </w:r>
            <w:r w:rsidRPr="008F022A">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8F022A">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5219FF" w:rsidRPr="00D07D18" w:rsidRDefault="005219FF"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Compliance with Written Authority Required procedures</w:t>
            </w:r>
          </w:p>
        </w:tc>
      </w:tr>
      <w:tr w:rsidR="003B08A9" w:rsidRPr="00E106BD" w:rsidDel="00E97A10" w:rsidTr="008929EB">
        <w:tc>
          <w:tcPr>
            <w:tcW w:w="1729" w:type="dxa"/>
            <w:tcMar>
              <w:top w:w="28" w:type="dxa"/>
              <w:left w:w="28" w:type="dxa"/>
            </w:tcMar>
          </w:tcPr>
          <w:p w:rsidR="003B08A9" w:rsidRPr="00E106BD" w:rsidDel="00E97A10" w:rsidRDefault="003B08A9" w:rsidP="00881477">
            <w:pPr>
              <w:spacing w:line="240" w:lineRule="auto"/>
              <w:rPr>
                <w:rFonts w:ascii="Arial" w:eastAsia="SimSun" w:hAnsi="Arial" w:cs="Arial"/>
                <w:sz w:val="16"/>
                <w:szCs w:val="16"/>
                <w:lang w:eastAsia="zh-CN"/>
              </w:rPr>
            </w:pPr>
          </w:p>
        </w:tc>
        <w:tc>
          <w:tcPr>
            <w:tcW w:w="709" w:type="dxa"/>
            <w:tcMar>
              <w:top w:w="28" w:type="dxa"/>
              <w:left w:w="28" w:type="dxa"/>
            </w:tcMar>
          </w:tcPr>
          <w:p w:rsidR="003B08A9" w:rsidRPr="00D07D18" w:rsidRDefault="003B08A9"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C10848</w:t>
            </w:r>
          </w:p>
        </w:tc>
        <w:tc>
          <w:tcPr>
            <w:tcW w:w="709" w:type="dxa"/>
            <w:tcMar>
              <w:top w:w="28" w:type="dxa"/>
              <w:left w:w="28" w:type="dxa"/>
            </w:tcMar>
          </w:tcPr>
          <w:p w:rsidR="003B08A9" w:rsidRPr="00E106BD" w:rsidDel="00E97A10" w:rsidRDefault="003B08A9" w:rsidP="00881477">
            <w:pPr>
              <w:spacing w:line="240" w:lineRule="auto"/>
              <w:rPr>
                <w:rFonts w:ascii="Arial" w:eastAsia="SimSun" w:hAnsi="Arial" w:cs="Arial"/>
                <w:sz w:val="16"/>
                <w:szCs w:val="16"/>
                <w:lang w:eastAsia="zh-CN"/>
              </w:rPr>
            </w:pPr>
          </w:p>
        </w:tc>
        <w:tc>
          <w:tcPr>
            <w:tcW w:w="7654" w:type="dxa"/>
            <w:tcMar>
              <w:top w:w="28" w:type="dxa"/>
              <w:left w:w="28" w:type="dxa"/>
            </w:tcMar>
          </w:tcPr>
          <w:p w:rsidR="003B08A9" w:rsidRPr="00D07D18" w:rsidRDefault="003B08A9"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Pulmonary arterial hypertension (PAH)</w:t>
            </w:r>
            <w:r w:rsidRPr="008F022A">
              <w:rPr>
                <w:rFonts w:ascii="Arial" w:eastAsia="SimSun" w:hAnsi="Arial" w:cs="Arial"/>
                <w:sz w:val="16"/>
                <w:szCs w:val="16"/>
                <w:lang w:eastAsia="zh-CN"/>
              </w:rPr>
              <w:br/>
              <w:t>Initial 3 (dual therapy - change)</w:t>
            </w:r>
            <w:r w:rsidRPr="008F022A">
              <w:rPr>
                <w:rFonts w:ascii="Arial" w:eastAsia="SimSun" w:hAnsi="Arial" w:cs="Arial"/>
                <w:sz w:val="16"/>
                <w:szCs w:val="16"/>
                <w:lang w:eastAsia="zh-CN"/>
              </w:rPr>
              <w:br/>
              <w:t>Patient must have had their most recent course of PBS-subsidised dual therapy with an endothelin receptor antagonist (ERA) and a phosphodiesterase-5 inhibitor (PDE-5i) other than this agent for this condition.</w:t>
            </w:r>
            <w:r w:rsidRPr="008F022A">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8F022A">
              <w:rPr>
                <w:rFonts w:ascii="Arial" w:eastAsia="SimSun" w:hAnsi="Arial" w:cs="Arial"/>
                <w:sz w:val="16"/>
                <w:szCs w:val="16"/>
                <w:lang w:eastAsia="zh-CN"/>
              </w:rPr>
              <w:br/>
              <w:t>For the purposes of PBS subsidy, dual therapy refers to combined use of an endothelin receptor antagonist (ERA) and a phosphodiesterase-5 inhibitor (PDE-5i).</w:t>
            </w:r>
            <w:r w:rsidRPr="008F022A">
              <w:rPr>
                <w:rFonts w:ascii="Arial" w:eastAsia="SimSun" w:hAnsi="Arial" w:cs="Arial"/>
                <w:sz w:val="16"/>
                <w:szCs w:val="16"/>
                <w:lang w:eastAsia="zh-CN"/>
              </w:rPr>
              <w:br/>
              <w:t>(i) An ERA includes bosentan monohydrate, or macitentan.</w:t>
            </w:r>
            <w:r w:rsidRPr="008F022A">
              <w:rPr>
                <w:rFonts w:ascii="Arial" w:eastAsia="SimSun" w:hAnsi="Arial" w:cs="Arial"/>
                <w:sz w:val="16"/>
                <w:szCs w:val="16"/>
                <w:lang w:eastAsia="zh-CN"/>
              </w:rPr>
              <w:br/>
              <w:t>(ii) A PDE-5i includes sildenafil citrate, or tadalafil.</w:t>
            </w:r>
            <w:r w:rsidRPr="008F022A">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8F022A">
              <w:rPr>
                <w:rFonts w:ascii="Arial" w:eastAsia="SimSun" w:hAnsi="Arial" w:cs="Arial"/>
                <w:sz w:val="16"/>
                <w:szCs w:val="16"/>
                <w:lang w:eastAsia="zh-CN"/>
              </w:rPr>
              <w:br/>
              <w:t>Swapping between PAH agents: Patients can access PAH agents through the PBS according to the relevant restrictions.</w:t>
            </w:r>
            <w:r w:rsidRPr="008F022A">
              <w:rPr>
                <w:rFonts w:ascii="Arial" w:eastAsia="SimSun" w:hAnsi="Arial" w:cs="Arial"/>
                <w:sz w:val="16"/>
                <w:szCs w:val="16"/>
                <w:lang w:eastAsia="zh-CN"/>
              </w:rPr>
              <w:br/>
              <w:t>Once patients are approved dual therapy with a PAH agent from the PDE-5i class; or a PAH agent from the ERA class, they may swap between PAH agents within the same class. This means that patients may commence treatment with another PAH agent in the same class, subject to that agent's restriction, irrespective of the severity of their disease at the time the application to swap therapy is submitted.</w:t>
            </w:r>
            <w:r w:rsidRPr="008F022A">
              <w:rPr>
                <w:rFonts w:ascii="Arial" w:eastAsia="SimSun" w:hAnsi="Arial" w:cs="Arial"/>
                <w:sz w:val="16"/>
                <w:szCs w:val="16"/>
                <w:lang w:eastAsia="zh-CN"/>
              </w:rPr>
              <w:br/>
              <w:t>Applications to swap within a PAH agent class must be made under the relevant initial treatment restriction.</w:t>
            </w:r>
            <w:r w:rsidRPr="008F022A">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8F022A">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3B08A9" w:rsidRPr="00D07D18" w:rsidRDefault="003B08A9"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Compliance with Authority Required procedures</w:t>
            </w:r>
          </w:p>
        </w:tc>
      </w:tr>
      <w:tr w:rsidR="00F66941" w:rsidRPr="00E106BD" w:rsidDel="00E97A10" w:rsidTr="008929EB">
        <w:tc>
          <w:tcPr>
            <w:tcW w:w="1729" w:type="dxa"/>
            <w:tcMar>
              <w:top w:w="28" w:type="dxa"/>
              <w:left w:w="28" w:type="dxa"/>
            </w:tcMar>
          </w:tcPr>
          <w:p w:rsidR="00F66941" w:rsidRPr="00E106BD" w:rsidDel="00E97A10" w:rsidRDefault="00F66941" w:rsidP="00881477">
            <w:pPr>
              <w:spacing w:line="240" w:lineRule="auto"/>
              <w:rPr>
                <w:rFonts w:ascii="Arial" w:eastAsia="SimSun" w:hAnsi="Arial" w:cs="Arial"/>
                <w:sz w:val="16"/>
                <w:szCs w:val="16"/>
                <w:lang w:eastAsia="zh-CN"/>
              </w:rPr>
            </w:pPr>
          </w:p>
        </w:tc>
        <w:tc>
          <w:tcPr>
            <w:tcW w:w="709" w:type="dxa"/>
            <w:tcMar>
              <w:top w:w="28" w:type="dxa"/>
              <w:left w:w="28" w:type="dxa"/>
            </w:tcMar>
          </w:tcPr>
          <w:p w:rsidR="00F66941" w:rsidRPr="003B08A9" w:rsidRDefault="00F66941"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C10868</w:t>
            </w:r>
          </w:p>
        </w:tc>
        <w:tc>
          <w:tcPr>
            <w:tcW w:w="709" w:type="dxa"/>
            <w:tcMar>
              <w:top w:w="28" w:type="dxa"/>
              <w:left w:w="28" w:type="dxa"/>
            </w:tcMar>
          </w:tcPr>
          <w:p w:rsidR="00F66941" w:rsidRPr="00E106BD" w:rsidDel="00E97A10" w:rsidRDefault="00F66941" w:rsidP="00881477">
            <w:pPr>
              <w:spacing w:line="240" w:lineRule="auto"/>
              <w:rPr>
                <w:rFonts w:ascii="Arial" w:eastAsia="SimSun" w:hAnsi="Arial" w:cs="Arial"/>
                <w:sz w:val="16"/>
                <w:szCs w:val="16"/>
                <w:lang w:eastAsia="zh-CN"/>
              </w:rPr>
            </w:pPr>
          </w:p>
        </w:tc>
        <w:tc>
          <w:tcPr>
            <w:tcW w:w="7654" w:type="dxa"/>
            <w:tcMar>
              <w:top w:w="28" w:type="dxa"/>
              <w:left w:w="28" w:type="dxa"/>
            </w:tcMar>
          </w:tcPr>
          <w:p w:rsidR="00F66941" w:rsidRPr="003B08A9" w:rsidRDefault="00F66941"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Pulmonary arterial hypertension (PAH)</w:t>
            </w:r>
            <w:r w:rsidRPr="008F022A">
              <w:rPr>
                <w:rFonts w:ascii="Arial" w:eastAsia="SimSun" w:hAnsi="Arial" w:cs="Arial"/>
                <w:sz w:val="16"/>
                <w:szCs w:val="16"/>
                <w:lang w:eastAsia="zh-CN"/>
              </w:rPr>
              <w:br/>
              <w:t>Initial 2 (dual therapy - previously treated patients)</w:t>
            </w:r>
            <w:r w:rsidRPr="008F022A">
              <w:rPr>
                <w:rFonts w:ascii="Arial" w:eastAsia="SimSun" w:hAnsi="Arial" w:cs="Arial"/>
                <w:sz w:val="16"/>
                <w:szCs w:val="16"/>
                <w:lang w:eastAsia="zh-CN"/>
              </w:rPr>
              <w:br/>
              <w:t>Patient must have documented WHO Functional Class III PAH or WHO Functional Class IV PAH; AND</w:t>
            </w:r>
            <w:r w:rsidRPr="008F022A">
              <w:rPr>
                <w:rFonts w:ascii="Arial" w:eastAsia="SimSun" w:hAnsi="Arial" w:cs="Arial"/>
                <w:sz w:val="16"/>
                <w:szCs w:val="16"/>
                <w:lang w:eastAsia="zh-CN"/>
              </w:rPr>
              <w:br/>
              <w:t>Patient must have documented a failure to achieve or maintain WHO Functional Class II status with prior PBS-subsidised monotherapy treatment with an endothelin receptor antagonist (ERA) for this condition; AND</w:t>
            </w:r>
            <w:r w:rsidRPr="008F022A">
              <w:rPr>
                <w:rFonts w:ascii="Arial" w:eastAsia="SimSun" w:hAnsi="Arial" w:cs="Arial"/>
                <w:sz w:val="16"/>
                <w:szCs w:val="16"/>
                <w:lang w:eastAsia="zh-CN"/>
              </w:rPr>
              <w:br/>
              <w:t>The treatment must be in combination with a PBS-subsidised endothelin receptor antagonist (ERA) for this condition.</w:t>
            </w:r>
            <w:r w:rsidRPr="008F022A">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8F022A">
              <w:rPr>
                <w:rFonts w:ascii="Arial" w:eastAsia="SimSun" w:hAnsi="Arial" w:cs="Arial"/>
                <w:sz w:val="16"/>
                <w:szCs w:val="16"/>
                <w:lang w:eastAsia="zh-CN"/>
              </w:rPr>
              <w:br/>
              <w:t>For the purposes of PBS subsidy, dual therapy refers to combined use of an endothelin receptor antagonist (ERA) and a phosphodiesterase-5 inhibitor (PDE-5i).</w:t>
            </w:r>
            <w:r w:rsidRPr="008F022A">
              <w:rPr>
                <w:rFonts w:ascii="Arial" w:eastAsia="SimSun" w:hAnsi="Arial" w:cs="Arial"/>
                <w:sz w:val="16"/>
                <w:szCs w:val="16"/>
                <w:lang w:eastAsia="zh-CN"/>
              </w:rPr>
              <w:br/>
              <w:t>(i) An ERA includes bosentan monohydrate, or macitentan.</w:t>
            </w:r>
            <w:r w:rsidRPr="008F022A">
              <w:rPr>
                <w:rFonts w:ascii="Arial" w:eastAsia="SimSun" w:hAnsi="Arial" w:cs="Arial"/>
                <w:sz w:val="16"/>
                <w:szCs w:val="16"/>
                <w:lang w:eastAsia="zh-CN"/>
              </w:rPr>
              <w:br/>
              <w:t>(ii) A PDE-5i includes sildenafil citrate, or tadalafil.</w:t>
            </w:r>
            <w:r w:rsidRPr="008F022A">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8F022A">
              <w:rPr>
                <w:rFonts w:ascii="Arial" w:eastAsia="SimSun" w:hAnsi="Arial" w:cs="Arial"/>
                <w:sz w:val="16"/>
                <w:szCs w:val="16"/>
                <w:lang w:eastAsia="zh-CN"/>
              </w:rPr>
              <w:br/>
              <w:t>PAH (WHO Group 1 pulmonary hypertension) is defined as follows:</w:t>
            </w:r>
            <w:r w:rsidRPr="008F022A">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8F022A">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8F022A">
              <w:rPr>
                <w:rFonts w:ascii="Arial" w:eastAsia="SimSun" w:hAnsi="Arial" w:cs="Arial"/>
                <w:sz w:val="16"/>
                <w:szCs w:val="16"/>
                <w:lang w:eastAsia="zh-CN"/>
              </w:rPr>
              <w:br/>
              <w:t>The results and date of the RHC, ECHO and 6 MWT as applicable must be included in the patient's medical record. Where a RHC cannot be performed on clinical grounds, the written confirmation of the reasons why must also be included in the patient's medical record.</w:t>
            </w:r>
            <w:r w:rsidRPr="008F022A">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8F022A">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66941" w:rsidRPr="003B08A9" w:rsidRDefault="00F66941"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Compliance with Authority Required procedures</w:t>
            </w:r>
          </w:p>
        </w:tc>
      </w:tr>
      <w:tr w:rsidR="00104560" w:rsidRPr="00E106BD" w:rsidDel="00E7459D" w:rsidTr="008929EB">
        <w:tc>
          <w:tcPr>
            <w:tcW w:w="1729" w:type="dxa"/>
            <w:tcMar>
              <w:top w:w="28" w:type="dxa"/>
              <w:left w:w="28" w:type="dxa"/>
            </w:tcMar>
          </w:tcPr>
          <w:p w:rsidR="00104560" w:rsidRPr="00E106BD" w:rsidDel="00E7459D" w:rsidRDefault="00104560" w:rsidP="00881477">
            <w:pPr>
              <w:spacing w:line="240" w:lineRule="auto"/>
              <w:rPr>
                <w:rFonts w:ascii="Arial" w:eastAsia="SimSun" w:hAnsi="Arial" w:cs="Arial"/>
                <w:sz w:val="16"/>
                <w:szCs w:val="16"/>
                <w:lang w:eastAsia="zh-CN"/>
              </w:rPr>
            </w:pPr>
            <w:bookmarkStart w:id="245" w:name="CU_515807894"/>
            <w:bookmarkStart w:id="246" w:name="CU_518809328"/>
            <w:bookmarkStart w:id="247" w:name="CU_519810645"/>
            <w:bookmarkStart w:id="248" w:name="CU_520815011"/>
            <w:bookmarkStart w:id="249" w:name="CU_521820887"/>
            <w:bookmarkStart w:id="250" w:name="CU_522825560"/>
            <w:bookmarkStart w:id="251" w:name="CU_523830365"/>
            <w:bookmarkStart w:id="252" w:name="CU_525833265"/>
            <w:bookmarkEnd w:id="245"/>
            <w:bookmarkEnd w:id="246"/>
            <w:bookmarkEnd w:id="247"/>
            <w:bookmarkEnd w:id="248"/>
            <w:bookmarkEnd w:id="249"/>
            <w:bookmarkEnd w:id="250"/>
            <w:bookmarkEnd w:id="251"/>
            <w:bookmarkEnd w:id="252"/>
            <w:r w:rsidRPr="00E106BD">
              <w:rPr>
                <w:rFonts w:ascii="Arial" w:eastAsia="SimSun" w:hAnsi="Arial" w:cs="Arial"/>
                <w:sz w:val="16"/>
                <w:szCs w:val="16"/>
                <w:lang w:eastAsia="zh-CN"/>
              </w:rPr>
              <w:t>Sirolimus</w:t>
            </w:r>
          </w:p>
        </w:tc>
        <w:tc>
          <w:tcPr>
            <w:tcW w:w="709" w:type="dxa"/>
            <w:tcMar>
              <w:top w:w="28" w:type="dxa"/>
              <w:left w:w="28" w:type="dxa"/>
            </w:tcMar>
          </w:tcPr>
          <w:p w:rsidR="00104560" w:rsidRPr="00E106BD" w:rsidDel="00E7459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C5795</w:t>
            </w:r>
          </w:p>
        </w:tc>
        <w:tc>
          <w:tcPr>
            <w:tcW w:w="709" w:type="dxa"/>
            <w:tcMar>
              <w:top w:w="28" w:type="dxa"/>
              <w:left w:w="28" w:type="dxa"/>
            </w:tcMar>
          </w:tcPr>
          <w:p w:rsidR="00104560" w:rsidRPr="00E106BD" w:rsidDel="00E7459D"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Del="00E7459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renal allograft rejection</w:t>
            </w:r>
            <w:r w:rsidRPr="00E106BD">
              <w:rPr>
                <w:rFonts w:ascii="Arial" w:eastAsia="SimSun" w:hAnsi="Arial" w:cs="Arial"/>
                <w:sz w:val="16"/>
                <w:szCs w:val="16"/>
                <w:lang w:eastAsia="zh-CN"/>
              </w:rPr>
              <w:br/>
              <w:t>Management (initiation, stabilisation and review of therapy)</w:t>
            </w:r>
            <w:r w:rsidRPr="00E106BD">
              <w:rPr>
                <w:rFonts w:ascii="Arial" w:eastAsia="SimSun" w:hAnsi="Arial" w:cs="Arial"/>
                <w:sz w:val="16"/>
                <w:szCs w:val="16"/>
                <w:lang w:eastAsia="zh-CN"/>
              </w:rPr>
              <w:br/>
              <w:t>Patient must be receiving this drug for prophylaxis of renal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tcMar>
              <w:top w:w="28" w:type="dxa"/>
              <w:left w:w="28" w:type="dxa"/>
              <w:right w:w="57" w:type="dxa"/>
            </w:tcMar>
          </w:tcPr>
          <w:p w:rsidR="00104560" w:rsidRPr="00E106BD" w:rsidDel="00E7459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5795</w:t>
            </w:r>
          </w:p>
        </w:tc>
      </w:tr>
      <w:tr w:rsidR="00104560" w:rsidRPr="00E106BD" w:rsidDel="00ED1AE1" w:rsidTr="008929EB">
        <w:tc>
          <w:tcPr>
            <w:tcW w:w="1729" w:type="dxa"/>
            <w:tcMar>
              <w:top w:w="28" w:type="dxa"/>
              <w:left w:w="28" w:type="dxa"/>
            </w:tcMar>
          </w:tcPr>
          <w:p w:rsidR="00104560" w:rsidRPr="00E106BD" w:rsidDel="00ED1AE1"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Del="00ED1AE1"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C9914</w:t>
            </w:r>
          </w:p>
        </w:tc>
        <w:tc>
          <w:tcPr>
            <w:tcW w:w="709" w:type="dxa"/>
            <w:tcMar>
              <w:top w:w="28" w:type="dxa"/>
              <w:left w:w="28" w:type="dxa"/>
            </w:tcMar>
          </w:tcPr>
          <w:p w:rsidR="00104560" w:rsidRPr="00E106BD" w:rsidDel="00ED1AE1"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Del="00ED1AE1"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renal allograft rejection</w:t>
            </w:r>
            <w:r w:rsidRPr="00E106BD">
              <w:rPr>
                <w:rFonts w:ascii="Arial" w:eastAsia="SimSun" w:hAnsi="Arial" w:cs="Arial"/>
                <w:sz w:val="16"/>
                <w:szCs w:val="16"/>
                <w:lang w:eastAsia="zh-CN"/>
              </w:rPr>
              <w:br/>
              <w:t>Management (initiation, stabilisation and review of therapy)</w:t>
            </w:r>
            <w:r w:rsidRPr="00E106BD">
              <w:rPr>
                <w:rFonts w:ascii="Arial" w:eastAsia="SimSun" w:hAnsi="Arial" w:cs="Arial"/>
                <w:sz w:val="16"/>
                <w:szCs w:val="16"/>
                <w:lang w:eastAsia="zh-CN"/>
              </w:rPr>
              <w:br/>
              <w:t>Patient must be receiving this drug for prophylaxis of renal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tcMar>
              <w:top w:w="28" w:type="dxa"/>
              <w:left w:w="28" w:type="dxa"/>
              <w:right w:w="57" w:type="dxa"/>
            </w:tcMar>
          </w:tcPr>
          <w:p w:rsidR="00104560" w:rsidRPr="00E106BD" w:rsidDel="00ED1AE1"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9914</w:t>
            </w:r>
          </w:p>
        </w:tc>
      </w:tr>
      <w:tr w:rsidR="00104560" w:rsidRPr="00E106BD" w:rsidDel="00E7459D" w:rsidTr="008929EB">
        <w:tc>
          <w:tcPr>
            <w:tcW w:w="1729" w:type="dxa"/>
            <w:tcMar>
              <w:top w:w="28" w:type="dxa"/>
              <w:left w:w="28" w:type="dxa"/>
            </w:tcMar>
          </w:tcPr>
          <w:p w:rsidR="00104560" w:rsidRPr="00E106BD" w:rsidDel="00E7459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Sofosbuvir</w:t>
            </w: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C5969</w:t>
            </w: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P5969</w:t>
            </w: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12 weeks.</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104560" w:rsidRPr="00E106BD" w:rsidDel="00E7459D" w:rsidTr="008929EB">
        <w:tc>
          <w:tcPr>
            <w:tcW w:w="1729" w:type="dxa"/>
            <w:tcMar>
              <w:top w:w="28" w:type="dxa"/>
              <w:left w:w="28" w:type="dxa"/>
            </w:tcMar>
          </w:tcPr>
          <w:p w:rsidR="00104560" w:rsidRPr="00E106BD" w:rsidDel="00E7459D" w:rsidRDefault="00104560" w:rsidP="00881477">
            <w:pPr>
              <w:spacing w:line="240" w:lineRule="auto"/>
              <w:rPr>
                <w:rFonts w:ascii="Arial" w:eastAsia="SimSun" w:hAnsi="Arial" w:cs="Arial"/>
                <w:sz w:val="16"/>
                <w:szCs w:val="16"/>
                <w:lang w:eastAsia="zh-CN"/>
              </w:rPr>
            </w:pP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C5972</w:t>
            </w: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P5972</w:t>
            </w:r>
          </w:p>
        </w:tc>
        <w:tc>
          <w:tcPr>
            <w:tcW w:w="7654"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24 weeks.</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104560" w:rsidRPr="00E106BD" w:rsidDel="00E7459D" w:rsidTr="008929EB">
        <w:tc>
          <w:tcPr>
            <w:tcW w:w="1729" w:type="dxa"/>
            <w:tcMar>
              <w:top w:w="28" w:type="dxa"/>
              <w:left w:w="28" w:type="dxa"/>
            </w:tcMar>
          </w:tcPr>
          <w:p w:rsidR="00104560" w:rsidRPr="00E106BD" w:rsidDel="00E7459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Sofosbuvir with velpatasvir</w:t>
            </w: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C5969</w:t>
            </w: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eastAsia="SimSun"/>
                <w:szCs w:val="16"/>
              </w:rPr>
            </w:pPr>
            <w:r w:rsidRPr="00E106BD">
              <w:rPr>
                <w:rFonts w:ascii="Arial" w:eastAsia="SimSun" w:hAnsi="Arial" w:cs="Arial"/>
                <w:sz w:val="16"/>
                <w:szCs w:val="16"/>
                <w:lang w:eastAsia="zh-CN"/>
              </w:rPr>
              <w:t>Chronic hepatitis C infection</w:t>
            </w:r>
          </w:p>
          <w:p w:rsidR="00104560" w:rsidRPr="00E106BD" w:rsidRDefault="00104560" w:rsidP="00881477">
            <w:pPr>
              <w:spacing w:line="240" w:lineRule="auto"/>
              <w:rPr>
                <w:rFonts w:eastAsia="SimSun"/>
                <w:szCs w:val="16"/>
              </w:rPr>
            </w:pPr>
            <w:r w:rsidRPr="00E106BD">
              <w:rPr>
                <w:rFonts w:ascii="Arial" w:eastAsia="SimSun" w:hAnsi="Arial" w:cs="Arial"/>
                <w:sz w:val="16"/>
                <w:szCs w:val="16"/>
                <w:lang w:eastAsia="zh-CN"/>
              </w:rPr>
              <w:t>Patient must meet the criteria set out in the General Statement for Drugs for the Treatment of Hepatitis C; AND</w:t>
            </w:r>
          </w:p>
          <w:p w:rsidR="00104560" w:rsidRPr="00E106BD" w:rsidRDefault="00104560" w:rsidP="00881477">
            <w:pPr>
              <w:spacing w:line="240" w:lineRule="auto"/>
              <w:rPr>
                <w:rFonts w:eastAsia="SimSun"/>
                <w:szCs w:val="16"/>
              </w:rPr>
            </w:pPr>
            <w:r w:rsidRPr="00E106BD">
              <w:rPr>
                <w:rFonts w:ascii="Arial" w:eastAsia="SimSun" w:hAnsi="Arial" w:cs="Arial"/>
                <w:sz w:val="16"/>
                <w:szCs w:val="16"/>
                <w:lang w:eastAsia="zh-CN"/>
              </w:rPr>
              <w:t>Patient must be taking this drug as part of a regimen set out in the matrix in the General Statement for Drugs for the Treatment of Hepatitis C, based on the hepatitis C virus genotype, patient treatment history and cirrhotic status; AND</w:t>
            </w:r>
          </w:p>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limited to a maximum duration of 12 weeks.</w:t>
            </w:r>
          </w:p>
        </w:tc>
        <w:tc>
          <w:tcPr>
            <w:tcW w:w="2552" w:type="dxa"/>
            <w:tcMar>
              <w:top w:w="28" w:type="dxa"/>
              <w:left w:w="28" w:type="dxa"/>
              <w:right w:w="57" w:type="dxa"/>
            </w:tcMar>
          </w:tcPr>
          <w:p w:rsidR="00104560" w:rsidRPr="00E106BD" w:rsidRDefault="00104560"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104560" w:rsidRPr="00E106BD" w:rsidDel="00E7459D" w:rsidTr="008929EB">
        <w:tc>
          <w:tcPr>
            <w:tcW w:w="1729" w:type="dxa"/>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Sofosbuvir with velpatasvir and voxilaprevir</w:t>
            </w:r>
          </w:p>
        </w:tc>
        <w:tc>
          <w:tcPr>
            <w:tcW w:w="709" w:type="dxa"/>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C10248</w:t>
            </w:r>
          </w:p>
        </w:tc>
        <w:tc>
          <w:tcPr>
            <w:tcW w:w="709" w:type="dxa"/>
            <w:tcMar>
              <w:top w:w="28" w:type="dxa"/>
              <w:left w:w="28" w:type="dxa"/>
            </w:tcMar>
          </w:tcPr>
          <w:p w:rsidR="00104560" w:rsidRPr="00E106BD" w:rsidRDefault="00104560" w:rsidP="00881477">
            <w:pPr>
              <w:spacing w:line="240" w:lineRule="auto"/>
              <w:rPr>
                <w:rFonts w:ascii="Arial" w:eastAsia="SimSun" w:hAnsi="Arial" w:cs="Arial"/>
                <w:sz w:val="16"/>
                <w:szCs w:val="16"/>
                <w:lang w:eastAsia="zh-CN"/>
              </w:rPr>
            </w:pPr>
          </w:p>
        </w:tc>
        <w:tc>
          <w:tcPr>
            <w:tcW w:w="7654" w:type="dxa"/>
            <w:tcMar>
              <w:top w:w="28" w:type="dxa"/>
              <w:left w:w="28"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Chronic hepatitis C infection</w:t>
            </w:r>
            <w:r w:rsidRPr="00E106BD">
              <w:rPr>
                <w:rFonts w:ascii="Arial" w:hAnsi="Arial" w:cs="Arial"/>
                <w:sz w:val="16"/>
                <w:szCs w:val="16"/>
              </w:rPr>
              <w:br/>
              <w:t>Patient must meet the criteria set out in the General Statement for Drugs for the Treatment of Hepatitis C; AND</w:t>
            </w:r>
            <w:r w:rsidRPr="00E106BD">
              <w:rPr>
                <w:rFonts w:ascii="Arial"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hAnsi="Arial" w:cs="Arial"/>
                <w:sz w:val="16"/>
                <w:szCs w:val="16"/>
              </w:rPr>
              <w:br/>
              <w:t>The treatment must be limited to a maximum duration of 12 weeks.</w:t>
            </w:r>
            <w:r w:rsidRPr="00E106BD">
              <w:rPr>
                <w:rFonts w:ascii="Arial" w:hAnsi="Arial" w:cs="Arial"/>
                <w:sz w:val="16"/>
                <w:szCs w:val="16"/>
              </w:rPr>
              <w:br/>
              <w:t>The application must include details of the prior treatment regimen containing an NS5A inhibitor.</w:t>
            </w:r>
          </w:p>
        </w:tc>
        <w:tc>
          <w:tcPr>
            <w:tcW w:w="2552" w:type="dxa"/>
            <w:tcMar>
              <w:top w:w="28" w:type="dxa"/>
              <w:left w:w="28" w:type="dxa"/>
              <w:right w:w="57" w:type="dxa"/>
            </w:tcMar>
          </w:tcPr>
          <w:p w:rsidR="00104560" w:rsidRPr="00E106BD" w:rsidRDefault="00104560" w:rsidP="00881477">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5C4E1C" w:rsidRPr="00E106BD" w:rsidDel="00E97A10" w:rsidTr="008929EB">
        <w:tc>
          <w:tcPr>
            <w:tcW w:w="172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bookmarkStart w:id="253" w:name="CU_531837725"/>
            <w:bookmarkEnd w:id="253"/>
            <w:r w:rsidRPr="00E106BD">
              <w:rPr>
                <w:rFonts w:ascii="Arial" w:eastAsia="SimSun" w:hAnsi="Arial" w:cs="Arial"/>
                <w:sz w:val="16"/>
                <w:szCs w:val="16"/>
                <w:lang w:eastAsia="zh-CN"/>
              </w:rPr>
              <w:t>Sucroferric oxyhydroxide</w:t>
            </w:r>
          </w:p>
        </w:tc>
        <w:tc>
          <w:tcPr>
            <w:tcW w:w="709" w:type="dxa"/>
            <w:tcMar>
              <w:top w:w="28" w:type="dxa"/>
              <w:left w:w="28" w:type="dxa"/>
            </w:tcMar>
          </w:tcPr>
          <w:p w:rsidR="005C4E1C" w:rsidRPr="005C4E1C" w:rsidRDefault="005C4E1C" w:rsidP="00881477">
            <w:pPr>
              <w:spacing w:line="240" w:lineRule="auto"/>
              <w:rPr>
                <w:rFonts w:ascii="Arial" w:eastAsia="SimSun" w:hAnsi="Arial" w:cs="Arial"/>
                <w:sz w:val="16"/>
                <w:szCs w:val="16"/>
                <w:lang w:eastAsia="zh-CN"/>
              </w:rPr>
            </w:pPr>
            <w:r w:rsidRPr="005C4E1C">
              <w:rPr>
                <w:rFonts w:ascii="Arial" w:hAnsi="Arial" w:cs="Arial"/>
                <w:sz w:val="16"/>
                <w:szCs w:val="16"/>
              </w:rPr>
              <w:t>C5530</w:t>
            </w:r>
          </w:p>
        </w:tc>
        <w:tc>
          <w:tcPr>
            <w:tcW w:w="709" w:type="dxa"/>
            <w:tcMar>
              <w:top w:w="28" w:type="dxa"/>
              <w:left w:w="28" w:type="dxa"/>
            </w:tcMar>
          </w:tcPr>
          <w:p w:rsidR="005C4E1C" w:rsidRPr="005C4E1C" w:rsidDel="00E97A10"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5C4E1C" w:rsidRDefault="005C4E1C" w:rsidP="00881477">
            <w:pPr>
              <w:spacing w:line="240" w:lineRule="auto"/>
              <w:rPr>
                <w:rFonts w:ascii="Arial" w:eastAsia="SimSun" w:hAnsi="Arial" w:cs="Arial"/>
                <w:sz w:val="16"/>
                <w:szCs w:val="16"/>
                <w:lang w:eastAsia="zh-CN"/>
              </w:rPr>
            </w:pPr>
            <w:r w:rsidRPr="005C4E1C">
              <w:rPr>
                <w:rFonts w:ascii="Arial" w:hAnsi="Arial" w:cs="Arial"/>
                <w:sz w:val="16"/>
                <w:szCs w:val="16"/>
              </w:rPr>
              <w:t>Hyperphosphataemia</w:t>
            </w:r>
            <w:r w:rsidRPr="005C4E1C">
              <w:rPr>
                <w:rFonts w:ascii="Arial" w:hAnsi="Arial" w:cs="Arial"/>
                <w:sz w:val="16"/>
                <w:szCs w:val="16"/>
              </w:rPr>
              <w:br/>
              <w:t>Initiation and stabilisation</w:t>
            </w:r>
            <w:r w:rsidRPr="005C4E1C">
              <w:rPr>
                <w:rFonts w:ascii="Arial" w:hAnsi="Arial" w:cs="Arial"/>
                <w:sz w:val="16"/>
                <w:szCs w:val="16"/>
              </w:rPr>
              <w:br/>
              <w:t>The condition must not be adequately controlled by calcium; AND</w:t>
            </w:r>
            <w:r w:rsidRPr="005C4E1C">
              <w:rPr>
                <w:rFonts w:ascii="Arial" w:hAnsi="Arial" w:cs="Arial"/>
                <w:sz w:val="16"/>
                <w:szCs w:val="16"/>
              </w:rPr>
              <w:br/>
              <w:t>Patient must have a serum phosphate of greater than 1.6 mmol per L at the commencement of therapy; OR</w:t>
            </w:r>
            <w:r w:rsidRPr="005C4E1C">
              <w:rPr>
                <w:rFonts w:ascii="Arial" w:hAnsi="Arial" w:cs="Arial"/>
                <w:sz w:val="16"/>
                <w:szCs w:val="16"/>
              </w:rPr>
              <w:br/>
              <w:t>The condition must be where a serum calcium times phosphate product is greater than 4 at the commencement of therapy; AND</w:t>
            </w:r>
            <w:r w:rsidRPr="005C4E1C">
              <w:rPr>
                <w:rFonts w:ascii="Arial" w:hAnsi="Arial" w:cs="Arial"/>
                <w:sz w:val="16"/>
                <w:szCs w:val="16"/>
              </w:rPr>
              <w:br/>
              <w:t>The treatment must not be used in combination with any other non-calcium phosphate binding agents.</w:t>
            </w:r>
            <w:r w:rsidRPr="005C4E1C">
              <w:rPr>
                <w:rFonts w:ascii="Arial" w:hAnsi="Arial" w:cs="Arial"/>
                <w:sz w:val="16"/>
                <w:szCs w:val="16"/>
              </w:rPr>
              <w:br/>
              <w:t>Patient must be undergoing dialysis for chronic kidney disease.</w:t>
            </w:r>
          </w:p>
        </w:tc>
        <w:tc>
          <w:tcPr>
            <w:tcW w:w="2552" w:type="dxa"/>
            <w:tcMar>
              <w:top w:w="28" w:type="dxa"/>
              <w:left w:w="28" w:type="dxa"/>
              <w:right w:w="57" w:type="dxa"/>
            </w:tcMar>
          </w:tcPr>
          <w:p w:rsidR="005C4E1C" w:rsidRPr="005C4E1C" w:rsidRDefault="005C4E1C" w:rsidP="00881477">
            <w:pPr>
              <w:spacing w:line="240" w:lineRule="auto"/>
              <w:rPr>
                <w:rFonts w:ascii="Arial" w:eastAsia="SimSun" w:hAnsi="Arial" w:cs="Arial"/>
                <w:sz w:val="16"/>
                <w:szCs w:val="16"/>
                <w:lang w:eastAsia="zh-CN"/>
              </w:rPr>
            </w:pPr>
            <w:r w:rsidRPr="005C4E1C">
              <w:rPr>
                <w:rFonts w:ascii="Arial" w:hAnsi="Arial" w:cs="Arial"/>
                <w:sz w:val="16"/>
                <w:szCs w:val="16"/>
              </w:rPr>
              <w:t>Compliance with Authority Required procedures - Streamlined Authority Code 5530</w:t>
            </w:r>
          </w:p>
        </w:tc>
      </w:tr>
      <w:tr w:rsidR="005C4E1C" w:rsidRPr="00E106BD" w:rsidDel="00E97A10" w:rsidTr="008929EB">
        <w:tc>
          <w:tcPr>
            <w:tcW w:w="1729" w:type="dxa"/>
            <w:tcMar>
              <w:top w:w="28" w:type="dxa"/>
              <w:left w:w="28" w:type="dxa"/>
            </w:tcMar>
          </w:tcPr>
          <w:p w:rsidR="005C4E1C" w:rsidRPr="00E106BD" w:rsidDel="00E97A10"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C9762</w:t>
            </w:r>
          </w:p>
        </w:tc>
        <w:tc>
          <w:tcPr>
            <w:tcW w:w="709" w:type="dxa"/>
            <w:tcMar>
              <w:top w:w="28" w:type="dxa"/>
              <w:left w:w="28" w:type="dxa"/>
            </w:tcMar>
          </w:tcPr>
          <w:p w:rsidR="005C4E1C" w:rsidRPr="00E106BD" w:rsidDel="00E97A10"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Hyperphosphataemia</w:t>
            </w:r>
            <w:r w:rsidRPr="00E106BD">
              <w:rPr>
                <w:rFonts w:ascii="Arial" w:eastAsia="SimSun" w:hAnsi="Arial" w:cs="Arial"/>
                <w:sz w:val="16"/>
                <w:szCs w:val="16"/>
                <w:lang w:eastAsia="zh-CN"/>
              </w:rPr>
              <w:br/>
              <w:t>Initiation and stabilisation</w:t>
            </w:r>
            <w:r w:rsidRPr="00E106BD">
              <w:rPr>
                <w:rFonts w:ascii="Arial" w:eastAsia="SimSun" w:hAnsi="Arial" w:cs="Arial"/>
                <w:sz w:val="16"/>
                <w:szCs w:val="16"/>
                <w:lang w:eastAsia="zh-CN"/>
              </w:rPr>
              <w:br/>
              <w:t>The condition must not be adequately controlled by calcium; AND</w:t>
            </w:r>
            <w:r w:rsidRPr="00E106BD">
              <w:rPr>
                <w:rFonts w:ascii="Arial" w:eastAsia="SimSun" w:hAnsi="Arial" w:cs="Arial"/>
                <w:sz w:val="16"/>
                <w:szCs w:val="16"/>
                <w:lang w:eastAsia="zh-CN"/>
              </w:rPr>
              <w:br/>
              <w:t>Patient must have a serum phosphate of greater than 1.6 mmol per L at the commencement of therapy; OR</w:t>
            </w:r>
            <w:r w:rsidRPr="00E106BD">
              <w:rPr>
                <w:rFonts w:ascii="Arial" w:eastAsia="SimSun" w:hAnsi="Arial" w:cs="Arial"/>
                <w:sz w:val="16"/>
                <w:szCs w:val="16"/>
                <w:lang w:eastAsia="zh-CN"/>
              </w:rPr>
              <w:br/>
              <w:t>The condition must be where a serum calcium times phosphate product is greater than 4 at the commencement of therapy; AND</w:t>
            </w:r>
            <w:r w:rsidRPr="00E106BD">
              <w:rPr>
                <w:rFonts w:ascii="Arial" w:eastAsia="SimSun" w:hAnsi="Arial" w:cs="Arial"/>
                <w:sz w:val="16"/>
                <w:szCs w:val="16"/>
                <w:lang w:eastAsia="zh-CN"/>
              </w:rPr>
              <w:br/>
              <w:t>The treatment must not be used in combination with any other non</w:t>
            </w:r>
            <w:r>
              <w:rPr>
                <w:rFonts w:ascii="Arial" w:eastAsia="SimSun" w:hAnsi="Arial" w:cs="Arial"/>
                <w:sz w:val="16"/>
                <w:szCs w:val="16"/>
                <w:lang w:eastAsia="zh-CN"/>
              </w:rPr>
              <w:noBreakHyphen/>
            </w:r>
            <w:r w:rsidRPr="00E106BD">
              <w:rPr>
                <w:rFonts w:ascii="Arial" w:eastAsia="SimSun" w:hAnsi="Arial" w:cs="Arial"/>
                <w:sz w:val="16"/>
                <w:szCs w:val="16"/>
                <w:lang w:eastAsia="zh-CN"/>
              </w:rPr>
              <w:t>calcium phosphate binding agents.</w:t>
            </w:r>
            <w:r w:rsidRPr="00E106BD">
              <w:rPr>
                <w:rFonts w:ascii="Arial" w:eastAsia="SimSun" w:hAnsi="Arial" w:cs="Arial"/>
                <w:sz w:val="16"/>
                <w:szCs w:val="16"/>
                <w:lang w:eastAsia="zh-CN"/>
              </w:rPr>
              <w:br/>
              <w:t>Patient must be undergoing dialysis for chronic kidney disease.</w:t>
            </w:r>
          </w:p>
        </w:tc>
        <w:tc>
          <w:tcPr>
            <w:tcW w:w="2552" w:type="dxa"/>
            <w:tcMar>
              <w:top w:w="28" w:type="dxa"/>
              <w:left w:w="28" w:type="dxa"/>
              <w:right w:w="57"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9762</w:t>
            </w:r>
          </w:p>
        </w:tc>
      </w:tr>
      <w:tr w:rsidR="005C4E1C" w:rsidRPr="00E106BD" w:rsidDel="00E97A10" w:rsidTr="008929EB">
        <w:trPr>
          <w:cantSplit/>
        </w:trPr>
        <w:tc>
          <w:tcPr>
            <w:tcW w:w="1729" w:type="dxa"/>
            <w:tcMar>
              <w:top w:w="28" w:type="dxa"/>
              <w:left w:w="28" w:type="dxa"/>
            </w:tcMar>
          </w:tcPr>
          <w:p w:rsidR="005C4E1C" w:rsidRPr="00E106BD" w:rsidDel="00E97A10"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Tacrolimus</w:t>
            </w: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C5569</w:t>
            </w: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rejection in patients following organ or tissue transplantation</w:t>
            </w:r>
            <w:r w:rsidRPr="00E106BD">
              <w:rPr>
                <w:rFonts w:ascii="Arial" w:eastAsia="SimSun" w:hAnsi="Arial" w:cs="Arial"/>
                <w:sz w:val="16"/>
                <w:szCs w:val="16"/>
                <w:lang w:eastAsia="zh-CN"/>
              </w:rPr>
              <w:br/>
              <w:t>The treatment must be under the supervision and direction of a transplant unit, AND</w:t>
            </w:r>
            <w:r w:rsidRPr="00E106BD">
              <w:rPr>
                <w:rFonts w:ascii="Arial" w:eastAsia="SimSun" w:hAnsi="Arial" w:cs="Arial"/>
                <w:sz w:val="16"/>
                <w:szCs w:val="16"/>
                <w:lang w:eastAsia="zh-CN"/>
              </w:rPr>
              <w:br/>
              <w:t>The treatment must include initiation, stabilisation, and review of therapy as required.</w:t>
            </w:r>
          </w:p>
        </w:tc>
        <w:tc>
          <w:tcPr>
            <w:tcW w:w="2552" w:type="dxa"/>
            <w:tcMar>
              <w:top w:w="28" w:type="dxa"/>
              <w:left w:w="28" w:type="dxa"/>
              <w:right w:w="57"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5569</w:t>
            </w:r>
          </w:p>
        </w:tc>
      </w:tr>
      <w:tr w:rsidR="005C4E1C" w:rsidRPr="00E106BD" w:rsidDel="00957246" w:rsidTr="008929EB">
        <w:trPr>
          <w:cantSplit/>
        </w:trPr>
        <w:tc>
          <w:tcPr>
            <w:tcW w:w="1729" w:type="dxa"/>
            <w:tcMar>
              <w:top w:w="28" w:type="dxa"/>
              <w:left w:w="28" w:type="dxa"/>
            </w:tcMar>
          </w:tcPr>
          <w:p w:rsidR="005C4E1C" w:rsidRPr="00E106BD" w:rsidDel="00957246"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Del="009572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C9697</w:t>
            </w:r>
          </w:p>
        </w:tc>
        <w:tc>
          <w:tcPr>
            <w:tcW w:w="709" w:type="dxa"/>
            <w:tcMar>
              <w:top w:w="28" w:type="dxa"/>
              <w:left w:w="28" w:type="dxa"/>
            </w:tcMar>
          </w:tcPr>
          <w:p w:rsidR="005C4E1C" w:rsidRPr="00E106BD" w:rsidDel="00957246"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Del="009572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rejection in patients following organ or tissue transplantation</w:t>
            </w:r>
            <w:r w:rsidRPr="00E106BD">
              <w:rPr>
                <w:rFonts w:ascii="Arial" w:eastAsia="SimSun" w:hAnsi="Arial" w:cs="Arial"/>
                <w:sz w:val="16"/>
                <w:szCs w:val="16"/>
                <w:lang w:eastAsia="zh-CN"/>
              </w:rPr>
              <w:br/>
              <w:t>The treatment must be under the supervision and direction of a transplant unit; AND</w:t>
            </w:r>
            <w:r w:rsidRPr="00E106BD">
              <w:rPr>
                <w:rFonts w:ascii="Arial" w:eastAsia="SimSun" w:hAnsi="Arial" w:cs="Arial"/>
                <w:sz w:val="16"/>
                <w:szCs w:val="16"/>
                <w:lang w:eastAsia="zh-CN"/>
              </w:rPr>
              <w:br/>
              <w:t>The treatment must include initiation, stabilisation, and review of therapy as required.</w:t>
            </w:r>
          </w:p>
        </w:tc>
        <w:tc>
          <w:tcPr>
            <w:tcW w:w="2552" w:type="dxa"/>
            <w:tcMar>
              <w:top w:w="28" w:type="dxa"/>
              <w:left w:w="28" w:type="dxa"/>
              <w:right w:w="57" w:type="dxa"/>
            </w:tcMar>
          </w:tcPr>
          <w:p w:rsidR="005C4E1C" w:rsidRPr="00E106BD" w:rsidDel="009572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9697</w:t>
            </w:r>
          </w:p>
        </w:tc>
      </w:tr>
      <w:tr w:rsidR="005C4E1C" w:rsidRPr="00E106BD" w:rsidDel="00957246" w:rsidTr="008929EB">
        <w:trPr>
          <w:cantSplit/>
        </w:trPr>
        <w:tc>
          <w:tcPr>
            <w:tcW w:w="1729" w:type="dxa"/>
            <w:tcMar>
              <w:top w:w="28" w:type="dxa"/>
              <w:left w:w="28" w:type="dxa"/>
            </w:tcMar>
          </w:tcPr>
          <w:p w:rsidR="005C4E1C" w:rsidRPr="00E106BD" w:rsidDel="00957246" w:rsidRDefault="005C4E1C"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Tadalafil</w:t>
            </w: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3A13C5">
              <w:rPr>
                <w:rFonts w:ascii="Arial" w:eastAsia="Arial" w:hAnsi="Arial" w:cs="Arial"/>
                <w:sz w:val="16"/>
                <w:szCs w:val="22"/>
                <w:lang w:eastAsia="zh-CN"/>
              </w:rPr>
              <w:t>C10228</w:t>
            </w:r>
          </w:p>
        </w:tc>
        <w:tc>
          <w:tcPr>
            <w:tcW w:w="709" w:type="dxa"/>
            <w:tcMar>
              <w:top w:w="28" w:type="dxa"/>
              <w:left w:w="28" w:type="dxa"/>
            </w:tcMar>
          </w:tcPr>
          <w:p w:rsidR="005C4E1C" w:rsidRPr="00E106BD" w:rsidDel="00957246"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Continuing treatment</w:t>
            </w:r>
            <w:r w:rsidRPr="003A13C5">
              <w:rPr>
                <w:rFonts w:ascii="Arial" w:eastAsia="SimSun" w:hAnsi="Arial" w:cs="Arial"/>
                <w:sz w:val="16"/>
                <w:szCs w:val="16"/>
                <w:lang w:eastAsia="zh-CN"/>
              </w:rPr>
              <w:br/>
              <w:t>Patient must have received their most recent course of PBS-subsidised treatment with this PAH agent for this condition;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 xml:space="preserve">The term </w:t>
            </w:r>
            <w:r w:rsidR="00A653CA">
              <w:rPr>
                <w:rFonts w:ascii="Arial" w:eastAsia="SimSun" w:hAnsi="Arial" w:cs="Arial"/>
                <w:sz w:val="16"/>
                <w:szCs w:val="16"/>
                <w:lang w:eastAsia="zh-CN"/>
              </w:rPr>
              <w:t>‘</w:t>
            </w:r>
            <w:r w:rsidRPr="003A13C5">
              <w:rPr>
                <w:rFonts w:ascii="Arial" w:eastAsia="SimSun" w:hAnsi="Arial" w:cs="Arial"/>
                <w:sz w:val="16"/>
                <w:szCs w:val="16"/>
                <w:lang w:eastAsia="zh-CN"/>
              </w:rPr>
              <w:t>PAH agents</w:t>
            </w:r>
            <w:r w:rsidR="00A653CA">
              <w:rPr>
                <w:rFonts w:ascii="Arial" w:eastAsia="SimSun" w:hAnsi="Arial" w:cs="Arial"/>
                <w:sz w:val="16"/>
                <w:szCs w:val="16"/>
                <w:lang w:eastAsia="zh-CN"/>
              </w:rPr>
              <w:t>’</w:t>
            </w:r>
            <w:r w:rsidRPr="003A13C5">
              <w:rPr>
                <w:rFonts w:ascii="Arial" w:eastAsia="SimSun" w:hAnsi="Arial" w:cs="Arial"/>
                <w:sz w:val="16"/>
                <w:szCs w:val="16"/>
                <w:lang w:eastAsia="zh-CN"/>
              </w:rPr>
              <w:t xml:space="preserve">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5C4E1C" w:rsidRPr="00E106BD" w:rsidRDefault="005C4E1C"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Authority Required procedures</w:t>
            </w:r>
          </w:p>
        </w:tc>
      </w:tr>
      <w:tr w:rsidR="005C4E1C" w:rsidRPr="00E106BD" w:rsidDel="00957246" w:rsidTr="008929EB">
        <w:tc>
          <w:tcPr>
            <w:tcW w:w="1729" w:type="dxa"/>
            <w:tcMar>
              <w:top w:w="28" w:type="dxa"/>
              <w:left w:w="28" w:type="dxa"/>
            </w:tcMar>
          </w:tcPr>
          <w:p w:rsidR="005C4E1C" w:rsidRPr="00E106BD" w:rsidDel="00957246"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3A13C5">
              <w:rPr>
                <w:rFonts w:ascii="Arial" w:eastAsia="Arial" w:hAnsi="Arial" w:cs="Arial"/>
                <w:sz w:val="16"/>
                <w:szCs w:val="22"/>
                <w:lang w:eastAsia="zh-CN"/>
              </w:rPr>
              <w:t>C10234</w:t>
            </w:r>
          </w:p>
        </w:tc>
        <w:tc>
          <w:tcPr>
            <w:tcW w:w="709" w:type="dxa"/>
            <w:tcMar>
              <w:top w:w="28" w:type="dxa"/>
              <w:left w:w="28" w:type="dxa"/>
            </w:tcMar>
          </w:tcPr>
          <w:p w:rsidR="005C4E1C" w:rsidRPr="00E106BD" w:rsidDel="00957246"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Initial 2 (change)</w:t>
            </w:r>
            <w:r w:rsidRPr="003A13C5">
              <w:rPr>
                <w:rFonts w:ascii="Arial" w:eastAsia="SimSun" w:hAnsi="Arial" w:cs="Arial"/>
                <w:sz w:val="16"/>
                <w:szCs w:val="16"/>
                <w:lang w:eastAsia="zh-CN"/>
              </w:rPr>
              <w:br/>
              <w:t>Patient must have documented WHO Functional Class II PAH, or WHO Functional Class III PAH; AND</w:t>
            </w:r>
            <w:r w:rsidRPr="003A13C5">
              <w:rPr>
                <w:rFonts w:ascii="Arial" w:eastAsia="SimSun" w:hAnsi="Arial" w:cs="Arial"/>
                <w:sz w:val="16"/>
                <w:szCs w:val="16"/>
                <w:lang w:eastAsia="zh-CN"/>
              </w:rPr>
              <w:br/>
              <w:t>Patient must have had their most recent course of PBS-subsidised treatment for this condition with a PAH agent other than this agent;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 xml:space="preserve">The term </w:t>
            </w:r>
            <w:r w:rsidR="00A653CA">
              <w:rPr>
                <w:rFonts w:ascii="Arial" w:eastAsia="SimSun" w:hAnsi="Arial" w:cs="Arial"/>
                <w:sz w:val="16"/>
                <w:szCs w:val="16"/>
                <w:lang w:eastAsia="zh-CN"/>
              </w:rPr>
              <w:t>‘</w:t>
            </w:r>
            <w:r w:rsidRPr="003A13C5">
              <w:rPr>
                <w:rFonts w:ascii="Arial" w:eastAsia="SimSun" w:hAnsi="Arial" w:cs="Arial"/>
                <w:sz w:val="16"/>
                <w:szCs w:val="16"/>
                <w:lang w:eastAsia="zh-CN"/>
              </w:rPr>
              <w:t>PAH agents</w:t>
            </w:r>
            <w:r w:rsidR="00A653CA">
              <w:rPr>
                <w:rFonts w:ascii="Arial" w:eastAsia="SimSun" w:hAnsi="Arial" w:cs="Arial"/>
                <w:sz w:val="16"/>
                <w:szCs w:val="16"/>
                <w:lang w:eastAsia="zh-CN"/>
              </w:rPr>
              <w:t>’</w:t>
            </w:r>
            <w:r w:rsidRPr="003A13C5">
              <w:rPr>
                <w:rFonts w:ascii="Arial" w:eastAsia="SimSun" w:hAnsi="Arial" w:cs="Arial"/>
                <w:sz w:val="16"/>
                <w:szCs w:val="16"/>
                <w:lang w:eastAsia="zh-CN"/>
              </w:rPr>
              <w:t xml:space="preserve">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sidR="00A653CA">
              <w:rPr>
                <w:rFonts w:ascii="Arial" w:eastAsia="SimSun" w:hAnsi="Arial" w:cs="Arial"/>
                <w:sz w:val="16"/>
                <w:szCs w:val="16"/>
                <w:lang w:eastAsia="zh-CN"/>
              </w:rPr>
              <w:t>’</w:t>
            </w:r>
            <w:r w:rsidRPr="003A13C5">
              <w:rPr>
                <w:rFonts w:ascii="Arial" w:eastAsia="SimSun" w:hAnsi="Arial" w:cs="Arial"/>
                <w:sz w:val="16"/>
                <w:szCs w:val="16"/>
                <w:lang w:eastAsia="zh-CN"/>
              </w:rPr>
              <w:t>s restriction, irrespective of the severity of their disease at the time the application to swap therapy is submitted.</w:t>
            </w:r>
            <w:r w:rsidRPr="003A13C5">
              <w:rPr>
                <w:rFonts w:ascii="Arial" w:eastAsia="SimSun" w:hAnsi="Arial" w:cs="Arial"/>
                <w:sz w:val="16"/>
                <w:szCs w:val="16"/>
                <w:lang w:eastAsia="zh-CN"/>
              </w:rPr>
              <w:br/>
              <w:t>Applications to swap between the 8 PAH agents must be made under the relevant initial treatment (monotherapy) restriction.</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5C4E1C" w:rsidRPr="00E106BD" w:rsidRDefault="005C4E1C"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Authority Required procedures</w:t>
            </w:r>
          </w:p>
        </w:tc>
      </w:tr>
      <w:tr w:rsidR="005C4E1C" w:rsidRPr="00E106BD" w:rsidDel="00957246" w:rsidTr="008929EB">
        <w:tc>
          <w:tcPr>
            <w:tcW w:w="1729" w:type="dxa"/>
            <w:tcMar>
              <w:top w:w="28" w:type="dxa"/>
              <w:left w:w="28" w:type="dxa"/>
            </w:tcMar>
          </w:tcPr>
          <w:p w:rsidR="005C4E1C" w:rsidRPr="00E106BD" w:rsidDel="00957246"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3A13C5">
              <w:rPr>
                <w:rFonts w:ascii="Arial" w:eastAsia="Arial" w:hAnsi="Arial" w:cs="Arial"/>
                <w:sz w:val="16"/>
                <w:szCs w:val="22"/>
                <w:lang w:eastAsia="zh-CN"/>
              </w:rPr>
              <w:t>C10304</w:t>
            </w:r>
          </w:p>
        </w:tc>
        <w:tc>
          <w:tcPr>
            <w:tcW w:w="709" w:type="dxa"/>
            <w:tcMar>
              <w:top w:w="28" w:type="dxa"/>
              <w:left w:w="28" w:type="dxa"/>
            </w:tcMar>
          </w:tcPr>
          <w:p w:rsidR="005C4E1C" w:rsidRPr="00E106BD" w:rsidDel="00957246"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Initial 1 (new patients)</w:t>
            </w:r>
            <w:r w:rsidRPr="003A13C5">
              <w:rPr>
                <w:rFonts w:ascii="Arial" w:eastAsia="SimSun" w:hAnsi="Arial" w:cs="Arial"/>
                <w:sz w:val="16"/>
                <w:szCs w:val="16"/>
                <w:lang w:eastAsia="zh-CN"/>
              </w:rPr>
              <w:br/>
              <w:t>Patient must not have received prior PBS-subsidised treatment with a pulmonary arterial hypertension (PAH) agent; AND</w:t>
            </w:r>
            <w:r w:rsidRPr="003A13C5">
              <w:rPr>
                <w:rFonts w:ascii="Arial" w:eastAsia="SimSun" w:hAnsi="Arial" w:cs="Arial"/>
                <w:sz w:val="16"/>
                <w:szCs w:val="16"/>
                <w:lang w:eastAsia="zh-CN"/>
              </w:rPr>
              <w:br/>
              <w:t>Patient must have been assessed by a physician with expertise in the management of PAH; AND</w:t>
            </w:r>
            <w:r w:rsidRPr="003A13C5">
              <w:rPr>
                <w:rFonts w:ascii="Arial" w:eastAsia="SimSun" w:hAnsi="Arial" w:cs="Arial"/>
                <w:sz w:val="16"/>
                <w:szCs w:val="16"/>
                <w:lang w:eastAsia="zh-CN"/>
              </w:rPr>
              <w:br/>
              <w:t>Patient must have WHO Functional Class II PAH, or WHO Functional Class III PAH;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 xml:space="preserve">The term </w:t>
            </w:r>
            <w:r w:rsidR="00A653CA">
              <w:rPr>
                <w:rFonts w:ascii="Arial" w:eastAsia="SimSun" w:hAnsi="Arial" w:cs="Arial"/>
                <w:sz w:val="16"/>
                <w:szCs w:val="16"/>
                <w:lang w:eastAsia="zh-CN"/>
              </w:rPr>
              <w:t>‘</w:t>
            </w:r>
            <w:r w:rsidRPr="003A13C5">
              <w:rPr>
                <w:rFonts w:ascii="Arial" w:eastAsia="SimSun" w:hAnsi="Arial" w:cs="Arial"/>
                <w:sz w:val="16"/>
                <w:szCs w:val="16"/>
                <w:lang w:eastAsia="zh-CN"/>
              </w:rPr>
              <w:t>PAH agents</w:t>
            </w:r>
            <w:r w:rsidR="00A653CA">
              <w:rPr>
                <w:rFonts w:ascii="Arial" w:eastAsia="SimSun" w:hAnsi="Arial" w:cs="Arial"/>
                <w:sz w:val="16"/>
                <w:szCs w:val="16"/>
                <w:lang w:eastAsia="zh-CN"/>
              </w:rPr>
              <w:t>’</w:t>
            </w:r>
            <w:r w:rsidRPr="003A13C5">
              <w:rPr>
                <w:rFonts w:ascii="Arial" w:eastAsia="SimSun" w:hAnsi="Arial" w:cs="Arial"/>
                <w:sz w:val="16"/>
                <w:szCs w:val="16"/>
                <w:lang w:eastAsia="zh-CN"/>
              </w:rPr>
              <w:t xml:space="preserve">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PAH (WHO Group 1 pulmonary hypertension) is defined as follows:</w:t>
            </w:r>
            <w:r w:rsidRPr="003A13C5">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3A13C5">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3A13C5">
              <w:rPr>
                <w:rFonts w:ascii="Arial" w:eastAsia="SimSun" w:hAnsi="Arial" w:cs="Arial"/>
                <w:sz w:val="16"/>
                <w:szCs w:val="16"/>
                <w:lang w:eastAsia="zh-CN"/>
              </w:rPr>
              <w:br/>
              <w:t>Applications for authorisation must be in writing and must include:</w:t>
            </w:r>
            <w:r w:rsidRPr="003A13C5">
              <w:rPr>
                <w:rFonts w:ascii="Arial" w:eastAsia="SimSun" w:hAnsi="Arial" w:cs="Arial"/>
                <w:sz w:val="16"/>
                <w:szCs w:val="16"/>
                <w:lang w:eastAsia="zh-CN"/>
              </w:rPr>
              <w:br/>
              <w:t>(1) a completed authority prescription form; and</w:t>
            </w:r>
            <w:r w:rsidRPr="003A13C5">
              <w:rPr>
                <w:rFonts w:ascii="Arial" w:eastAsia="SimSun" w:hAnsi="Arial" w:cs="Arial"/>
                <w:sz w:val="16"/>
                <w:szCs w:val="16"/>
                <w:lang w:eastAsia="zh-CN"/>
              </w:rPr>
              <w:br/>
              <w:t>(2) a completed Pulmonary Arterial Hypertension PBS Authority Application - Supporting Information form which includes results from the three tests below, where available:</w:t>
            </w:r>
            <w:r w:rsidRPr="003A13C5">
              <w:rPr>
                <w:rFonts w:ascii="Arial" w:eastAsia="SimSun" w:hAnsi="Arial" w:cs="Arial"/>
                <w:sz w:val="16"/>
                <w:szCs w:val="16"/>
                <w:lang w:eastAsia="zh-CN"/>
              </w:rPr>
              <w:br/>
              <w:t>(i) RHC composite assessment; and</w:t>
            </w:r>
            <w:r w:rsidRPr="003A13C5">
              <w:rPr>
                <w:rFonts w:ascii="Arial" w:eastAsia="SimSun" w:hAnsi="Arial" w:cs="Arial"/>
                <w:sz w:val="16"/>
                <w:szCs w:val="16"/>
                <w:lang w:eastAsia="zh-CN"/>
              </w:rPr>
              <w:br/>
              <w:t>(ii) ECHO composite assessment; and</w:t>
            </w:r>
            <w:r w:rsidRPr="003A13C5">
              <w:rPr>
                <w:rFonts w:ascii="Arial" w:eastAsia="SimSun" w:hAnsi="Arial" w:cs="Arial"/>
                <w:sz w:val="16"/>
                <w:szCs w:val="16"/>
                <w:lang w:eastAsia="zh-CN"/>
              </w:rPr>
              <w:br/>
              <w:t>(iii) 6 Minute Walk Test (6MWT).</w:t>
            </w:r>
            <w:r w:rsidRPr="003A13C5">
              <w:rPr>
                <w:rFonts w:ascii="Arial" w:eastAsia="SimSun" w:hAnsi="Arial" w:cs="Arial"/>
                <w:sz w:val="16"/>
                <w:szCs w:val="16"/>
                <w:lang w:eastAsia="zh-CN"/>
              </w:rPr>
              <w:br/>
              <w:t>Where it is not possible to perform all 3 tests on clinical grounds, the following list outlines the preferred test combination, in descending order, for the purposes of initiation of PBS-subsidised treatment:</w:t>
            </w:r>
            <w:r w:rsidRPr="003A13C5">
              <w:rPr>
                <w:rFonts w:ascii="Arial" w:eastAsia="SimSun" w:hAnsi="Arial" w:cs="Arial"/>
                <w:sz w:val="16"/>
                <w:szCs w:val="16"/>
                <w:lang w:eastAsia="zh-CN"/>
              </w:rPr>
              <w:br/>
              <w:t>(1) RHC plus ECHO composite assessments;</w:t>
            </w:r>
            <w:r w:rsidRPr="003A13C5">
              <w:rPr>
                <w:rFonts w:ascii="Arial" w:eastAsia="SimSun" w:hAnsi="Arial" w:cs="Arial"/>
                <w:sz w:val="16"/>
                <w:szCs w:val="16"/>
                <w:lang w:eastAsia="zh-CN"/>
              </w:rPr>
              <w:br/>
              <w:t>(2) RHC composite assessment plus 6MWT;</w:t>
            </w:r>
            <w:r w:rsidRPr="003A13C5">
              <w:rPr>
                <w:rFonts w:ascii="Arial" w:eastAsia="SimSun" w:hAnsi="Arial" w:cs="Arial"/>
                <w:sz w:val="16"/>
                <w:szCs w:val="16"/>
                <w:lang w:eastAsia="zh-CN"/>
              </w:rPr>
              <w:br/>
              <w:t>(3) RHC composite assessment only.</w:t>
            </w:r>
            <w:r w:rsidRPr="003A13C5">
              <w:rPr>
                <w:rFonts w:ascii="Arial" w:eastAsia="SimSun" w:hAnsi="Arial" w:cs="Arial"/>
                <w:sz w:val="16"/>
                <w:szCs w:val="16"/>
                <w:lang w:eastAsia="zh-CN"/>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eastAsia="SimSun" w:hAnsi="Arial" w:cs="Arial"/>
                <w:sz w:val="16"/>
                <w:szCs w:val="16"/>
                <w:lang w:eastAsia="zh-CN"/>
              </w:rPr>
              <w:br/>
              <w:t>(1) ECHO composite assessment plus 6MWT;</w:t>
            </w:r>
            <w:r w:rsidRPr="003A13C5">
              <w:rPr>
                <w:rFonts w:ascii="Arial" w:eastAsia="SimSun" w:hAnsi="Arial" w:cs="Arial"/>
                <w:sz w:val="16"/>
                <w:szCs w:val="16"/>
                <w:lang w:eastAsia="zh-CN"/>
              </w:rPr>
              <w:br/>
              <w:t>(2) ECHO composite assessment only.</w:t>
            </w:r>
            <w:r w:rsidRPr="003A13C5">
              <w:rPr>
                <w:rFonts w:ascii="Arial" w:eastAsia="SimSun" w:hAnsi="Arial" w:cs="Arial"/>
                <w:sz w:val="16"/>
                <w:szCs w:val="16"/>
                <w:lang w:eastAsia="zh-CN"/>
              </w:rPr>
              <w:br/>
              <w:t>Where fewer than 3 tests are able to be performed on clinical grounds, a patient specific reason outlining why the particular test(s) could not be conducted must be provided with the authority application.</w:t>
            </w:r>
            <w:r w:rsidRPr="003A13C5">
              <w:rPr>
                <w:rFonts w:ascii="Arial" w:eastAsia="SimSun" w:hAnsi="Arial" w:cs="Arial"/>
                <w:sz w:val="16"/>
                <w:szCs w:val="16"/>
                <w:lang w:eastAsia="zh-CN"/>
              </w:rPr>
              <w:br/>
              <w:t>Where a RHC cannot be performed on clinical grounds, confirmation of the reason(s) must be provided with the authority application by a second PAH physician or cardiologist with expertise in the management of PAH.</w:t>
            </w:r>
            <w:r w:rsidRPr="003A13C5">
              <w:rPr>
                <w:rFonts w:ascii="Arial" w:eastAsia="SimSun" w:hAnsi="Arial" w:cs="Arial"/>
                <w:sz w:val="16"/>
                <w:szCs w:val="16"/>
                <w:lang w:eastAsia="zh-CN"/>
              </w:rPr>
              <w:br/>
              <w:t>The test results provided must not be more than 2 months old at the time of application.</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5C4E1C" w:rsidRPr="00E106BD" w:rsidRDefault="005C4E1C"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Written Authority Required procedures</w:t>
            </w:r>
          </w:p>
        </w:tc>
      </w:tr>
      <w:tr w:rsidR="00A85B1F" w:rsidRPr="00E106BD" w:rsidDel="00957246" w:rsidTr="008929EB">
        <w:tc>
          <w:tcPr>
            <w:tcW w:w="1729" w:type="dxa"/>
            <w:tcMar>
              <w:top w:w="28" w:type="dxa"/>
              <w:left w:w="28" w:type="dxa"/>
            </w:tcMar>
          </w:tcPr>
          <w:p w:rsidR="00A85B1F" w:rsidRPr="00E106BD" w:rsidDel="00957246" w:rsidRDefault="00A85B1F" w:rsidP="00881477">
            <w:pPr>
              <w:spacing w:line="240" w:lineRule="auto"/>
              <w:rPr>
                <w:rFonts w:ascii="Arial" w:eastAsia="SimSun" w:hAnsi="Arial" w:cs="Arial"/>
                <w:sz w:val="16"/>
                <w:szCs w:val="16"/>
                <w:lang w:eastAsia="zh-CN"/>
              </w:rPr>
            </w:pPr>
          </w:p>
        </w:tc>
        <w:tc>
          <w:tcPr>
            <w:tcW w:w="709" w:type="dxa"/>
            <w:tcMar>
              <w:top w:w="28" w:type="dxa"/>
              <w:left w:w="28" w:type="dxa"/>
            </w:tcMar>
          </w:tcPr>
          <w:p w:rsidR="00A85B1F" w:rsidRPr="008F022A" w:rsidRDefault="00A85B1F"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C10726</w:t>
            </w:r>
          </w:p>
        </w:tc>
        <w:tc>
          <w:tcPr>
            <w:tcW w:w="709" w:type="dxa"/>
            <w:tcMar>
              <w:top w:w="28" w:type="dxa"/>
              <w:left w:w="28" w:type="dxa"/>
            </w:tcMar>
          </w:tcPr>
          <w:p w:rsidR="00A85B1F" w:rsidRPr="00E106BD" w:rsidDel="00957246" w:rsidRDefault="00A85B1F" w:rsidP="00881477">
            <w:pPr>
              <w:spacing w:line="240" w:lineRule="auto"/>
              <w:rPr>
                <w:rFonts w:ascii="Arial" w:eastAsia="SimSun" w:hAnsi="Arial" w:cs="Arial"/>
                <w:sz w:val="16"/>
                <w:szCs w:val="16"/>
                <w:lang w:eastAsia="zh-CN"/>
              </w:rPr>
            </w:pPr>
          </w:p>
        </w:tc>
        <w:tc>
          <w:tcPr>
            <w:tcW w:w="7654" w:type="dxa"/>
            <w:tcMar>
              <w:top w:w="28" w:type="dxa"/>
              <w:left w:w="28" w:type="dxa"/>
            </w:tcMar>
          </w:tcPr>
          <w:p w:rsidR="00A85B1F" w:rsidRPr="003A13C5" w:rsidRDefault="00A85B1F"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Pulmonary arterial hypertension (PAH)</w:t>
            </w:r>
            <w:r w:rsidRPr="008F022A">
              <w:rPr>
                <w:rFonts w:ascii="Arial" w:eastAsia="SimSun" w:hAnsi="Arial" w:cs="Arial"/>
                <w:sz w:val="16"/>
                <w:szCs w:val="16"/>
                <w:lang w:eastAsia="zh-CN"/>
              </w:rPr>
              <w:br/>
              <w:t>Initial 1 (dual therapy - previously untreated patients)</w:t>
            </w:r>
            <w:r w:rsidRPr="008F022A">
              <w:rPr>
                <w:rFonts w:ascii="Arial" w:eastAsia="SimSun" w:hAnsi="Arial" w:cs="Arial"/>
                <w:sz w:val="16"/>
                <w:szCs w:val="16"/>
                <w:lang w:eastAsia="zh-CN"/>
              </w:rPr>
              <w:br/>
              <w:t>Patient must not have received prior PBS-subsidised treatment with a pulmonary arterial hypertension (PAH) agent; AND</w:t>
            </w:r>
            <w:r w:rsidRPr="008F022A">
              <w:rPr>
                <w:rFonts w:ascii="Arial" w:eastAsia="SimSun" w:hAnsi="Arial" w:cs="Arial"/>
                <w:sz w:val="16"/>
                <w:szCs w:val="16"/>
                <w:lang w:eastAsia="zh-CN"/>
              </w:rPr>
              <w:br/>
              <w:t>Patient must have been assessed by a physician with expertise in the management of PAH; AND</w:t>
            </w:r>
            <w:r w:rsidRPr="008F022A">
              <w:rPr>
                <w:rFonts w:ascii="Arial" w:eastAsia="SimSun" w:hAnsi="Arial" w:cs="Arial"/>
                <w:sz w:val="16"/>
                <w:szCs w:val="16"/>
                <w:lang w:eastAsia="zh-CN"/>
              </w:rPr>
              <w:br/>
              <w:t>Patient must currently have WHO Functional Class III PAH or WHO Functional Class IV PAH; AND</w:t>
            </w:r>
            <w:r w:rsidRPr="008F022A">
              <w:rPr>
                <w:rFonts w:ascii="Arial" w:eastAsia="SimSun" w:hAnsi="Arial" w:cs="Arial"/>
                <w:sz w:val="16"/>
                <w:szCs w:val="16"/>
                <w:lang w:eastAsia="zh-CN"/>
              </w:rPr>
              <w:br/>
              <w:t>The treatment must be in combination with a PBS-subsidised endothelin receptor antagonist (ERA) for this condition.</w:t>
            </w:r>
            <w:r w:rsidRPr="008F022A">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8F022A">
              <w:rPr>
                <w:rFonts w:ascii="Arial" w:eastAsia="SimSun" w:hAnsi="Arial" w:cs="Arial"/>
                <w:sz w:val="16"/>
                <w:szCs w:val="16"/>
                <w:lang w:eastAsia="zh-CN"/>
              </w:rPr>
              <w:br/>
              <w:t>For the purposes of PBS subsidy, dual therapy refers to combined use of an endothelin receptor antagonist (ERA) and a phosphodiesterase-5 inhibitor (PDE-5i).</w:t>
            </w:r>
            <w:r w:rsidRPr="008F022A">
              <w:rPr>
                <w:rFonts w:ascii="Arial" w:eastAsia="SimSun" w:hAnsi="Arial" w:cs="Arial"/>
                <w:sz w:val="16"/>
                <w:szCs w:val="16"/>
                <w:lang w:eastAsia="zh-CN"/>
              </w:rPr>
              <w:br/>
              <w:t>(i) An ERA includes bosentan monohydrate, or macitentan.</w:t>
            </w:r>
            <w:r w:rsidRPr="008F022A">
              <w:rPr>
                <w:rFonts w:ascii="Arial" w:eastAsia="SimSun" w:hAnsi="Arial" w:cs="Arial"/>
                <w:sz w:val="16"/>
                <w:szCs w:val="16"/>
                <w:lang w:eastAsia="zh-CN"/>
              </w:rPr>
              <w:br/>
              <w:t>(ii) A PDE-5i includes sildenafil citrate, or tadalafil.</w:t>
            </w:r>
            <w:r w:rsidRPr="008F022A">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8F022A">
              <w:rPr>
                <w:rFonts w:ascii="Arial" w:eastAsia="SimSun" w:hAnsi="Arial" w:cs="Arial"/>
                <w:sz w:val="16"/>
                <w:szCs w:val="16"/>
                <w:lang w:eastAsia="zh-CN"/>
              </w:rPr>
              <w:br/>
              <w:t>PAH (WHO Group 1 pulmonary hypertension) is defined as follows:</w:t>
            </w:r>
            <w:r w:rsidRPr="008F022A">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8F022A">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8F022A">
              <w:rPr>
                <w:rFonts w:ascii="Arial" w:eastAsia="SimSun" w:hAnsi="Arial" w:cs="Arial"/>
                <w:sz w:val="16"/>
                <w:szCs w:val="16"/>
                <w:lang w:eastAsia="zh-CN"/>
              </w:rPr>
              <w:br/>
              <w:t>Applications for authorisation must be in writing and must include:</w:t>
            </w:r>
            <w:r w:rsidRPr="008F022A">
              <w:rPr>
                <w:rFonts w:ascii="Arial" w:eastAsia="SimSun" w:hAnsi="Arial" w:cs="Arial"/>
                <w:sz w:val="16"/>
                <w:szCs w:val="16"/>
                <w:lang w:eastAsia="zh-CN"/>
              </w:rPr>
              <w:br/>
              <w:t>(1) a completed authority prescription form; and</w:t>
            </w:r>
            <w:r w:rsidRPr="008F022A">
              <w:rPr>
                <w:rFonts w:ascii="Arial" w:eastAsia="SimSun" w:hAnsi="Arial" w:cs="Arial"/>
                <w:sz w:val="16"/>
                <w:szCs w:val="16"/>
                <w:lang w:eastAsia="zh-CN"/>
              </w:rPr>
              <w:br/>
              <w:t>(2) a completed Pulmonary Arterial Hypertension PBS Authority Application - Supporting Information form which includes results from the three tests below, where available:</w:t>
            </w:r>
            <w:r w:rsidRPr="008F022A">
              <w:rPr>
                <w:rFonts w:ascii="Arial" w:eastAsia="SimSun" w:hAnsi="Arial" w:cs="Arial"/>
                <w:sz w:val="16"/>
                <w:szCs w:val="16"/>
                <w:lang w:eastAsia="zh-CN"/>
              </w:rPr>
              <w:br/>
              <w:t>(i) RHC composite assessment; and</w:t>
            </w:r>
            <w:r w:rsidRPr="008F022A">
              <w:rPr>
                <w:rFonts w:ascii="Arial" w:eastAsia="SimSun" w:hAnsi="Arial" w:cs="Arial"/>
                <w:sz w:val="16"/>
                <w:szCs w:val="16"/>
                <w:lang w:eastAsia="zh-CN"/>
              </w:rPr>
              <w:br/>
              <w:t>(ii) ECHO composite assessment; and</w:t>
            </w:r>
            <w:r w:rsidRPr="008F022A">
              <w:rPr>
                <w:rFonts w:ascii="Arial" w:eastAsia="SimSun" w:hAnsi="Arial" w:cs="Arial"/>
                <w:sz w:val="16"/>
                <w:szCs w:val="16"/>
                <w:lang w:eastAsia="zh-CN"/>
              </w:rPr>
              <w:br/>
              <w:t>(iii) 6 Minute Walk Test (6MWT).</w:t>
            </w:r>
            <w:r w:rsidRPr="008F022A">
              <w:rPr>
                <w:rFonts w:ascii="Arial" w:eastAsia="SimSun" w:hAnsi="Arial" w:cs="Arial"/>
                <w:sz w:val="16"/>
                <w:szCs w:val="16"/>
                <w:lang w:eastAsia="zh-CN"/>
              </w:rPr>
              <w:br/>
              <w:t>Where it is not possible to perform all 3 tests on clinical grounds, the following list outlines the preferred test combination, in descending order, for the purposes of initiation of PBS-subsidised treatment:</w:t>
            </w:r>
            <w:r w:rsidRPr="008F022A">
              <w:rPr>
                <w:rFonts w:ascii="Arial" w:eastAsia="SimSun" w:hAnsi="Arial" w:cs="Arial"/>
                <w:sz w:val="16"/>
                <w:szCs w:val="16"/>
                <w:lang w:eastAsia="zh-CN"/>
              </w:rPr>
              <w:br/>
              <w:t>(1) RHC plus ECHO composite assessments;</w:t>
            </w:r>
            <w:r w:rsidRPr="008F022A">
              <w:rPr>
                <w:rFonts w:ascii="Arial" w:eastAsia="SimSun" w:hAnsi="Arial" w:cs="Arial"/>
                <w:sz w:val="16"/>
                <w:szCs w:val="16"/>
                <w:lang w:eastAsia="zh-CN"/>
              </w:rPr>
              <w:br/>
              <w:t>(2) RHC composite assessment plus 6MWT;</w:t>
            </w:r>
            <w:r w:rsidRPr="008F022A">
              <w:rPr>
                <w:rFonts w:ascii="Arial" w:eastAsia="SimSun" w:hAnsi="Arial" w:cs="Arial"/>
                <w:sz w:val="16"/>
                <w:szCs w:val="16"/>
                <w:lang w:eastAsia="zh-CN"/>
              </w:rPr>
              <w:br/>
              <w:t>(3) RHC composite assessment only.</w:t>
            </w:r>
            <w:r w:rsidRPr="008F022A">
              <w:rPr>
                <w:rFonts w:ascii="Arial" w:eastAsia="SimSun" w:hAnsi="Arial" w:cs="Arial"/>
                <w:sz w:val="16"/>
                <w:szCs w:val="16"/>
                <w:lang w:eastAsia="zh-CN"/>
              </w:rPr>
              <w:br/>
              <w:t>In circumstances where a RHC cannot be performed on clinical grounds, applications may be submitted for consideration based on the results of the following test combinations, which are listed in descending order of preference:</w:t>
            </w:r>
            <w:r w:rsidRPr="008F022A">
              <w:rPr>
                <w:rFonts w:ascii="Arial" w:eastAsia="SimSun" w:hAnsi="Arial" w:cs="Arial"/>
                <w:sz w:val="16"/>
                <w:szCs w:val="16"/>
                <w:lang w:eastAsia="zh-CN"/>
              </w:rPr>
              <w:br/>
              <w:t>(1) ECHO composite assessment plus 6MWT;</w:t>
            </w:r>
            <w:r w:rsidRPr="008F022A">
              <w:rPr>
                <w:rFonts w:ascii="Arial" w:eastAsia="SimSun" w:hAnsi="Arial" w:cs="Arial"/>
                <w:sz w:val="16"/>
                <w:szCs w:val="16"/>
                <w:lang w:eastAsia="zh-CN"/>
              </w:rPr>
              <w:br/>
              <w:t>(2) ECHO composite assessment only.</w:t>
            </w:r>
            <w:r w:rsidRPr="008F022A">
              <w:rPr>
                <w:rFonts w:ascii="Arial" w:eastAsia="SimSun" w:hAnsi="Arial" w:cs="Arial"/>
                <w:sz w:val="16"/>
                <w:szCs w:val="16"/>
                <w:lang w:eastAsia="zh-CN"/>
              </w:rPr>
              <w:br/>
              <w:t>Where fewer than 3 tests are able to be performed on clinical grounds, a patient specific reason outlining why the particular test(s) could not be conducted must be provided with the authority application.</w:t>
            </w:r>
            <w:r w:rsidRPr="008F022A">
              <w:rPr>
                <w:rFonts w:ascii="Arial" w:eastAsia="SimSun" w:hAnsi="Arial" w:cs="Arial"/>
                <w:sz w:val="16"/>
                <w:szCs w:val="16"/>
                <w:lang w:eastAsia="zh-CN"/>
              </w:rPr>
              <w:br/>
              <w:t>Where a RHC cannot be performed on clinical grounds, confirmation of the reason(s) must be provided with the authority application by a second PAH physician or cardiologist with expertise in the management of PAH.</w:t>
            </w:r>
            <w:r w:rsidRPr="008F022A">
              <w:rPr>
                <w:rFonts w:ascii="Arial" w:eastAsia="SimSun" w:hAnsi="Arial" w:cs="Arial"/>
                <w:sz w:val="16"/>
                <w:szCs w:val="16"/>
                <w:lang w:eastAsia="zh-CN"/>
              </w:rPr>
              <w:br/>
              <w:t>The test results provided must not be more than 2 months old at the time of application.</w:t>
            </w:r>
            <w:r w:rsidRPr="008F022A">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8F022A">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A85B1F" w:rsidRPr="003A13C5" w:rsidRDefault="00A85B1F"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Compliance with Written Authority Required procedures</w:t>
            </w:r>
          </w:p>
        </w:tc>
      </w:tr>
      <w:tr w:rsidR="00A85B1F" w:rsidRPr="00E106BD" w:rsidDel="00957246" w:rsidTr="008929EB">
        <w:tc>
          <w:tcPr>
            <w:tcW w:w="1729" w:type="dxa"/>
            <w:tcMar>
              <w:top w:w="28" w:type="dxa"/>
              <w:left w:w="28" w:type="dxa"/>
            </w:tcMar>
          </w:tcPr>
          <w:p w:rsidR="00A85B1F" w:rsidRPr="00E106BD" w:rsidDel="00957246" w:rsidRDefault="00A85B1F" w:rsidP="00881477">
            <w:pPr>
              <w:spacing w:line="240" w:lineRule="auto"/>
              <w:rPr>
                <w:rFonts w:ascii="Arial" w:eastAsia="SimSun" w:hAnsi="Arial" w:cs="Arial"/>
                <w:sz w:val="16"/>
                <w:szCs w:val="16"/>
                <w:lang w:eastAsia="zh-CN"/>
              </w:rPr>
            </w:pPr>
          </w:p>
        </w:tc>
        <w:tc>
          <w:tcPr>
            <w:tcW w:w="709" w:type="dxa"/>
            <w:tcMar>
              <w:top w:w="28" w:type="dxa"/>
              <w:left w:w="28" w:type="dxa"/>
            </w:tcMar>
          </w:tcPr>
          <w:p w:rsidR="00A85B1F" w:rsidRPr="008F022A" w:rsidRDefault="00A85B1F"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C10731</w:t>
            </w:r>
          </w:p>
        </w:tc>
        <w:tc>
          <w:tcPr>
            <w:tcW w:w="709" w:type="dxa"/>
            <w:tcMar>
              <w:top w:w="28" w:type="dxa"/>
              <w:left w:w="28" w:type="dxa"/>
            </w:tcMar>
          </w:tcPr>
          <w:p w:rsidR="00A85B1F" w:rsidRPr="00E106BD" w:rsidDel="00957246" w:rsidRDefault="00A85B1F" w:rsidP="00881477">
            <w:pPr>
              <w:spacing w:line="240" w:lineRule="auto"/>
              <w:rPr>
                <w:rFonts w:ascii="Arial" w:eastAsia="SimSun" w:hAnsi="Arial" w:cs="Arial"/>
                <w:sz w:val="16"/>
                <w:szCs w:val="16"/>
                <w:lang w:eastAsia="zh-CN"/>
              </w:rPr>
            </w:pPr>
          </w:p>
        </w:tc>
        <w:tc>
          <w:tcPr>
            <w:tcW w:w="7654" w:type="dxa"/>
            <w:tcMar>
              <w:top w:w="28" w:type="dxa"/>
              <w:left w:w="28" w:type="dxa"/>
            </w:tcMar>
          </w:tcPr>
          <w:p w:rsidR="00A85B1F" w:rsidRPr="003A13C5" w:rsidRDefault="00A85B1F"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Pulmonary arterial hypertension (PAH)</w:t>
            </w:r>
            <w:r w:rsidRPr="008F022A">
              <w:rPr>
                <w:rFonts w:ascii="Arial" w:eastAsia="SimSun" w:hAnsi="Arial" w:cs="Arial"/>
                <w:sz w:val="16"/>
                <w:szCs w:val="16"/>
                <w:lang w:eastAsia="zh-CN"/>
              </w:rPr>
              <w:br/>
              <w:t>Initial 2 (dual therapy - previously treated patients)</w:t>
            </w:r>
            <w:r w:rsidRPr="008F022A">
              <w:rPr>
                <w:rFonts w:ascii="Arial" w:eastAsia="SimSun" w:hAnsi="Arial" w:cs="Arial"/>
                <w:sz w:val="16"/>
                <w:szCs w:val="16"/>
                <w:lang w:eastAsia="zh-CN"/>
              </w:rPr>
              <w:br/>
              <w:t>Patient must have documented WHO Functional Class III PAH or WHO Functional Class IV PAH; AND</w:t>
            </w:r>
            <w:r w:rsidRPr="008F022A">
              <w:rPr>
                <w:rFonts w:ascii="Arial" w:eastAsia="SimSun" w:hAnsi="Arial" w:cs="Arial"/>
                <w:sz w:val="16"/>
                <w:szCs w:val="16"/>
                <w:lang w:eastAsia="zh-CN"/>
              </w:rPr>
              <w:br/>
              <w:t>Patient must have documented a failure to achieve or maintain WHO Functional Class II status with prior PBS-subsidised monotherapy treatment with an endothelin receptor antagonist (ERA) for this condition; AND</w:t>
            </w:r>
            <w:r w:rsidRPr="008F022A">
              <w:rPr>
                <w:rFonts w:ascii="Arial" w:eastAsia="SimSun" w:hAnsi="Arial" w:cs="Arial"/>
                <w:sz w:val="16"/>
                <w:szCs w:val="16"/>
                <w:lang w:eastAsia="zh-CN"/>
              </w:rPr>
              <w:br/>
              <w:t>The treatment must be in combination with a PBS-subsidised endothelin receptor antagonist (ERA) for this condition.</w:t>
            </w:r>
            <w:r w:rsidRPr="008F022A">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8F022A">
              <w:rPr>
                <w:rFonts w:ascii="Arial" w:eastAsia="SimSun" w:hAnsi="Arial" w:cs="Arial"/>
                <w:sz w:val="16"/>
                <w:szCs w:val="16"/>
                <w:lang w:eastAsia="zh-CN"/>
              </w:rPr>
              <w:br/>
              <w:t>For the purposes of PBS subsidy, dual therapy refers to combined use of an endothelin receptor antagonist (ERA) and a phosphodiesterase-5 inhibitor (PDE-5i).</w:t>
            </w:r>
            <w:r w:rsidRPr="008F022A">
              <w:rPr>
                <w:rFonts w:ascii="Arial" w:eastAsia="SimSun" w:hAnsi="Arial" w:cs="Arial"/>
                <w:sz w:val="16"/>
                <w:szCs w:val="16"/>
                <w:lang w:eastAsia="zh-CN"/>
              </w:rPr>
              <w:br/>
              <w:t>(i) An ERA includes bosentan monohydrate, or macitentan.</w:t>
            </w:r>
            <w:r w:rsidRPr="008F022A">
              <w:rPr>
                <w:rFonts w:ascii="Arial" w:eastAsia="SimSun" w:hAnsi="Arial" w:cs="Arial"/>
                <w:sz w:val="16"/>
                <w:szCs w:val="16"/>
                <w:lang w:eastAsia="zh-CN"/>
              </w:rPr>
              <w:br/>
              <w:t>(ii) A PDE-5i includes sildenafil citrate, or tadalafil.</w:t>
            </w:r>
            <w:r w:rsidRPr="008F022A">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8F022A">
              <w:rPr>
                <w:rFonts w:ascii="Arial" w:eastAsia="SimSun" w:hAnsi="Arial" w:cs="Arial"/>
                <w:sz w:val="16"/>
                <w:szCs w:val="16"/>
                <w:lang w:eastAsia="zh-CN"/>
              </w:rPr>
              <w:br/>
              <w:t>PAH (WHO Group 1 pulmonary hypertension) is defined as follows:</w:t>
            </w:r>
            <w:r w:rsidRPr="008F022A">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8F022A">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8F022A">
              <w:rPr>
                <w:rFonts w:ascii="Arial" w:eastAsia="SimSun" w:hAnsi="Arial" w:cs="Arial"/>
                <w:sz w:val="16"/>
                <w:szCs w:val="16"/>
                <w:lang w:eastAsia="zh-CN"/>
              </w:rPr>
              <w:br/>
              <w:t>The results and date of the RHC, ECHO and 6 MWT as applicable must be included in the patient's medical record. Where a RHC cannot be performed on clinical grounds, the written confirmation of the reasons why must also be included in the patient's medical record.</w:t>
            </w:r>
            <w:r w:rsidRPr="008F022A">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8F022A">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A85B1F" w:rsidRPr="003A13C5" w:rsidRDefault="00A85B1F"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Compliance with Authority Required procedures</w:t>
            </w:r>
          </w:p>
        </w:tc>
      </w:tr>
      <w:tr w:rsidR="00A85B1F" w:rsidRPr="00E106BD" w:rsidDel="00957246" w:rsidTr="008929EB">
        <w:tc>
          <w:tcPr>
            <w:tcW w:w="1729" w:type="dxa"/>
            <w:tcMar>
              <w:top w:w="28" w:type="dxa"/>
              <w:left w:w="28" w:type="dxa"/>
            </w:tcMar>
          </w:tcPr>
          <w:p w:rsidR="00A85B1F" w:rsidRPr="00E106BD" w:rsidDel="00957246" w:rsidRDefault="00A85B1F" w:rsidP="00881477">
            <w:pPr>
              <w:spacing w:line="240" w:lineRule="auto"/>
              <w:rPr>
                <w:rFonts w:ascii="Arial" w:eastAsia="SimSun" w:hAnsi="Arial" w:cs="Arial"/>
                <w:sz w:val="16"/>
                <w:szCs w:val="16"/>
                <w:lang w:eastAsia="zh-CN"/>
              </w:rPr>
            </w:pPr>
          </w:p>
        </w:tc>
        <w:tc>
          <w:tcPr>
            <w:tcW w:w="709" w:type="dxa"/>
            <w:tcMar>
              <w:top w:w="28" w:type="dxa"/>
              <w:left w:w="28" w:type="dxa"/>
            </w:tcMar>
          </w:tcPr>
          <w:p w:rsidR="00A85B1F" w:rsidRPr="008F022A" w:rsidRDefault="00A85B1F"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C10732</w:t>
            </w:r>
          </w:p>
        </w:tc>
        <w:tc>
          <w:tcPr>
            <w:tcW w:w="709" w:type="dxa"/>
            <w:tcMar>
              <w:top w:w="28" w:type="dxa"/>
              <w:left w:w="28" w:type="dxa"/>
            </w:tcMar>
          </w:tcPr>
          <w:p w:rsidR="00A85B1F" w:rsidRPr="00E106BD" w:rsidDel="00957246" w:rsidRDefault="00A85B1F" w:rsidP="00881477">
            <w:pPr>
              <w:spacing w:line="240" w:lineRule="auto"/>
              <w:rPr>
                <w:rFonts w:ascii="Arial" w:eastAsia="SimSun" w:hAnsi="Arial" w:cs="Arial"/>
                <w:sz w:val="16"/>
                <w:szCs w:val="16"/>
                <w:lang w:eastAsia="zh-CN"/>
              </w:rPr>
            </w:pPr>
          </w:p>
        </w:tc>
        <w:tc>
          <w:tcPr>
            <w:tcW w:w="7654" w:type="dxa"/>
            <w:tcMar>
              <w:top w:w="28" w:type="dxa"/>
              <w:left w:w="28" w:type="dxa"/>
            </w:tcMar>
          </w:tcPr>
          <w:p w:rsidR="00A85B1F" w:rsidRPr="003A13C5" w:rsidRDefault="00A85B1F"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Pulmonary arterial hypertension (PAH)</w:t>
            </w:r>
            <w:r w:rsidRPr="008F022A">
              <w:rPr>
                <w:rFonts w:ascii="Arial" w:eastAsia="SimSun" w:hAnsi="Arial" w:cs="Arial"/>
                <w:sz w:val="16"/>
                <w:szCs w:val="16"/>
                <w:lang w:eastAsia="zh-CN"/>
              </w:rPr>
              <w:br/>
              <w:t>Continuing treatment (dual therapy)</w:t>
            </w:r>
            <w:r w:rsidRPr="008F022A">
              <w:rPr>
                <w:rFonts w:ascii="Arial" w:eastAsia="SimSun" w:hAnsi="Arial" w:cs="Arial"/>
                <w:sz w:val="16"/>
                <w:szCs w:val="16"/>
                <w:lang w:eastAsia="zh-CN"/>
              </w:rPr>
              <w:br/>
              <w:t>Patient must have received their most recent course of PBS-subsidised treatment with this PAH agent and an endothelin receptor antagonist (ERA) for this condition.</w:t>
            </w:r>
            <w:r w:rsidRPr="008F022A">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8F022A">
              <w:rPr>
                <w:rFonts w:ascii="Arial" w:eastAsia="SimSun" w:hAnsi="Arial" w:cs="Arial"/>
                <w:sz w:val="16"/>
                <w:szCs w:val="16"/>
                <w:lang w:eastAsia="zh-CN"/>
              </w:rPr>
              <w:br/>
              <w:t>For the purposes of PBS subsidy, dual therapy refers to combined use of an endothelin receptor antagonist (ERA) and a phosphodiesterase-5 inhibitor (PDE-5i).</w:t>
            </w:r>
            <w:r w:rsidRPr="008F022A">
              <w:rPr>
                <w:rFonts w:ascii="Arial" w:eastAsia="SimSun" w:hAnsi="Arial" w:cs="Arial"/>
                <w:sz w:val="16"/>
                <w:szCs w:val="16"/>
                <w:lang w:eastAsia="zh-CN"/>
              </w:rPr>
              <w:br/>
              <w:t>(i) An ERA includes bosentan monohydrate, or macitentan.</w:t>
            </w:r>
            <w:r w:rsidRPr="008F022A">
              <w:rPr>
                <w:rFonts w:ascii="Arial" w:eastAsia="SimSun" w:hAnsi="Arial" w:cs="Arial"/>
                <w:sz w:val="16"/>
                <w:szCs w:val="16"/>
                <w:lang w:eastAsia="zh-CN"/>
              </w:rPr>
              <w:br/>
              <w:t>(ii) A PDE-5i includes sildenafil citrate, or tadalafil.</w:t>
            </w:r>
            <w:r w:rsidRPr="008F022A">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8F022A">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8F022A">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A85B1F" w:rsidRPr="003A13C5" w:rsidRDefault="00A85B1F"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Compliance with Authority Required procedures</w:t>
            </w:r>
          </w:p>
        </w:tc>
      </w:tr>
      <w:tr w:rsidR="00A85B1F" w:rsidRPr="00E106BD" w:rsidDel="00957246" w:rsidTr="008929EB">
        <w:tc>
          <w:tcPr>
            <w:tcW w:w="1729" w:type="dxa"/>
            <w:tcMar>
              <w:top w:w="28" w:type="dxa"/>
              <w:left w:w="28" w:type="dxa"/>
            </w:tcMar>
          </w:tcPr>
          <w:p w:rsidR="00A85B1F" w:rsidRPr="00E106BD" w:rsidDel="00957246" w:rsidRDefault="00A85B1F" w:rsidP="00881477">
            <w:pPr>
              <w:spacing w:line="240" w:lineRule="auto"/>
              <w:rPr>
                <w:rFonts w:ascii="Arial" w:eastAsia="SimSun" w:hAnsi="Arial" w:cs="Arial"/>
                <w:sz w:val="16"/>
                <w:szCs w:val="16"/>
                <w:lang w:eastAsia="zh-CN"/>
              </w:rPr>
            </w:pPr>
          </w:p>
        </w:tc>
        <w:tc>
          <w:tcPr>
            <w:tcW w:w="709" w:type="dxa"/>
            <w:tcMar>
              <w:top w:w="28" w:type="dxa"/>
              <w:left w:w="28" w:type="dxa"/>
            </w:tcMar>
          </w:tcPr>
          <w:p w:rsidR="00A85B1F" w:rsidRPr="008F022A" w:rsidRDefault="00A85B1F"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C10733</w:t>
            </w:r>
          </w:p>
        </w:tc>
        <w:tc>
          <w:tcPr>
            <w:tcW w:w="709" w:type="dxa"/>
            <w:tcMar>
              <w:top w:w="28" w:type="dxa"/>
              <w:left w:w="28" w:type="dxa"/>
            </w:tcMar>
          </w:tcPr>
          <w:p w:rsidR="00A85B1F" w:rsidRPr="00E106BD" w:rsidDel="00957246" w:rsidRDefault="00A85B1F" w:rsidP="00881477">
            <w:pPr>
              <w:spacing w:line="240" w:lineRule="auto"/>
              <w:rPr>
                <w:rFonts w:ascii="Arial" w:eastAsia="SimSun" w:hAnsi="Arial" w:cs="Arial"/>
                <w:sz w:val="16"/>
                <w:szCs w:val="16"/>
                <w:lang w:eastAsia="zh-CN"/>
              </w:rPr>
            </w:pPr>
          </w:p>
        </w:tc>
        <w:tc>
          <w:tcPr>
            <w:tcW w:w="7654" w:type="dxa"/>
            <w:tcMar>
              <w:top w:w="28" w:type="dxa"/>
              <w:left w:w="28" w:type="dxa"/>
            </w:tcMar>
          </w:tcPr>
          <w:p w:rsidR="00A85B1F" w:rsidRPr="003A13C5" w:rsidRDefault="00A85B1F"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Pulmonary arterial hypertension (PAH)</w:t>
            </w:r>
            <w:r w:rsidRPr="008F022A">
              <w:rPr>
                <w:rFonts w:ascii="Arial" w:eastAsia="SimSun" w:hAnsi="Arial" w:cs="Arial"/>
                <w:sz w:val="16"/>
                <w:szCs w:val="16"/>
                <w:lang w:eastAsia="zh-CN"/>
              </w:rPr>
              <w:br/>
              <w:t>Grandfathered patients (dual therapy)</w:t>
            </w:r>
            <w:r w:rsidRPr="008F022A">
              <w:rPr>
                <w:rFonts w:ascii="Arial" w:eastAsia="SimSun" w:hAnsi="Arial" w:cs="Arial"/>
                <w:sz w:val="16"/>
                <w:szCs w:val="16"/>
                <w:lang w:eastAsia="zh-CN"/>
              </w:rPr>
              <w:br/>
              <w:t>Patient must be receiving dual therapy with this non PBS-subsidised pulmonary arterial hypertension (PAH) agent and a non PBS-subsidised endothelin receptor antagonist (ERA) for this condition prior to 1 October 2020; AND</w:t>
            </w:r>
            <w:r w:rsidRPr="008F022A">
              <w:rPr>
                <w:rFonts w:ascii="Arial" w:eastAsia="SimSun" w:hAnsi="Arial" w:cs="Arial"/>
                <w:sz w:val="16"/>
                <w:szCs w:val="16"/>
                <w:lang w:eastAsia="zh-CN"/>
              </w:rPr>
              <w:br/>
              <w:t>Patient must have been assessed by a physician with expertise in the management of PAH; AND</w:t>
            </w:r>
            <w:r w:rsidRPr="008F022A">
              <w:rPr>
                <w:rFonts w:ascii="Arial" w:eastAsia="SimSun" w:hAnsi="Arial" w:cs="Arial"/>
                <w:sz w:val="16"/>
                <w:szCs w:val="16"/>
                <w:lang w:eastAsia="zh-CN"/>
              </w:rPr>
              <w:br/>
              <w:t>Patient must have documented WHO Functional Class III PAH or WHO Functional Class IV PAH.</w:t>
            </w:r>
            <w:r w:rsidRPr="008F022A">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8F022A">
              <w:rPr>
                <w:rFonts w:ascii="Arial" w:eastAsia="SimSun" w:hAnsi="Arial" w:cs="Arial"/>
                <w:sz w:val="16"/>
                <w:szCs w:val="16"/>
                <w:lang w:eastAsia="zh-CN"/>
              </w:rPr>
              <w:br/>
              <w:t>For the purposes of PBS subsidy, dual therapy refers to combined use of an endothelin receptor antagonist (ERA) and a phosphodiesterase-5 inhibitor (PDE-5i).</w:t>
            </w:r>
            <w:r w:rsidRPr="008F022A">
              <w:rPr>
                <w:rFonts w:ascii="Arial" w:eastAsia="SimSun" w:hAnsi="Arial" w:cs="Arial"/>
                <w:sz w:val="16"/>
                <w:szCs w:val="16"/>
                <w:lang w:eastAsia="zh-CN"/>
              </w:rPr>
              <w:br/>
              <w:t>(i) An ERA includes bosentan monohydrate, or macitentan.</w:t>
            </w:r>
            <w:r w:rsidRPr="008F022A">
              <w:rPr>
                <w:rFonts w:ascii="Arial" w:eastAsia="SimSun" w:hAnsi="Arial" w:cs="Arial"/>
                <w:sz w:val="16"/>
                <w:szCs w:val="16"/>
                <w:lang w:eastAsia="zh-CN"/>
              </w:rPr>
              <w:br/>
              <w:t>(ii) A PDE-5i includes sildenafil citrate, or tadalafil.</w:t>
            </w:r>
            <w:r w:rsidRPr="008F022A">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8F022A">
              <w:rPr>
                <w:rFonts w:ascii="Arial" w:eastAsia="SimSun" w:hAnsi="Arial" w:cs="Arial"/>
                <w:sz w:val="16"/>
                <w:szCs w:val="16"/>
                <w:lang w:eastAsia="zh-CN"/>
              </w:rPr>
              <w:br/>
              <w:t>PAH (WHO Group 1 pulmonary hypertension) is defined as follows:</w:t>
            </w:r>
            <w:r w:rsidRPr="008F022A">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8F022A">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8F022A">
              <w:rPr>
                <w:rFonts w:ascii="Arial" w:eastAsia="SimSun" w:hAnsi="Arial" w:cs="Arial"/>
                <w:sz w:val="16"/>
                <w:szCs w:val="16"/>
                <w:lang w:eastAsia="zh-CN"/>
              </w:rPr>
              <w:br/>
              <w:t>Applications for authorisation must be in writing and must include:</w:t>
            </w:r>
            <w:r w:rsidRPr="008F022A">
              <w:rPr>
                <w:rFonts w:ascii="Arial" w:eastAsia="SimSun" w:hAnsi="Arial" w:cs="Arial"/>
                <w:sz w:val="16"/>
                <w:szCs w:val="16"/>
                <w:lang w:eastAsia="zh-CN"/>
              </w:rPr>
              <w:br/>
              <w:t>(1) a completed authority prescription form; and</w:t>
            </w:r>
            <w:r w:rsidRPr="008F022A">
              <w:rPr>
                <w:rFonts w:ascii="Arial" w:eastAsia="SimSun" w:hAnsi="Arial" w:cs="Arial"/>
                <w:sz w:val="16"/>
                <w:szCs w:val="16"/>
                <w:lang w:eastAsia="zh-CN"/>
              </w:rPr>
              <w:br/>
              <w:t>(2) a completed Pulmonary Arterial Hypertension PBS Authority Application - Supporting Information form which includes results from the three tests below, where available:</w:t>
            </w:r>
            <w:r w:rsidRPr="008F022A">
              <w:rPr>
                <w:rFonts w:ascii="Arial" w:eastAsia="SimSun" w:hAnsi="Arial" w:cs="Arial"/>
                <w:sz w:val="16"/>
                <w:szCs w:val="16"/>
                <w:lang w:eastAsia="zh-CN"/>
              </w:rPr>
              <w:br/>
              <w:t>(i) RHC composite assessment; and</w:t>
            </w:r>
            <w:r w:rsidRPr="008F022A">
              <w:rPr>
                <w:rFonts w:ascii="Arial" w:eastAsia="SimSun" w:hAnsi="Arial" w:cs="Arial"/>
                <w:sz w:val="16"/>
                <w:szCs w:val="16"/>
                <w:lang w:eastAsia="zh-CN"/>
              </w:rPr>
              <w:br/>
              <w:t>(ii) ECHO composite assessment; and</w:t>
            </w:r>
            <w:r w:rsidRPr="008F022A">
              <w:rPr>
                <w:rFonts w:ascii="Arial" w:eastAsia="SimSun" w:hAnsi="Arial" w:cs="Arial"/>
                <w:sz w:val="16"/>
                <w:szCs w:val="16"/>
                <w:lang w:eastAsia="zh-CN"/>
              </w:rPr>
              <w:br/>
              <w:t>(iii) 6 Minute Walk Test (6MWT).</w:t>
            </w:r>
            <w:r w:rsidRPr="008F022A">
              <w:rPr>
                <w:rFonts w:ascii="Arial" w:eastAsia="SimSun" w:hAnsi="Arial" w:cs="Arial"/>
                <w:sz w:val="16"/>
                <w:szCs w:val="16"/>
                <w:lang w:eastAsia="zh-CN"/>
              </w:rPr>
              <w:br/>
              <w:t>Where it was not possible to perform all 3 tests on clinical grounds, the following list outlines the preferred test combination, in descending order, for the purposes of initiation of PBS-subsidised treatment:</w:t>
            </w:r>
            <w:r w:rsidRPr="008F022A">
              <w:rPr>
                <w:rFonts w:ascii="Arial" w:eastAsia="SimSun" w:hAnsi="Arial" w:cs="Arial"/>
                <w:sz w:val="16"/>
                <w:szCs w:val="16"/>
                <w:lang w:eastAsia="zh-CN"/>
              </w:rPr>
              <w:br/>
              <w:t>(1) RHC plus ECHO composite assessments;</w:t>
            </w:r>
            <w:r w:rsidRPr="008F022A">
              <w:rPr>
                <w:rFonts w:ascii="Arial" w:eastAsia="SimSun" w:hAnsi="Arial" w:cs="Arial"/>
                <w:sz w:val="16"/>
                <w:szCs w:val="16"/>
                <w:lang w:eastAsia="zh-CN"/>
              </w:rPr>
              <w:br/>
              <w:t>(2) RHC composite assessment plus 6MWT;</w:t>
            </w:r>
            <w:r w:rsidRPr="008F022A">
              <w:rPr>
                <w:rFonts w:ascii="Arial" w:eastAsia="SimSun" w:hAnsi="Arial" w:cs="Arial"/>
                <w:sz w:val="16"/>
                <w:szCs w:val="16"/>
                <w:lang w:eastAsia="zh-CN"/>
              </w:rPr>
              <w:br/>
              <w:t>(3) RHC composite assessment only.</w:t>
            </w:r>
            <w:r w:rsidRPr="008F022A">
              <w:rPr>
                <w:rFonts w:ascii="Arial" w:eastAsia="SimSun" w:hAnsi="Arial" w:cs="Arial"/>
                <w:sz w:val="16"/>
                <w:szCs w:val="16"/>
                <w:lang w:eastAsia="zh-CN"/>
              </w:rPr>
              <w:br/>
              <w:t>In circumstances where a RHC could not be performed on clinical grounds, applications may be submitted for consideration based on the results of the following test combinations, which are listed in descending order of preference:</w:t>
            </w:r>
            <w:r w:rsidRPr="008F022A">
              <w:rPr>
                <w:rFonts w:ascii="Arial" w:eastAsia="SimSun" w:hAnsi="Arial" w:cs="Arial"/>
                <w:sz w:val="16"/>
                <w:szCs w:val="16"/>
                <w:lang w:eastAsia="zh-CN"/>
              </w:rPr>
              <w:br/>
              <w:t>(1) ECHO composite assessment plus 6MWT;</w:t>
            </w:r>
            <w:r w:rsidRPr="008F022A">
              <w:rPr>
                <w:rFonts w:ascii="Arial" w:eastAsia="SimSun" w:hAnsi="Arial" w:cs="Arial"/>
                <w:sz w:val="16"/>
                <w:szCs w:val="16"/>
                <w:lang w:eastAsia="zh-CN"/>
              </w:rPr>
              <w:br/>
              <w:t>(2) ECHO composite assessment only.</w:t>
            </w:r>
            <w:r w:rsidRPr="008F022A">
              <w:rPr>
                <w:rFonts w:ascii="Arial" w:eastAsia="SimSun" w:hAnsi="Arial" w:cs="Arial"/>
                <w:sz w:val="16"/>
                <w:szCs w:val="16"/>
                <w:lang w:eastAsia="zh-CN"/>
              </w:rPr>
              <w:br/>
              <w:t>Where fewer than 3 tests were able to be performed on clinical grounds, a patient specific reason outlining why the particular test(s) could not be conducted must be provided with the authority application.</w:t>
            </w:r>
            <w:r w:rsidRPr="008F022A">
              <w:rPr>
                <w:rFonts w:ascii="Arial" w:eastAsia="SimSun" w:hAnsi="Arial" w:cs="Arial"/>
                <w:sz w:val="16"/>
                <w:szCs w:val="16"/>
                <w:lang w:eastAsia="zh-CN"/>
              </w:rPr>
              <w:br/>
              <w:t>Where a RHC could not be performed on clinical grounds, confirmation of the reason(s) must be provided with the authority application by a second PAH physician or cardiologist with expertise in the management of PAH.</w:t>
            </w:r>
            <w:r w:rsidRPr="008F022A">
              <w:rPr>
                <w:rFonts w:ascii="Arial" w:eastAsia="SimSun" w:hAnsi="Arial" w:cs="Arial"/>
                <w:sz w:val="16"/>
                <w:szCs w:val="16"/>
                <w:lang w:eastAsia="zh-CN"/>
              </w:rPr>
              <w:br/>
              <w:t>A patient may qualify for PBS-subsidised treatment under this restriction once only. For continuing PBS-subsidised treatment, a Grandfathered patient must qualify under the Continuing treatment criteria for dual therapy for this condition.</w:t>
            </w:r>
            <w:r w:rsidRPr="008F022A">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8F022A">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A85B1F" w:rsidRPr="003A13C5" w:rsidRDefault="00A85B1F"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Compliance with Written Authority Required procedures</w:t>
            </w:r>
          </w:p>
        </w:tc>
      </w:tr>
      <w:tr w:rsidR="00A85B1F" w:rsidRPr="00E106BD" w:rsidDel="00957246" w:rsidTr="008929EB">
        <w:tc>
          <w:tcPr>
            <w:tcW w:w="1729" w:type="dxa"/>
            <w:tcMar>
              <w:top w:w="28" w:type="dxa"/>
              <w:left w:w="28" w:type="dxa"/>
            </w:tcMar>
          </w:tcPr>
          <w:p w:rsidR="00A85B1F" w:rsidRPr="00E106BD" w:rsidDel="00957246" w:rsidRDefault="00A85B1F" w:rsidP="00881477">
            <w:pPr>
              <w:spacing w:line="240" w:lineRule="auto"/>
              <w:rPr>
                <w:rFonts w:ascii="Arial" w:eastAsia="SimSun" w:hAnsi="Arial" w:cs="Arial"/>
                <w:sz w:val="16"/>
                <w:szCs w:val="16"/>
                <w:lang w:eastAsia="zh-CN"/>
              </w:rPr>
            </w:pPr>
          </w:p>
        </w:tc>
        <w:tc>
          <w:tcPr>
            <w:tcW w:w="709" w:type="dxa"/>
            <w:tcMar>
              <w:top w:w="28" w:type="dxa"/>
              <w:left w:w="28" w:type="dxa"/>
            </w:tcMar>
          </w:tcPr>
          <w:p w:rsidR="00A85B1F" w:rsidRPr="008F022A" w:rsidRDefault="00A85B1F"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C10799</w:t>
            </w:r>
          </w:p>
        </w:tc>
        <w:tc>
          <w:tcPr>
            <w:tcW w:w="709" w:type="dxa"/>
            <w:tcMar>
              <w:top w:w="28" w:type="dxa"/>
              <w:left w:w="28" w:type="dxa"/>
            </w:tcMar>
          </w:tcPr>
          <w:p w:rsidR="00A85B1F" w:rsidRPr="00E106BD" w:rsidDel="00957246" w:rsidRDefault="00A85B1F" w:rsidP="00881477">
            <w:pPr>
              <w:spacing w:line="240" w:lineRule="auto"/>
              <w:rPr>
                <w:rFonts w:ascii="Arial" w:eastAsia="SimSun" w:hAnsi="Arial" w:cs="Arial"/>
                <w:sz w:val="16"/>
                <w:szCs w:val="16"/>
                <w:lang w:eastAsia="zh-CN"/>
              </w:rPr>
            </w:pPr>
          </w:p>
        </w:tc>
        <w:tc>
          <w:tcPr>
            <w:tcW w:w="7654" w:type="dxa"/>
            <w:tcMar>
              <w:top w:w="28" w:type="dxa"/>
              <w:left w:w="28" w:type="dxa"/>
            </w:tcMar>
          </w:tcPr>
          <w:p w:rsidR="00A85B1F" w:rsidRPr="003A13C5" w:rsidRDefault="00A85B1F"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Pulmonary arterial hypertension (PAH)</w:t>
            </w:r>
            <w:r w:rsidRPr="008F022A">
              <w:rPr>
                <w:rFonts w:ascii="Arial" w:eastAsia="SimSun" w:hAnsi="Arial" w:cs="Arial"/>
                <w:sz w:val="16"/>
                <w:szCs w:val="16"/>
                <w:lang w:eastAsia="zh-CN"/>
              </w:rPr>
              <w:br/>
              <w:t>Initial 3 (dual therapy - change)</w:t>
            </w:r>
            <w:r w:rsidRPr="008F022A">
              <w:rPr>
                <w:rFonts w:ascii="Arial" w:eastAsia="SimSun" w:hAnsi="Arial" w:cs="Arial"/>
                <w:sz w:val="16"/>
                <w:szCs w:val="16"/>
                <w:lang w:eastAsia="zh-CN"/>
              </w:rPr>
              <w:br/>
              <w:t>Patient must have had their most recent course of PBS-subsidised dual therapy with an endothelin receptor antagonist (ERA) and a phosphodiesterase-5 inhibitor (PDE-5i) other than this agent for this condition.</w:t>
            </w:r>
            <w:r w:rsidRPr="008F022A">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8F022A">
              <w:rPr>
                <w:rFonts w:ascii="Arial" w:eastAsia="SimSun" w:hAnsi="Arial" w:cs="Arial"/>
                <w:sz w:val="16"/>
                <w:szCs w:val="16"/>
                <w:lang w:eastAsia="zh-CN"/>
              </w:rPr>
              <w:br/>
              <w:t>For the purposes of PBS subsidy, dual therapy refers to combined use of an endothelin receptor antagonist (ERA) and a phosphodiesterase-5 inhibitor (PDE-5i).</w:t>
            </w:r>
            <w:r w:rsidRPr="008F022A">
              <w:rPr>
                <w:rFonts w:ascii="Arial" w:eastAsia="SimSun" w:hAnsi="Arial" w:cs="Arial"/>
                <w:sz w:val="16"/>
                <w:szCs w:val="16"/>
                <w:lang w:eastAsia="zh-CN"/>
              </w:rPr>
              <w:br/>
              <w:t>(i) An ERA includes bosentan monohydrate, or macitentan.</w:t>
            </w:r>
            <w:r w:rsidRPr="008F022A">
              <w:rPr>
                <w:rFonts w:ascii="Arial" w:eastAsia="SimSun" w:hAnsi="Arial" w:cs="Arial"/>
                <w:sz w:val="16"/>
                <w:szCs w:val="16"/>
                <w:lang w:eastAsia="zh-CN"/>
              </w:rPr>
              <w:br/>
              <w:t>(ii) A PDE-5i includes sildenafil citrate, or tadalafil.</w:t>
            </w:r>
            <w:r w:rsidRPr="008F022A">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8F022A">
              <w:rPr>
                <w:rFonts w:ascii="Arial" w:eastAsia="SimSun" w:hAnsi="Arial" w:cs="Arial"/>
                <w:sz w:val="16"/>
                <w:szCs w:val="16"/>
                <w:lang w:eastAsia="zh-CN"/>
              </w:rPr>
              <w:br/>
              <w:t>Swapping between PAH agents: Patients can access PAH agents through the PBS according to the relevant restrictions.</w:t>
            </w:r>
            <w:r w:rsidRPr="008F022A">
              <w:rPr>
                <w:rFonts w:ascii="Arial" w:eastAsia="SimSun" w:hAnsi="Arial" w:cs="Arial"/>
                <w:sz w:val="16"/>
                <w:szCs w:val="16"/>
                <w:lang w:eastAsia="zh-CN"/>
              </w:rPr>
              <w:br/>
              <w:t>Once patients are approved dual therapy with a PAH agent from the PDE-5i class; or a PAH agent from the ERA class, they may swap between PAH agents within the same class. This means that patients may commence treatment with another PAH agent in the same class, subject to that agent's restriction, irrespective of the severity of their disease at the time the application to swap therapy is submitted.</w:t>
            </w:r>
            <w:r w:rsidRPr="008F022A">
              <w:rPr>
                <w:rFonts w:ascii="Arial" w:eastAsia="SimSun" w:hAnsi="Arial" w:cs="Arial"/>
                <w:sz w:val="16"/>
                <w:szCs w:val="16"/>
                <w:lang w:eastAsia="zh-CN"/>
              </w:rPr>
              <w:br/>
              <w:t>Applications to swap within a PAH agent class must be made under the relevant initial treatment restriction.</w:t>
            </w:r>
            <w:r w:rsidRPr="008F022A">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8F022A">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A85B1F" w:rsidRPr="003A13C5" w:rsidRDefault="00A85B1F"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Compliance with Authority Required procedures</w:t>
            </w:r>
          </w:p>
        </w:tc>
      </w:tr>
      <w:tr w:rsidR="005C4E1C" w:rsidRPr="00E106BD" w:rsidDel="00EF799C" w:rsidTr="008929EB">
        <w:tc>
          <w:tcPr>
            <w:tcW w:w="172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bookmarkStart w:id="254" w:name="CU_535839170"/>
            <w:bookmarkStart w:id="255" w:name="CU_536840475"/>
            <w:bookmarkStart w:id="256" w:name="CU_537844843"/>
            <w:bookmarkStart w:id="257" w:name="CU_538850720"/>
            <w:bookmarkEnd w:id="254"/>
            <w:bookmarkEnd w:id="255"/>
            <w:bookmarkEnd w:id="256"/>
            <w:bookmarkEnd w:id="257"/>
            <w:r w:rsidRPr="00E106BD">
              <w:rPr>
                <w:rFonts w:ascii="Arial" w:eastAsia="Arial" w:hAnsi="Arial" w:cs="Arial"/>
                <w:sz w:val="16"/>
                <w:szCs w:val="22"/>
                <w:lang w:eastAsia="zh-CN"/>
              </w:rPr>
              <w:t>Teduglutide</w:t>
            </w: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Arial" w:hAnsi="Arial" w:cs="Arial"/>
                <w:sz w:val="16"/>
                <w:szCs w:val="22"/>
                <w:lang w:eastAsia="zh-CN"/>
              </w:rPr>
              <w:t>C9515</w:t>
            </w:r>
          </w:p>
        </w:tc>
        <w:tc>
          <w:tcPr>
            <w:tcW w:w="70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Type III Short bowel syndrome with intestinal failure</w:t>
            </w:r>
            <w:r w:rsidRPr="00E106BD">
              <w:rPr>
                <w:rFonts w:ascii="Arial" w:eastAsia="SimSun" w:hAnsi="Arial" w:cs="Arial"/>
                <w:sz w:val="16"/>
                <w:szCs w:val="16"/>
                <w:lang w:eastAsia="zh-CN"/>
              </w:rPr>
              <w:br/>
              <w:t xml:space="preserve">Initial treatment or initial grandfather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Must be treated by a gastroenterologist; OR</w:t>
            </w:r>
            <w:r w:rsidRPr="00E106BD">
              <w:rPr>
                <w:rFonts w:ascii="Arial" w:eastAsia="SimSun" w:hAnsi="Arial" w:cs="Arial"/>
                <w:sz w:val="16"/>
                <w:szCs w:val="16"/>
                <w:lang w:eastAsia="zh-CN"/>
              </w:rPr>
              <w:br/>
              <w:t>Must be treated by a specialist within a multidisciplinary intestinal rehabilitation unit.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initial treatment with this drug for this condition; OR</w:t>
            </w:r>
            <w:r w:rsidRPr="00E106BD">
              <w:rPr>
                <w:rFonts w:ascii="Arial" w:eastAsia="SimSun" w:hAnsi="Arial" w:cs="Arial"/>
                <w:sz w:val="16"/>
                <w:szCs w:val="16"/>
                <w:lang w:eastAsia="zh-CN"/>
              </w:rPr>
              <w:br/>
              <w:t>Patient must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as a grandfathered patient; AND</w:t>
            </w:r>
            <w:r w:rsidRPr="00E106BD">
              <w:rPr>
                <w:rFonts w:ascii="Arial" w:eastAsia="SimSun" w:hAnsi="Arial" w:cs="Arial"/>
                <w:sz w:val="16"/>
                <w:szCs w:val="16"/>
                <w:lang w:eastAsia="zh-CN"/>
              </w:rPr>
              <w:br/>
              <w:t>Patient must have received insufficient therapy with this drug under the initial or grandfather treatment restriction to complete the maximum duration of 12 months of initial treatment; AND</w:t>
            </w:r>
            <w:r w:rsidRPr="00E106BD">
              <w:rPr>
                <w:rFonts w:ascii="Arial" w:eastAsia="SimSun" w:hAnsi="Arial" w:cs="Arial"/>
                <w:sz w:val="16"/>
                <w:szCs w:val="16"/>
                <w:lang w:eastAsia="zh-CN"/>
              </w:rPr>
              <w:br/>
              <w:t>The treatment must provide no more than the balance of up to 12 months of treatment.</w:t>
            </w:r>
          </w:p>
        </w:tc>
        <w:tc>
          <w:tcPr>
            <w:tcW w:w="2552" w:type="dxa"/>
            <w:tcMar>
              <w:top w:w="28" w:type="dxa"/>
              <w:left w:w="28" w:type="dxa"/>
              <w:right w:w="57"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5C4E1C" w:rsidRPr="00E106BD" w:rsidDel="00EF799C" w:rsidTr="008929EB">
        <w:tc>
          <w:tcPr>
            <w:tcW w:w="172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Arial" w:hAnsi="Arial" w:cs="Arial"/>
                <w:sz w:val="16"/>
                <w:szCs w:val="22"/>
                <w:lang w:eastAsia="zh-CN"/>
              </w:rPr>
              <w:t>C9569</w:t>
            </w:r>
          </w:p>
        </w:tc>
        <w:tc>
          <w:tcPr>
            <w:tcW w:w="70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Type III Short bowel syndrome with intestinal failure</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Must be treated by a gastroenterologist; OR</w:t>
            </w:r>
            <w:r w:rsidRPr="00E106BD">
              <w:rPr>
                <w:rFonts w:ascii="Arial" w:eastAsia="SimSun" w:hAnsi="Arial" w:cs="Arial"/>
                <w:sz w:val="16"/>
                <w:szCs w:val="16"/>
                <w:lang w:eastAsia="zh-CN"/>
              </w:rPr>
              <w:br/>
              <w:t>Must be treated by a specialist within a multidisciplinary intestinal rehabilitation unit.</w:t>
            </w:r>
            <w:r w:rsidRPr="00E106BD">
              <w:rPr>
                <w:rFonts w:ascii="Arial" w:eastAsia="SimSun" w:hAnsi="Arial" w:cs="Arial"/>
                <w:sz w:val="16"/>
                <w:szCs w:val="16"/>
                <w:lang w:eastAsia="zh-CN"/>
              </w:rPr>
              <w:br/>
              <w:t>Patient must have short bowel syndrome with intestinal failure following major surgery; AND</w:t>
            </w:r>
            <w:r w:rsidRPr="00E106BD">
              <w:rPr>
                <w:rFonts w:ascii="Arial" w:eastAsia="SimSun" w:hAnsi="Arial" w:cs="Arial"/>
                <w:sz w:val="16"/>
                <w:szCs w:val="16"/>
                <w:lang w:eastAsia="zh-CN"/>
              </w:rPr>
              <w:br/>
              <w:t>Patient must have a history of dependence on parenteral support for at least 12 months; AND</w:t>
            </w:r>
            <w:r w:rsidRPr="00E106BD">
              <w:rPr>
                <w:rFonts w:ascii="Arial" w:eastAsia="SimSun" w:hAnsi="Arial" w:cs="Arial"/>
                <w:sz w:val="16"/>
                <w:szCs w:val="16"/>
                <w:lang w:eastAsia="zh-CN"/>
              </w:rPr>
              <w:br/>
              <w:t>Patient must have received a stable parenteral support regimen for at least 3 days per week in the previous 4 weeks; AND</w:t>
            </w:r>
            <w:r w:rsidRPr="00E106BD">
              <w:rPr>
                <w:rFonts w:ascii="Arial" w:eastAsia="SimSun" w:hAnsi="Arial" w:cs="Arial"/>
                <w:sz w:val="16"/>
                <w:szCs w:val="16"/>
                <w:lang w:eastAsia="zh-CN"/>
              </w:rPr>
              <w:br/>
              <w:t>Patient must not have active gastrointestinal malignancy or history of gastrointestinal malignancy within the last 5 years; AND</w:t>
            </w:r>
            <w:r w:rsidRPr="00E106BD">
              <w:rPr>
                <w:rFonts w:ascii="Arial" w:eastAsia="SimSun" w:hAnsi="Arial" w:cs="Arial"/>
                <w:sz w:val="16"/>
                <w:szCs w:val="16"/>
                <w:lang w:eastAsia="zh-CN"/>
              </w:rPr>
              <w:br/>
              <w:t>The treatment must not exceed 12 months under this restriction; AND</w:t>
            </w:r>
            <w:r w:rsidRPr="00E106BD">
              <w:rPr>
                <w:rFonts w:ascii="Arial" w:eastAsia="SimSun" w:hAnsi="Arial" w:cs="Arial"/>
                <w:sz w:val="16"/>
                <w:szCs w:val="16"/>
                <w:lang w:eastAsia="zh-CN"/>
              </w:rPr>
              <w:br/>
              <w:t>Patient must not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w:t>
            </w:r>
            <w:r w:rsidRPr="00E106BD">
              <w:rPr>
                <w:rFonts w:ascii="Arial" w:eastAsia="SimSun" w:hAnsi="Arial" w:cs="Arial"/>
                <w:sz w:val="16"/>
                <w:szCs w:val="16"/>
                <w:lang w:eastAsia="zh-CN"/>
              </w:rPr>
              <w:br/>
              <w:t>Baseline is the mean number of days of parenteral support per week over the four weeks immediately prior to initiating treatment with teduglutide under the PBS initial treatment restriction or four weeks immediately prior to initiating treatment with non</w:t>
            </w:r>
            <w:r>
              <w:rPr>
                <w:rFonts w:ascii="Arial" w:eastAsia="SimSun" w:hAnsi="Arial" w:cs="Arial"/>
                <w:sz w:val="16"/>
                <w:szCs w:val="16"/>
                <w:lang w:eastAsia="zh-CN"/>
              </w:rPr>
              <w:noBreakHyphen/>
            </w:r>
            <w:r w:rsidRPr="00E106BD">
              <w:rPr>
                <w:rFonts w:ascii="Arial" w:eastAsia="SimSun" w:hAnsi="Arial" w:cs="Arial"/>
                <w:sz w:val="16"/>
                <w:szCs w:val="16"/>
                <w:lang w:eastAsia="zh-CN"/>
              </w:rPr>
              <w:t>PBS subsidised teduglutide for grandfathered patients.</w:t>
            </w:r>
            <w:r w:rsidRPr="00E106BD">
              <w:rPr>
                <w:rFonts w:ascii="Arial" w:eastAsia="SimSun" w:hAnsi="Arial" w:cs="Arial"/>
                <w:sz w:val="16"/>
                <w:szCs w:val="16"/>
                <w:lang w:eastAsia="zh-CN"/>
              </w:rPr>
              <w:br/>
              <w:t>A stable parenteral support regimen is defined as a minimum of 3 days of parenteral support (parenteral nutrition with or without IV fluids) per week for 4 consecutive weeks to meet caloric, fluid or electrolyte needs.</w:t>
            </w:r>
            <w:r w:rsidRPr="00E106BD">
              <w:rPr>
                <w:rFonts w:ascii="Arial" w:eastAsia="SimSun" w:hAnsi="Arial" w:cs="Arial"/>
                <w:sz w:val="16"/>
                <w:szCs w:val="16"/>
                <w:lang w:eastAsia="zh-CN"/>
              </w:rPr>
              <w:br/>
              <w:t>Baseline number of days of parenteral support should be documented in the patient</w:t>
            </w:r>
            <w:r w:rsidR="00A653CA">
              <w:rPr>
                <w:rFonts w:ascii="Arial" w:eastAsia="SimSun" w:hAnsi="Arial" w:cs="Arial"/>
                <w:sz w:val="16"/>
                <w:szCs w:val="16"/>
                <w:lang w:eastAsia="zh-CN"/>
              </w:rPr>
              <w:t>’</w:t>
            </w:r>
            <w:r w:rsidRPr="00E106BD">
              <w:rPr>
                <w:rFonts w:ascii="Arial" w:eastAsia="SimSun" w:hAnsi="Arial" w:cs="Arial"/>
                <w:sz w:val="16"/>
                <w:szCs w:val="16"/>
                <w:lang w:eastAsia="zh-CN"/>
              </w:rPr>
              <w:t>s medical records.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Short bowel syndrome with intestinal failure form; and</w:t>
            </w:r>
            <w:r w:rsidRPr="00E106BD">
              <w:rPr>
                <w:rFonts w:ascii="Arial" w:eastAsia="SimSun" w:hAnsi="Arial" w:cs="Arial"/>
                <w:sz w:val="16"/>
                <w:szCs w:val="16"/>
                <w:lang w:eastAsia="zh-CN"/>
              </w:rPr>
              <w:br/>
              <w:t>(3) details of baseline mean number of days on parenteral support per week for 4 consecutive weeks immediately preceding this application; and</w:t>
            </w:r>
            <w:r w:rsidRPr="00E106BD">
              <w:rPr>
                <w:rFonts w:ascii="Arial" w:eastAsia="SimSun" w:hAnsi="Arial" w:cs="Arial"/>
                <w:sz w:val="16"/>
                <w:szCs w:val="16"/>
                <w:lang w:eastAsia="zh-CN"/>
              </w:rPr>
              <w:br/>
              <w:t>(4) documented duration in months of prior dependence on parenteral support.</w:t>
            </w:r>
          </w:p>
        </w:tc>
        <w:tc>
          <w:tcPr>
            <w:tcW w:w="2552" w:type="dxa"/>
            <w:tcMar>
              <w:top w:w="28" w:type="dxa"/>
              <w:left w:w="28" w:type="dxa"/>
              <w:right w:w="57"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5C4E1C" w:rsidRPr="00E106BD" w:rsidDel="00EF799C" w:rsidTr="008929EB">
        <w:tc>
          <w:tcPr>
            <w:tcW w:w="1729" w:type="dxa"/>
            <w:tcMar>
              <w:top w:w="28" w:type="dxa"/>
              <w:left w:w="28" w:type="dxa"/>
            </w:tcMar>
          </w:tcPr>
          <w:p w:rsidR="005C4E1C" w:rsidRPr="00E106BD" w:rsidRDefault="005C4E1C" w:rsidP="00881477">
            <w:pPr>
              <w:pStyle w:val="mps3-data"/>
              <w:spacing w:before="0" w:after="0"/>
              <w:rPr>
                <w:rFonts w:eastAsia="SimSun"/>
                <w:szCs w:val="16"/>
              </w:rPr>
            </w:pPr>
          </w:p>
        </w:tc>
        <w:tc>
          <w:tcPr>
            <w:tcW w:w="709"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C9687</w:t>
            </w:r>
          </w:p>
        </w:tc>
        <w:tc>
          <w:tcPr>
            <w:tcW w:w="709" w:type="dxa"/>
            <w:tcMar>
              <w:top w:w="28" w:type="dxa"/>
              <w:left w:w="28" w:type="dxa"/>
            </w:tcMar>
          </w:tcPr>
          <w:p w:rsidR="005C4E1C" w:rsidRPr="00E106BD" w:rsidDel="005B77FE" w:rsidRDefault="005C4E1C" w:rsidP="00881477">
            <w:pPr>
              <w:pStyle w:val="mps3-data"/>
              <w:spacing w:before="0" w:after="0"/>
              <w:rPr>
                <w:rFonts w:eastAsia="SimSun"/>
                <w:szCs w:val="16"/>
              </w:rPr>
            </w:pP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Type III Short bowel syndrome with intestinal failure</w:t>
            </w:r>
            <w:r w:rsidRPr="00E106BD">
              <w:rPr>
                <w:rFonts w:eastAsia="SimSun"/>
                <w:szCs w:val="16"/>
              </w:rPr>
              <w:br/>
              <w:t xml:space="preserve">Initial treatment </w:t>
            </w:r>
            <w:r>
              <w:rPr>
                <w:rFonts w:eastAsia="SimSun"/>
                <w:szCs w:val="16"/>
              </w:rPr>
              <w:noBreakHyphen/>
            </w:r>
            <w:r w:rsidRPr="00E106BD">
              <w:rPr>
                <w:rFonts w:eastAsia="SimSun"/>
                <w:szCs w:val="16"/>
              </w:rPr>
              <w:t xml:space="preserve"> Grandfathered patients</w:t>
            </w:r>
            <w:r w:rsidRPr="00E106BD">
              <w:rPr>
                <w:rFonts w:eastAsia="SimSun"/>
                <w:szCs w:val="16"/>
              </w:rPr>
              <w:br/>
              <w:t>Must be treated by a gastroenterologist; OR</w:t>
            </w:r>
            <w:r w:rsidRPr="00E106BD">
              <w:rPr>
                <w:rFonts w:eastAsia="SimSun"/>
                <w:szCs w:val="16"/>
              </w:rPr>
              <w:br/>
              <w:t>Must be treated by a specialist within a multidisciplinary intestinal rehabilitation unit.</w:t>
            </w:r>
            <w:r w:rsidRPr="00E106BD">
              <w:rPr>
                <w:rFonts w:eastAsia="SimSun"/>
                <w:szCs w:val="16"/>
              </w:rPr>
              <w:br/>
              <w:t>Patient must have previously received non</w:t>
            </w:r>
            <w:r>
              <w:rPr>
                <w:rFonts w:eastAsia="SimSun"/>
                <w:szCs w:val="16"/>
              </w:rPr>
              <w:noBreakHyphen/>
            </w:r>
            <w:r w:rsidRPr="00E106BD">
              <w:rPr>
                <w:rFonts w:eastAsia="SimSun"/>
                <w:szCs w:val="16"/>
              </w:rPr>
              <w:t>PBS subsidised treatment with this drug for this condition prior to 1</w:t>
            </w:r>
            <w:r>
              <w:rPr>
                <w:rFonts w:eastAsia="SimSun"/>
                <w:szCs w:val="16"/>
              </w:rPr>
              <w:t> </w:t>
            </w:r>
            <w:r w:rsidRPr="00E106BD">
              <w:rPr>
                <w:rFonts w:eastAsia="SimSun"/>
                <w:szCs w:val="16"/>
              </w:rPr>
              <w:t>October 2019; AND</w:t>
            </w:r>
            <w:r w:rsidRPr="00E106BD">
              <w:rPr>
                <w:rFonts w:eastAsia="SimSun"/>
                <w:szCs w:val="16"/>
              </w:rPr>
              <w:br/>
              <w:t>Patient must have short bowel syndrome with intestinal failure following major surgery; AND</w:t>
            </w:r>
            <w:r w:rsidRPr="00E106BD">
              <w:rPr>
                <w:rFonts w:eastAsia="SimSun"/>
                <w:szCs w:val="16"/>
              </w:rPr>
              <w:br/>
              <w:t>Patient must have had a history of dependence on parenteral support for at least 12 months prior to initiating non</w:t>
            </w:r>
            <w:r>
              <w:rPr>
                <w:rFonts w:eastAsia="SimSun"/>
                <w:szCs w:val="16"/>
              </w:rPr>
              <w:noBreakHyphen/>
            </w:r>
            <w:r w:rsidRPr="00E106BD">
              <w:rPr>
                <w:rFonts w:eastAsia="SimSun"/>
                <w:szCs w:val="16"/>
              </w:rPr>
              <w:t>PBS subsidised treatment with this drug for this condition; AND</w:t>
            </w:r>
            <w:r w:rsidRPr="00E106BD">
              <w:rPr>
                <w:rFonts w:eastAsia="SimSun"/>
                <w:szCs w:val="16"/>
              </w:rPr>
              <w:br/>
              <w:t>Patient must have received a stable parenteral support regimen for at least 3 days per week in the 4 weeks prior to initiating non</w:t>
            </w:r>
            <w:r>
              <w:rPr>
                <w:rFonts w:eastAsia="SimSun"/>
                <w:szCs w:val="16"/>
              </w:rPr>
              <w:noBreakHyphen/>
            </w:r>
            <w:r w:rsidRPr="00E106BD">
              <w:rPr>
                <w:rFonts w:eastAsia="SimSun"/>
                <w:szCs w:val="16"/>
              </w:rPr>
              <w:t>PBS subsidised treatment with this drug for this condition; AND</w:t>
            </w:r>
            <w:r w:rsidRPr="00E106BD">
              <w:rPr>
                <w:rFonts w:eastAsia="SimSun"/>
                <w:szCs w:val="16"/>
              </w:rPr>
              <w:br/>
              <w:t>Patient must not have active gastrointestinal malignancy or history of gastrointestinal malignancy within the last 5 years; AND</w:t>
            </w:r>
            <w:r w:rsidRPr="00E106BD">
              <w:rPr>
                <w:rFonts w:eastAsia="SimSun"/>
                <w:szCs w:val="16"/>
              </w:rPr>
              <w:br/>
              <w:t>Patient must have achieved a treatment response if the patient has been on non</w:t>
            </w:r>
            <w:r>
              <w:rPr>
                <w:rFonts w:eastAsia="SimSun"/>
                <w:szCs w:val="16"/>
              </w:rPr>
              <w:noBreakHyphen/>
            </w:r>
            <w:r w:rsidRPr="00E106BD">
              <w:rPr>
                <w:rFonts w:eastAsia="SimSun"/>
                <w:szCs w:val="16"/>
              </w:rPr>
              <w:t>PBS subsidised therapy with this drug for more than 12 months.</w:t>
            </w:r>
            <w:r w:rsidRPr="00E106BD">
              <w:rPr>
                <w:rFonts w:eastAsia="SimSun"/>
                <w:szCs w:val="16"/>
              </w:rPr>
              <w:br/>
              <w:t>Baseline is the mean number of days of parenteral support per week over the 4 weeks immediately prior to initiating treatment with non</w:t>
            </w:r>
            <w:r>
              <w:rPr>
                <w:rFonts w:eastAsia="SimSun"/>
                <w:szCs w:val="16"/>
              </w:rPr>
              <w:noBreakHyphen/>
            </w:r>
            <w:r w:rsidRPr="00E106BD">
              <w:rPr>
                <w:rFonts w:eastAsia="SimSun"/>
                <w:szCs w:val="16"/>
              </w:rPr>
              <w:t>PBS subsidised teduglutide for grandfathered patients.</w:t>
            </w:r>
            <w:r w:rsidRPr="00E106BD">
              <w:rPr>
                <w:rFonts w:eastAsia="SimSun"/>
                <w:szCs w:val="16"/>
              </w:rPr>
              <w:br/>
              <w:t>A stable parenteral support regimen is defined as a minimum of 3 days of parenteral support (parenteral nutrition with or without IV fluids) per week for 4 consecutive weeks to meet caloric, fluid or electrolyte needs.</w:t>
            </w:r>
            <w:r w:rsidRPr="00E106BD">
              <w:rPr>
                <w:rFonts w:eastAsia="SimSun"/>
                <w:szCs w:val="16"/>
              </w:rPr>
              <w:br/>
              <w:t>A patient has met the criteria for treatment response when there is a reduction in the mean number of days of parenteral support of at least 1 day per week since initiating non</w:t>
            </w:r>
            <w:r>
              <w:rPr>
                <w:rFonts w:eastAsia="SimSun"/>
                <w:szCs w:val="16"/>
              </w:rPr>
              <w:noBreakHyphen/>
            </w:r>
            <w:r w:rsidRPr="00E106BD">
              <w:rPr>
                <w:rFonts w:eastAsia="SimSun"/>
                <w:szCs w:val="16"/>
              </w:rPr>
              <w:t>PBS subsidised treatment, or where a patient has completely ceased treatment with parenteral support for a period of at least 4 consecutive weeks prior to application for PBS</w:t>
            </w:r>
            <w:r>
              <w:rPr>
                <w:rFonts w:eastAsia="SimSun"/>
                <w:szCs w:val="16"/>
              </w:rPr>
              <w:noBreakHyphen/>
            </w:r>
            <w:r w:rsidRPr="00E106BD">
              <w:rPr>
                <w:rFonts w:eastAsia="SimSun"/>
                <w:szCs w:val="16"/>
              </w:rPr>
              <w:t>subsidised treatment.</w:t>
            </w:r>
            <w:r w:rsidRPr="00E106BD">
              <w:rPr>
                <w:rFonts w:eastAsia="SimSun"/>
                <w:szCs w:val="16"/>
              </w:rPr>
              <w:br/>
              <w:t>The number of days of parenteral support is calculated as the mean number of days in which any parenteral support is required (parenteral nutrition with or without IV fluids) per week to meet caloric, fluid or electrolyte needs between commencement of non</w:t>
            </w:r>
            <w:r>
              <w:rPr>
                <w:rFonts w:eastAsia="SimSun"/>
                <w:szCs w:val="16"/>
              </w:rPr>
              <w:noBreakHyphen/>
            </w:r>
            <w:r w:rsidRPr="00E106BD">
              <w:rPr>
                <w:rFonts w:eastAsia="SimSun"/>
                <w:szCs w:val="16"/>
              </w:rPr>
              <w:t>PBS subsidised teduglutide and application for PBS</w:t>
            </w:r>
            <w:r>
              <w:rPr>
                <w:rFonts w:eastAsia="SimSun"/>
                <w:szCs w:val="16"/>
              </w:rPr>
              <w:noBreakHyphen/>
            </w:r>
            <w:r w:rsidRPr="00E106BD">
              <w:rPr>
                <w:rFonts w:eastAsia="SimSun"/>
                <w:szCs w:val="16"/>
              </w:rPr>
              <w:t>subsidised treatment.</w:t>
            </w:r>
            <w:r w:rsidRPr="00E106BD">
              <w:rPr>
                <w:rFonts w:eastAsia="SimSun"/>
                <w:szCs w:val="16"/>
              </w:rPr>
              <w:br/>
              <w:t>The authority application must be made in writing and must include:</w:t>
            </w:r>
            <w:r w:rsidRPr="00E106BD">
              <w:rPr>
                <w:rFonts w:eastAsia="SimSun"/>
                <w:szCs w:val="16"/>
              </w:rPr>
              <w:br/>
              <w:t>(1) a completed authority prescription form; and</w:t>
            </w:r>
            <w:r w:rsidRPr="00E106BD">
              <w:rPr>
                <w:rFonts w:eastAsia="SimSun"/>
                <w:szCs w:val="16"/>
              </w:rPr>
              <w:br/>
              <w:t xml:space="preserve">(2) a completed Short bowel syndrome with intestinal failure Grandfather PBS Authority Application </w:t>
            </w:r>
            <w:r>
              <w:rPr>
                <w:rFonts w:eastAsia="SimSun"/>
                <w:szCs w:val="16"/>
              </w:rPr>
              <w:noBreakHyphen/>
            </w:r>
            <w:r w:rsidRPr="00E106BD">
              <w:rPr>
                <w:rFonts w:eastAsia="SimSun"/>
                <w:szCs w:val="16"/>
              </w:rPr>
              <w:t xml:space="preserve"> Supporting Information Form; and</w:t>
            </w:r>
            <w:r w:rsidRPr="00E106BD">
              <w:rPr>
                <w:rFonts w:eastAsia="SimSun"/>
                <w:szCs w:val="16"/>
              </w:rPr>
              <w:br/>
              <w:t>(3) details of non</w:t>
            </w:r>
            <w:r>
              <w:rPr>
                <w:rFonts w:eastAsia="SimSun"/>
                <w:szCs w:val="16"/>
              </w:rPr>
              <w:noBreakHyphen/>
            </w:r>
            <w:r w:rsidRPr="00E106BD">
              <w:rPr>
                <w:rFonts w:eastAsia="SimSun"/>
                <w:szCs w:val="16"/>
              </w:rPr>
              <w:t>PBS subsidised teduglutide treatment start date; and</w:t>
            </w:r>
            <w:r w:rsidRPr="00E106BD">
              <w:rPr>
                <w:rFonts w:eastAsia="SimSun"/>
                <w:szCs w:val="16"/>
              </w:rPr>
              <w:br/>
              <w:t>(4) details of the mean number of days on parenteral support per week for 4 consecutive weeks prior to initiating non</w:t>
            </w:r>
            <w:r>
              <w:rPr>
                <w:rFonts w:eastAsia="SimSun"/>
                <w:szCs w:val="16"/>
              </w:rPr>
              <w:noBreakHyphen/>
            </w:r>
            <w:r w:rsidRPr="00E106BD">
              <w:rPr>
                <w:rFonts w:eastAsia="SimSun"/>
                <w:szCs w:val="16"/>
              </w:rPr>
              <w:t>PBS subsidised therapy; and</w:t>
            </w:r>
            <w:r w:rsidRPr="00E106BD">
              <w:rPr>
                <w:rFonts w:eastAsia="SimSun"/>
                <w:szCs w:val="16"/>
              </w:rPr>
              <w:br/>
              <w:t>(5) documented duration in months of dependence on parenteral support prior to initiating non</w:t>
            </w:r>
            <w:r>
              <w:rPr>
                <w:rFonts w:eastAsia="SimSun"/>
                <w:szCs w:val="16"/>
              </w:rPr>
              <w:noBreakHyphen/>
            </w:r>
            <w:r w:rsidRPr="00E106BD">
              <w:rPr>
                <w:rFonts w:eastAsia="SimSun"/>
                <w:szCs w:val="16"/>
              </w:rPr>
              <w:t>PBS subsidised treatment; and</w:t>
            </w:r>
            <w:r w:rsidRPr="00E106BD">
              <w:rPr>
                <w:rFonts w:eastAsia="SimSun"/>
                <w:szCs w:val="16"/>
              </w:rPr>
              <w:br/>
              <w:t>(6) details of response to teduglutide treatment if patient has received 12 or more months of non</w:t>
            </w:r>
            <w:r>
              <w:rPr>
                <w:rFonts w:eastAsia="SimSun"/>
                <w:szCs w:val="16"/>
              </w:rPr>
              <w:noBreakHyphen/>
            </w:r>
            <w:r w:rsidRPr="00E106BD">
              <w:rPr>
                <w:rFonts w:eastAsia="SimSun"/>
                <w:szCs w:val="16"/>
              </w:rPr>
              <w:t>PBS subsidised treatment.</w:t>
            </w:r>
            <w:r w:rsidRPr="00E106BD">
              <w:rPr>
                <w:rFonts w:eastAsia="SimSun"/>
                <w:szCs w:val="16"/>
              </w:rPr>
              <w:br/>
              <w:t>A patient may qualify for PBS</w:t>
            </w:r>
            <w:r>
              <w:rPr>
                <w:rFonts w:eastAsia="SimSun"/>
                <w:szCs w:val="16"/>
              </w:rPr>
              <w:noBreakHyphen/>
            </w:r>
            <w:r w:rsidRPr="00E106BD">
              <w:rPr>
                <w:rFonts w:eastAsia="SimSun"/>
                <w:szCs w:val="16"/>
              </w:rPr>
              <w:t>subsidised treatment under this restriction once only.</w:t>
            </w:r>
            <w:r w:rsidRPr="00E106BD">
              <w:rPr>
                <w:rFonts w:eastAsia="SimSun"/>
                <w:szCs w:val="16"/>
              </w:rPr>
              <w:br/>
              <w:t>For patients who have been on this drug for less than 12 months, the maximum number of repeats that will be approved will be for an amount equivalent to an initial 12 month supply of PBS and non</w:t>
            </w:r>
            <w:r>
              <w:rPr>
                <w:rFonts w:eastAsia="SimSun"/>
                <w:szCs w:val="16"/>
              </w:rPr>
              <w:noBreakHyphen/>
            </w:r>
            <w:r w:rsidRPr="00E106BD">
              <w:rPr>
                <w:rFonts w:eastAsia="SimSun"/>
                <w:szCs w:val="16"/>
              </w:rPr>
              <w:t>PBS subsidised treatment.</w:t>
            </w:r>
            <w:r w:rsidRPr="00E106BD">
              <w:rPr>
                <w:rFonts w:eastAsia="SimSun"/>
                <w:szCs w:val="16"/>
              </w:rPr>
              <w:br/>
              <w:t>For patients who have been on this drug for more than 12 months, a maximum of 5 repeats will be approved.</w:t>
            </w:r>
            <w:r w:rsidRPr="00E106BD">
              <w:rPr>
                <w:rFonts w:eastAsia="SimSun"/>
                <w:szCs w:val="16"/>
              </w:rPr>
              <w:br/>
              <w:t>For continuing PBS</w:t>
            </w:r>
            <w:r>
              <w:rPr>
                <w:rFonts w:eastAsia="SimSun"/>
                <w:szCs w:val="16"/>
              </w:rPr>
              <w:noBreakHyphen/>
            </w:r>
            <w:r w:rsidRPr="00E106BD">
              <w:rPr>
                <w:rFonts w:eastAsia="SimSun"/>
                <w:szCs w:val="16"/>
              </w:rPr>
              <w:t>subsidised treatment, a Grandfathered patient must qualify under the First continuing treatment criteria.</w:t>
            </w:r>
          </w:p>
        </w:tc>
        <w:tc>
          <w:tcPr>
            <w:tcW w:w="2552" w:type="dxa"/>
            <w:tcMar>
              <w:top w:w="28" w:type="dxa"/>
              <w:left w:w="28" w:type="dxa"/>
              <w:right w:w="57" w:type="dxa"/>
            </w:tcMar>
          </w:tcPr>
          <w:p w:rsidR="005C4E1C" w:rsidRPr="00E106BD" w:rsidRDefault="005C4E1C" w:rsidP="00881477">
            <w:pPr>
              <w:pStyle w:val="mps3-data"/>
              <w:spacing w:before="0" w:after="0"/>
              <w:rPr>
                <w:rFonts w:eastAsia="SimSun"/>
                <w:szCs w:val="16"/>
              </w:rPr>
            </w:pPr>
            <w:r w:rsidRPr="00E106BD">
              <w:rPr>
                <w:rFonts w:eastAsia="SimSun"/>
                <w:szCs w:val="16"/>
              </w:rPr>
              <w:t>Compliance with Written Authority Required procedures</w:t>
            </w:r>
          </w:p>
        </w:tc>
      </w:tr>
      <w:tr w:rsidR="005C4E1C" w:rsidRPr="00E106BD" w:rsidDel="00EF799C" w:rsidTr="008929EB">
        <w:tc>
          <w:tcPr>
            <w:tcW w:w="1729" w:type="dxa"/>
            <w:tcMar>
              <w:top w:w="28" w:type="dxa"/>
              <w:left w:w="28" w:type="dxa"/>
            </w:tcMar>
          </w:tcPr>
          <w:p w:rsidR="005C4E1C" w:rsidRPr="00E106BD" w:rsidRDefault="005C4E1C" w:rsidP="00881477">
            <w:pPr>
              <w:pStyle w:val="mps3-data"/>
              <w:spacing w:before="0" w:after="0"/>
              <w:rPr>
                <w:rFonts w:eastAsia="SimSun"/>
                <w:szCs w:val="16"/>
              </w:rPr>
            </w:pPr>
          </w:p>
        </w:tc>
        <w:tc>
          <w:tcPr>
            <w:tcW w:w="709"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C9740</w:t>
            </w:r>
          </w:p>
        </w:tc>
        <w:tc>
          <w:tcPr>
            <w:tcW w:w="709" w:type="dxa"/>
            <w:tcMar>
              <w:top w:w="28" w:type="dxa"/>
              <w:left w:w="28" w:type="dxa"/>
            </w:tcMar>
          </w:tcPr>
          <w:p w:rsidR="005C4E1C" w:rsidRPr="00E106BD" w:rsidDel="005B77FE" w:rsidRDefault="005C4E1C" w:rsidP="00881477">
            <w:pPr>
              <w:pStyle w:val="mps3-data"/>
              <w:spacing w:before="0" w:after="0"/>
              <w:rPr>
                <w:rFonts w:eastAsia="SimSun"/>
                <w:szCs w:val="16"/>
              </w:rPr>
            </w:pP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Type III Short bowel syndrome with intestinal failure</w:t>
            </w:r>
            <w:r w:rsidRPr="00E106BD">
              <w:rPr>
                <w:rFonts w:eastAsia="SimSun"/>
                <w:szCs w:val="16"/>
              </w:rPr>
              <w:br/>
              <w:t>Subsequent continuing treatment</w:t>
            </w:r>
            <w:r w:rsidRPr="00E106BD">
              <w:rPr>
                <w:rFonts w:eastAsia="SimSun"/>
                <w:szCs w:val="16"/>
              </w:rPr>
              <w:br/>
              <w:t>Must be treated by a gastroenterologist; OR</w:t>
            </w:r>
            <w:r w:rsidRPr="00E106BD">
              <w:rPr>
                <w:rFonts w:eastAsia="SimSun"/>
                <w:szCs w:val="16"/>
              </w:rPr>
              <w:br/>
              <w:t>Must be treated by a specialist within a multidisciplinary intestinal rehabilitation unit.</w:t>
            </w:r>
            <w:r w:rsidRPr="00E106BD">
              <w:rPr>
                <w:rFonts w:eastAsia="SimSun"/>
                <w:szCs w:val="16"/>
              </w:rPr>
              <w:br/>
              <w:t>Patient must have received PBS</w:t>
            </w:r>
            <w:r>
              <w:rPr>
                <w:rFonts w:eastAsia="SimSun"/>
                <w:szCs w:val="16"/>
              </w:rPr>
              <w:noBreakHyphen/>
            </w:r>
            <w:r w:rsidRPr="00E106BD">
              <w:rPr>
                <w:rFonts w:eastAsia="SimSun"/>
                <w:szCs w:val="16"/>
              </w:rPr>
              <w:t>subsidised first</w:t>
            </w:r>
            <w:r>
              <w:rPr>
                <w:rFonts w:eastAsia="SimSun"/>
                <w:szCs w:val="16"/>
              </w:rPr>
              <w:noBreakHyphen/>
            </w:r>
            <w:r w:rsidRPr="00E106BD">
              <w:rPr>
                <w:rFonts w:eastAsia="SimSun"/>
                <w:szCs w:val="16"/>
              </w:rPr>
              <w:t>continuing treatment with this drug for this condition and achieved a treatment response in the preceding treatment period; OR</w:t>
            </w:r>
            <w:r w:rsidRPr="00E106BD">
              <w:rPr>
                <w:rFonts w:eastAsia="SimSun"/>
                <w:szCs w:val="16"/>
              </w:rPr>
              <w:br/>
              <w:t>Patient must have received PBS</w:t>
            </w:r>
            <w:r>
              <w:rPr>
                <w:rFonts w:eastAsia="SimSun"/>
                <w:szCs w:val="16"/>
              </w:rPr>
              <w:noBreakHyphen/>
            </w:r>
            <w:r w:rsidRPr="00E106BD">
              <w:rPr>
                <w:rFonts w:eastAsia="SimSun"/>
                <w:szCs w:val="16"/>
              </w:rPr>
              <w:t>subsidised recommencement of treatment following a trial cessation period and not have previously experienced a failure to respond to treatment with this drug for this condition.</w:t>
            </w:r>
            <w:r w:rsidRPr="00E106BD">
              <w:rPr>
                <w:rFonts w:eastAsia="SimSun"/>
                <w:szCs w:val="16"/>
              </w:rPr>
              <w:br/>
              <w:t>Treatment response</w:t>
            </w:r>
            <w:r w:rsidRPr="00E106BD">
              <w:rPr>
                <w:rFonts w:eastAsia="SimSun"/>
                <w:szCs w:val="16"/>
              </w:rPr>
              <w:br/>
              <w:t>For applications for subsequent continuing treatment, treatment response is when there was a reduction in the mean number of days of parenteral support of at least 1 day per week since the last assessment for PBS</w:t>
            </w:r>
            <w:r>
              <w:rPr>
                <w:rFonts w:eastAsia="SimSun"/>
                <w:szCs w:val="16"/>
              </w:rPr>
              <w:noBreakHyphen/>
            </w:r>
            <w:r w:rsidRPr="00E106BD">
              <w:rPr>
                <w:rFonts w:eastAsia="SimSun"/>
                <w:szCs w:val="16"/>
              </w:rPr>
              <w:t>subsidised treatment,</w:t>
            </w:r>
            <w:r w:rsidRPr="00E106BD">
              <w:rPr>
                <w:rFonts w:eastAsia="SimSun"/>
                <w:szCs w:val="16"/>
              </w:rPr>
              <w:br/>
              <w:t>OR where a patient has completely ceased treatment with parenteral support for a period of at least 4 consecutive weeks.</w:t>
            </w:r>
            <w:r w:rsidRPr="00E106BD">
              <w:rPr>
                <w:rFonts w:eastAsia="SimSun"/>
                <w:szCs w:val="16"/>
              </w:rPr>
              <w:br/>
              <w:t>The current mean number of days of parenteral support is calculated as the mean number of days in which any parenteral support is required (parenteral nutrition with or without IV fluids) per week to meet caloric, fluid or electrolyte needs over the immediately preceding 4 week treatment period</w:t>
            </w:r>
            <w:r w:rsidRPr="00E106BD">
              <w:rPr>
                <w:rFonts w:eastAsia="SimSun"/>
                <w:szCs w:val="16"/>
              </w:rPr>
              <w:br/>
              <w:t>Treatment failure</w:t>
            </w:r>
            <w:r w:rsidRPr="00E106BD">
              <w:rPr>
                <w:rFonts w:eastAsia="SimSun"/>
                <w:szCs w:val="16"/>
              </w:rPr>
              <w:br/>
              <w:t>For applications for subsequent continuing treatment, failure of treatment is defined as an increase in the mean number of days per week of parenteral support requirements of at least 1 day per week over the preceding 4 week period compared to the last assessment for PBS</w:t>
            </w:r>
            <w:r>
              <w:rPr>
                <w:rFonts w:eastAsia="SimSun"/>
                <w:szCs w:val="16"/>
              </w:rPr>
              <w:noBreakHyphen/>
            </w:r>
            <w:r w:rsidRPr="00E106BD">
              <w:rPr>
                <w:rFonts w:eastAsia="SimSun"/>
                <w:szCs w:val="16"/>
              </w:rPr>
              <w:t>subsidised treatment of parenteral support (parenteral nutrition with or without IV fluids) to meet caloric, fluid or electrolyte needs.</w:t>
            </w:r>
            <w:r w:rsidRPr="00E106BD">
              <w:rPr>
                <w:rFonts w:eastAsia="SimSun"/>
                <w:szCs w:val="16"/>
              </w:rPr>
              <w:br/>
              <w:t>Patients who experience failure of treatment must permanently discontinue treatment.</w:t>
            </w:r>
            <w:r w:rsidRPr="00E106BD">
              <w:rPr>
                <w:rFonts w:eastAsia="SimSun"/>
                <w:szCs w:val="16"/>
              </w:rPr>
              <w:br/>
              <w:t>Treatment stability</w:t>
            </w:r>
            <w:r w:rsidRPr="00E106BD">
              <w:rPr>
                <w:rFonts w:eastAsia="SimSun"/>
                <w:szCs w:val="16"/>
              </w:rPr>
              <w:br/>
              <w:t>Patients who neither demonstrate a treatment response nor a treatment failure since the last assessment for PBS</w:t>
            </w:r>
            <w:r>
              <w:rPr>
                <w:rFonts w:eastAsia="SimSun"/>
                <w:szCs w:val="16"/>
              </w:rPr>
              <w:noBreakHyphen/>
            </w:r>
            <w:r w:rsidRPr="00E106BD">
              <w:rPr>
                <w:rFonts w:eastAsia="SimSun"/>
                <w:szCs w:val="16"/>
              </w:rPr>
              <w:t>subsidised treatment are considered to have a stable parenteral support regimen, defined as the same mean number of days of parenteral support (parenteral nutrition with or without IV fluids) per week to meet caloric, fluid or electrolyte needs over the 4 weeks preceding treatment period, where the number of days is greater than zero and the mean number of days of parenteral support is less than baseline. Patients with a stable parenteral support regimen over 6 months must undertake a trial cessation period. Patients who have re</w:t>
            </w:r>
            <w:r>
              <w:rPr>
                <w:rFonts w:eastAsia="SimSun"/>
                <w:szCs w:val="16"/>
              </w:rPr>
              <w:noBreakHyphen/>
            </w:r>
            <w:r w:rsidRPr="00E106BD">
              <w:rPr>
                <w:rFonts w:eastAsia="SimSun"/>
                <w:szCs w:val="16"/>
              </w:rPr>
              <w:t>commenced after a trial cessation period are exempt from further trial cessation.</w:t>
            </w:r>
            <w:r w:rsidRPr="00E106BD">
              <w:rPr>
                <w:rFonts w:eastAsia="SimSun"/>
                <w:szCs w:val="16"/>
              </w:rPr>
              <w:br/>
              <w:t>Trial cessation period</w:t>
            </w:r>
            <w:r w:rsidRPr="00E106BD">
              <w:rPr>
                <w:rFonts w:eastAsia="SimSun"/>
                <w:szCs w:val="16"/>
              </w:rPr>
              <w:br/>
              <w:t>Patients who demonstrate a stable frequency of mean days per week of parenteral support in a 6</w:t>
            </w:r>
            <w:r>
              <w:rPr>
                <w:rFonts w:eastAsia="SimSun"/>
                <w:szCs w:val="16"/>
              </w:rPr>
              <w:noBreakHyphen/>
            </w:r>
            <w:r w:rsidRPr="00E106BD">
              <w:rPr>
                <w:rFonts w:eastAsia="SimSun"/>
                <w:szCs w:val="16"/>
              </w:rPr>
              <w:t>month period commencing after the initial 12 months of treatment with this drug for this condition are required to undertake a trial of treatment cessation. Patients who have re</w:t>
            </w:r>
            <w:r>
              <w:rPr>
                <w:rFonts w:eastAsia="SimSun"/>
                <w:szCs w:val="16"/>
              </w:rPr>
              <w:noBreakHyphen/>
            </w:r>
            <w:r w:rsidRPr="00E106BD">
              <w:rPr>
                <w:rFonts w:eastAsia="SimSun"/>
                <w:szCs w:val="16"/>
              </w:rPr>
              <w:t>commenced after a trial cessation period are exempt from further trial cessation.</w:t>
            </w:r>
            <w:r w:rsidRPr="00E106BD">
              <w:rPr>
                <w:rFonts w:eastAsia="SimSun"/>
                <w:szCs w:val="16"/>
              </w:rPr>
              <w:br/>
              <w:t>The authority application must be made in writing and must include:</w:t>
            </w:r>
            <w:r w:rsidRPr="00E106BD">
              <w:rPr>
                <w:rFonts w:eastAsia="SimSun"/>
                <w:szCs w:val="16"/>
              </w:rPr>
              <w:br/>
              <w:t>(1) a completed authority prescription form; and</w:t>
            </w:r>
            <w:r w:rsidRPr="00E106BD">
              <w:rPr>
                <w:rFonts w:eastAsia="SimSun"/>
                <w:szCs w:val="16"/>
              </w:rPr>
              <w:br/>
              <w:t>(2) a completed Short bowel syndrome with intestinal failure Form; and</w:t>
            </w:r>
            <w:r w:rsidRPr="00E106BD">
              <w:rPr>
                <w:rFonts w:eastAsia="SimSun"/>
                <w:szCs w:val="16"/>
              </w:rPr>
              <w:br/>
              <w:t>(3) details of the mean number of days reduction of parenteral support (parenteral nutrition with or without IV fluids) per week to meet caloric, fluid or electrolyte needs over the preceding treatment period or confirmation the patient has had 4 consecutive weeks without parenteral support (if applicable); and</w:t>
            </w:r>
            <w:r w:rsidRPr="00E106BD">
              <w:rPr>
                <w:rFonts w:eastAsia="SimSun"/>
                <w:szCs w:val="16"/>
              </w:rPr>
              <w:br/>
              <w:t>(4) the current mean number of days per week of parenteral support over the preceding 4 week period.</w:t>
            </w:r>
          </w:p>
        </w:tc>
        <w:tc>
          <w:tcPr>
            <w:tcW w:w="2552" w:type="dxa"/>
            <w:tcMar>
              <w:top w:w="28" w:type="dxa"/>
              <w:left w:w="28" w:type="dxa"/>
              <w:right w:w="57" w:type="dxa"/>
            </w:tcMar>
          </w:tcPr>
          <w:p w:rsidR="005C4E1C" w:rsidRPr="00E106BD" w:rsidRDefault="005C4E1C" w:rsidP="00881477">
            <w:pPr>
              <w:pStyle w:val="mps3-data"/>
              <w:spacing w:before="0" w:after="0"/>
              <w:rPr>
                <w:rFonts w:eastAsia="SimSun"/>
                <w:szCs w:val="16"/>
              </w:rPr>
            </w:pPr>
            <w:r w:rsidRPr="00E106BD">
              <w:rPr>
                <w:rFonts w:eastAsia="SimSun"/>
                <w:szCs w:val="16"/>
              </w:rPr>
              <w:t>Compliance with Written Authority Required procedures</w:t>
            </w:r>
          </w:p>
        </w:tc>
      </w:tr>
      <w:tr w:rsidR="005C4E1C" w:rsidRPr="00E106BD" w:rsidDel="00EF799C" w:rsidTr="008929EB">
        <w:tc>
          <w:tcPr>
            <w:tcW w:w="1729" w:type="dxa"/>
            <w:tcMar>
              <w:top w:w="28" w:type="dxa"/>
              <w:left w:w="28" w:type="dxa"/>
            </w:tcMar>
          </w:tcPr>
          <w:p w:rsidR="005C4E1C" w:rsidRPr="00E106BD" w:rsidRDefault="005C4E1C" w:rsidP="00881477">
            <w:pPr>
              <w:pStyle w:val="mps3-data"/>
              <w:spacing w:before="0" w:after="0"/>
              <w:rPr>
                <w:rFonts w:eastAsia="SimSun"/>
                <w:szCs w:val="16"/>
              </w:rPr>
            </w:pPr>
          </w:p>
        </w:tc>
        <w:tc>
          <w:tcPr>
            <w:tcW w:w="709"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C9793</w:t>
            </w:r>
          </w:p>
        </w:tc>
        <w:tc>
          <w:tcPr>
            <w:tcW w:w="709" w:type="dxa"/>
            <w:tcMar>
              <w:top w:w="28" w:type="dxa"/>
              <w:left w:w="28" w:type="dxa"/>
            </w:tcMar>
          </w:tcPr>
          <w:p w:rsidR="005C4E1C" w:rsidRPr="00E106BD" w:rsidDel="005B77FE" w:rsidRDefault="005C4E1C" w:rsidP="00881477">
            <w:pPr>
              <w:pStyle w:val="mps3-data"/>
              <w:spacing w:before="0" w:after="0"/>
              <w:rPr>
                <w:rFonts w:eastAsia="SimSun"/>
                <w:szCs w:val="16"/>
              </w:rPr>
            </w:pP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Type III Short bowel syndrome with intestinal failure</w:t>
            </w:r>
            <w:r w:rsidRPr="00E106BD">
              <w:rPr>
                <w:rFonts w:eastAsia="SimSun"/>
                <w:szCs w:val="16"/>
              </w:rPr>
              <w:br/>
              <w:t>First continuing treatment</w:t>
            </w:r>
            <w:r w:rsidRPr="00E106BD">
              <w:rPr>
                <w:rFonts w:eastAsia="SimSun"/>
                <w:szCs w:val="16"/>
              </w:rPr>
              <w:br/>
              <w:t>Must be treated by a gastroenterologist; OR</w:t>
            </w:r>
            <w:r w:rsidRPr="00E106BD">
              <w:rPr>
                <w:rFonts w:eastAsia="SimSun"/>
                <w:szCs w:val="16"/>
              </w:rPr>
              <w:br/>
              <w:t>Must be treated by a specialist within a multidisciplinary intestinal rehabilitation unit.</w:t>
            </w:r>
            <w:r w:rsidRPr="00E106BD">
              <w:rPr>
                <w:rFonts w:eastAsia="SimSun"/>
                <w:szCs w:val="16"/>
              </w:rPr>
              <w:br/>
              <w:t>Patient must have previously received PBS</w:t>
            </w:r>
            <w:r>
              <w:rPr>
                <w:rFonts w:eastAsia="SimSun"/>
                <w:szCs w:val="16"/>
              </w:rPr>
              <w:noBreakHyphen/>
            </w:r>
            <w:r w:rsidRPr="00E106BD">
              <w:rPr>
                <w:rFonts w:eastAsia="SimSun"/>
                <w:szCs w:val="16"/>
              </w:rPr>
              <w:t>subsidised initial treatment with this drug for this condition; OR</w:t>
            </w:r>
            <w:r w:rsidRPr="00E106BD">
              <w:rPr>
                <w:rFonts w:eastAsia="SimSun"/>
                <w:szCs w:val="16"/>
              </w:rPr>
              <w:br/>
              <w:t>Patient must have received PBS</w:t>
            </w:r>
            <w:r>
              <w:rPr>
                <w:rFonts w:eastAsia="SimSun"/>
                <w:szCs w:val="16"/>
              </w:rPr>
              <w:noBreakHyphen/>
            </w:r>
            <w:r w:rsidRPr="00E106BD">
              <w:rPr>
                <w:rFonts w:eastAsia="SimSun"/>
                <w:szCs w:val="16"/>
              </w:rPr>
              <w:t>subsidised treatment with this drug for this condition as a grandfathered patient; AND</w:t>
            </w:r>
            <w:r w:rsidRPr="00E106BD">
              <w:rPr>
                <w:rFonts w:eastAsia="SimSun"/>
                <w:szCs w:val="16"/>
              </w:rPr>
              <w:br/>
              <w:t>Patient must have a reduction in parenteral support frequency of at least one day per week compared to the mean number of days per week at baseline.</w:t>
            </w:r>
            <w:r w:rsidRPr="00E106BD">
              <w:rPr>
                <w:rFonts w:eastAsia="SimSun"/>
                <w:szCs w:val="16"/>
              </w:rPr>
              <w:br/>
              <w:t>Baseline is the mean number of days of parenteral support per week over the four weeks immediately prior to initiating treatment with teduglutide under the PBS initial treatment restriction or four weeks immediately prior to initiating treatment with non</w:t>
            </w:r>
            <w:r>
              <w:rPr>
                <w:rFonts w:eastAsia="SimSun"/>
                <w:szCs w:val="16"/>
              </w:rPr>
              <w:noBreakHyphen/>
            </w:r>
            <w:r w:rsidRPr="00E106BD">
              <w:rPr>
                <w:rFonts w:eastAsia="SimSun"/>
                <w:szCs w:val="16"/>
              </w:rPr>
              <w:t>PBS subsidised teduglutide for grandfathered patients.</w:t>
            </w:r>
            <w:r w:rsidRPr="00E106BD">
              <w:rPr>
                <w:rFonts w:eastAsia="SimSun"/>
                <w:szCs w:val="16"/>
              </w:rPr>
              <w:br/>
              <w:t>The current mean number of days of parenteral support is calculated as the mean number of days in which any parenteral support is required (parenteral nutrition with or without IV fluids) per week to meet caloric, fluid or electrolyte needs over the immediately preceding 4 week treatment period</w:t>
            </w:r>
            <w:r w:rsidRPr="00E106BD">
              <w:rPr>
                <w:rFonts w:eastAsia="SimSun"/>
                <w:szCs w:val="16"/>
              </w:rPr>
              <w:br/>
              <w:t>Treatment failure</w:t>
            </w:r>
            <w:r w:rsidRPr="00E106BD">
              <w:rPr>
                <w:rFonts w:eastAsia="SimSun"/>
                <w:szCs w:val="16"/>
              </w:rPr>
              <w:br/>
              <w:t>For applications for first continuing treatment, failure of treatment is defined as no change compared to baseline in the mean number of days per week in parenteral support (parenteral nutrition with or without IV fluids) to meet caloric, fluid or electrolyte needs.</w:t>
            </w:r>
            <w:r w:rsidRPr="00E106BD">
              <w:rPr>
                <w:rFonts w:eastAsia="SimSun"/>
                <w:szCs w:val="16"/>
              </w:rPr>
              <w:br/>
              <w:t>Patients who experience failure of treatment must permanently discontinue treatment.</w:t>
            </w:r>
            <w:r w:rsidRPr="00E106BD">
              <w:rPr>
                <w:rFonts w:eastAsia="SimSun"/>
                <w:szCs w:val="16"/>
              </w:rPr>
              <w:br/>
              <w:t>Current mean number of days of parenteral support should be documented in the patient</w:t>
            </w:r>
            <w:r w:rsidR="00A653CA">
              <w:rPr>
                <w:rFonts w:eastAsia="SimSun"/>
                <w:szCs w:val="16"/>
              </w:rPr>
              <w:t>’</w:t>
            </w:r>
            <w:r w:rsidRPr="00E106BD">
              <w:rPr>
                <w:rFonts w:eastAsia="SimSun"/>
                <w:szCs w:val="16"/>
              </w:rPr>
              <w:t>s medical records.</w:t>
            </w:r>
            <w:r w:rsidRPr="00E106BD">
              <w:rPr>
                <w:rFonts w:eastAsia="SimSun"/>
                <w:szCs w:val="16"/>
              </w:rPr>
              <w:br/>
              <w:t>The authority application must be made in writing and must include:</w:t>
            </w:r>
            <w:r w:rsidRPr="00E106BD">
              <w:rPr>
                <w:rFonts w:eastAsia="SimSun"/>
                <w:szCs w:val="16"/>
              </w:rPr>
              <w:br/>
              <w:t>(1) a completed authority prescription form; and</w:t>
            </w:r>
            <w:r w:rsidRPr="00E106BD">
              <w:rPr>
                <w:rFonts w:eastAsia="SimSun"/>
                <w:szCs w:val="16"/>
              </w:rPr>
              <w:br/>
              <w:t>(2) a completed Short bowel syndrome with intestinal failure Form; and</w:t>
            </w:r>
            <w:r w:rsidRPr="00E106BD">
              <w:rPr>
                <w:rFonts w:eastAsia="SimSun"/>
                <w:szCs w:val="16"/>
              </w:rPr>
              <w:br/>
              <w:t>(3) details of the mean number of days reduction of parenteral support (parenteral nutrition with or without IV fluids) per week to meet caloric, fluid or electrolyte needs from baseline; and</w:t>
            </w:r>
            <w:r w:rsidRPr="00E106BD">
              <w:rPr>
                <w:rFonts w:eastAsia="SimSun"/>
                <w:szCs w:val="16"/>
              </w:rPr>
              <w:br/>
              <w:t>(4) the current mean number of days per week of parenteral support over the preceding 4 week period.</w:t>
            </w:r>
          </w:p>
        </w:tc>
        <w:tc>
          <w:tcPr>
            <w:tcW w:w="2552" w:type="dxa"/>
            <w:tcMar>
              <w:top w:w="28" w:type="dxa"/>
              <w:left w:w="28" w:type="dxa"/>
              <w:right w:w="57" w:type="dxa"/>
            </w:tcMar>
          </w:tcPr>
          <w:p w:rsidR="005C4E1C" w:rsidRPr="00E106BD" w:rsidRDefault="005C4E1C" w:rsidP="00881477">
            <w:pPr>
              <w:pStyle w:val="mps3-data"/>
              <w:spacing w:before="0" w:after="0"/>
              <w:rPr>
                <w:rFonts w:eastAsia="SimSun"/>
                <w:szCs w:val="16"/>
              </w:rPr>
            </w:pPr>
            <w:r w:rsidRPr="00E106BD">
              <w:rPr>
                <w:rFonts w:eastAsia="SimSun"/>
                <w:szCs w:val="16"/>
              </w:rPr>
              <w:t>Compliance with Written Authority Required procedures</w:t>
            </w:r>
          </w:p>
        </w:tc>
      </w:tr>
      <w:tr w:rsidR="005C4E1C" w:rsidRPr="00E106BD" w:rsidDel="00EF799C" w:rsidTr="008929EB">
        <w:tc>
          <w:tcPr>
            <w:tcW w:w="1729" w:type="dxa"/>
            <w:tcMar>
              <w:top w:w="28" w:type="dxa"/>
              <w:left w:w="28" w:type="dxa"/>
            </w:tcMar>
          </w:tcPr>
          <w:p w:rsidR="005C4E1C" w:rsidRPr="00E106BD" w:rsidRDefault="005C4E1C" w:rsidP="00881477">
            <w:pPr>
              <w:pStyle w:val="mps3-data"/>
              <w:spacing w:before="0" w:after="0"/>
              <w:rPr>
                <w:rFonts w:eastAsia="SimSun"/>
                <w:szCs w:val="16"/>
              </w:rPr>
            </w:pPr>
          </w:p>
        </w:tc>
        <w:tc>
          <w:tcPr>
            <w:tcW w:w="709"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C9829</w:t>
            </w:r>
          </w:p>
        </w:tc>
        <w:tc>
          <w:tcPr>
            <w:tcW w:w="709" w:type="dxa"/>
            <w:tcMar>
              <w:top w:w="28" w:type="dxa"/>
              <w:left w:w="28" w:type="dxa"/>
            </w:tcMar>
          </w:tcPr>
          <w:p w:rsidR="005C4E1C" w:rsidRPr="00E106BD" w:rsidDel="005B77FE" w:rsidRDefault="005C4E1C" w:rsidP="00881477">
            <w:pPr>
              <w:pStyle w:val="mps3-data"/>
              <w:spacing w:before="0" w:after="0"/>
              <w:rPr>
                <w:rFonts w:eastAsia="SimSun"/>
                <w:szCs w:val="16"/>
              </w:rPr>
            </w:pP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Type III Short bowel syndrome with intestinal failure</w:t>
            </w:r>
            <w:r w:rsidRPr="00E106BD">
              <w:rPr>
                <w:rFonts w:eastAsia="SimSun"/>
                <w:szCs w:val="16"/>
              </w:rPr>
              <w:br/>
              <w:t>Recommencement of treatment</w:t>
            </w:r>
            <w:r w:rsidRPr="00E106BD">
              <w:rPr>
                <w:rFonts w:eastAsia="SimSun"/>
                <w:szCs w:val="16"/>
              </w:rPr>
              <w:br/>
              <w:t>Must be treated by a gastroenterologist; OR</w:t>
            </w:r>
            <w:r w:rsidRPr="00E106BD">
              <w:rPr>
                <w:rFonts w:eastAsia="SimSun"/>
                <w:szCs w:val="16"/>
              </w:rPr>
              <w:br/>
              <w:t>Must be treated by a specialist within a multidisciplinary intestinal rehabilitation unit.</w:t>
            </w:r>
            <w:r w:rsidRPr="00E106BD">
              <w:rPr>
                <w:rFonts w:eastAsia="SimSun"/>
                <w:szCs w:val="16"/>
              </w:rPr>
              <w:br/>
              <w:t>Patient must have received PBS</w:t>
            </w:r>
            <w:r>
              <w:rPr>
                <w:rFonts w:eastAsia="SimSun"/>
                <w:szCs w:val="16"/>
              </w:rPr>
              <w:noBreakHyphen/>
            </w:r>
            <w:r w:rsidRPr="00E106BD">
              <w:rPr>
                <w:rFonts w:eastAsia="SimSun"/>
                <w:szCs w:val="16"/>
              </w:rPr>
              <w:t>subsidised treatment with this drug for this condition; AND</w:t>
            </w:r>
            <w:r w:rsidRPr="00E106BD">
              <w:rPr>
                <w:rFonts w:eastAsia="SimSun"/>
                <w:szCs w:val="16"/>
              </w:rPr>
              <w:br/>
              <w:t>Patient must have undertaken a trial cessation period due to experiencing a stable parenteral support regimen in the first continuing or subsequent continuing treatment phase, and not due to a treatment failure; AND</w:t>
            </w:r>
            <w:r w:rsidRPr="00E106BD">
              <w:rPr>
                <w:rFonts w:eastAsia="SimSun"/>
                <w:szCs w:val="16"/>
              </w:rPr>
              <w:br/>
              <w:t>Patient must have experienced deterioration during a trial cessation period.</w:t>
            </w:r>
            <w:r w:rsidRPr="00E106BD">
              <w:rPr>
                <w:rFonts w:eastAsia="SimSun"/>
                <w:szCs w:val="16"/>
              </w:rPr>
              <w:br/>
              <w:t>Trial cessation period</w:t>
            </w:r>
            <w:r w:rsidRPr="00E106BD">
              <w:rPr>
                <w:rFonts w:eastAsia="SimSun"/>
                <w:szCs w:val="16"/>
              </w:rPr>
              <w:br/>
              <w:t>Patients who demonstrate a stable frequency of mean days per week of parenteral support in a 6</w:t>
            </w:r>
            <w:r>
              <w:rPr>
                <w:rFonts w:eastAsia="SimSun"/>
                <w:szCs w:val="16"/>
              </w:rPr>
              <w:noBreakHyphen/>
            </w:r>
            <w:r w:rsidRPr="00E106BD">
              <w:rPr>
                <w:rFonts w:eastAsia="SimSun"/>
                <w:szCs w:val="16"/>
              </w:rPr>
              <w:t>month period commencing after the initial 12 months of treatment with this drug for this condition are required to undertake a trial of treatment cessation. Patients who have re</w:t>
            </w:r>
            <w:r>
              <w:rPr>
                <w:rFonts w:eastAsia="SimSun"/>
                <w:szCs w:val="16"/>
              </w:rPr>
              <w:noBreakHyphen/>
            </w:r>
            <w:r w:rsidRPr="00E106BD">
              <w:rPr>
                <w:rFonts w:eastAsia="SimSun"/>
                <w:szCs w:val="16"/>
              </w:rPr>
              <w:t>commenced after a trial cessation period are exempt from further trial cessation.</w:t>
            </w:r>
            <w:r w:rsidRPr="00E106BD">
              <w:rPr>
                <w:rFonts w:eastAsia="SimSun"/>
                <w:szCs w:val="16"/>
              </w:rPr>
              <w:br/>
              <w:t>Deterioration during the trial cessation period includes an increase in parenteral support frequency of more than or equal to one day per week from the pre</w:t>
            </w:r>
            <w:r>
              <w:rPr>
                <w:rFonts w:eastAsia="SimSun"/>
                <w:szCs w:val="16"/>
              </w:rPr>
              <w:noBreakHyphen/>
            </w:r>
            <w:r w:rsidRPr="00E106BD">
              <w:rPr>
                <w:rFonts w:eastAsia="SimSun"/>
                <w:szCs w:val="16"/>
              </w:rPr>
              <w:t>cessation level, or other clinical parameters suggestive of deterioration including changes in renal function or urinary sodium levels or changes in body weight.</w:t>
            </w:r>
            <w:r w:rsidRPr="00E106BD">
              <w:rPr>
                <w:rFonts w:eastAsia="SimSun"/>
                <w:szCs w:val="16"/>
              </w:rPr>
              <w:br/>
              <w:t>The authority application must be made in writing and must include:</w:t>
            </w:r>
            <w:r w:rsidRPr="00E106BD">
              <w:rPr>
                <w:rFonts w:eastAsia="SimSun"/>
                <w:szCs w:val="16"/>
              </w:rPr>
              <w:br/>
              <w:t>(1) a completed authority prescription form; and</w:t>
            </w:r>
            <w:r w:rsidRPr="00E106BD">
              <w:rPr>
                <w:rFonts w:eastAsia="SimSun"/>
                <w:szCs w:val="16"/>
              </w:rPr>
              <w:br/>
              <w:t>(2) a completed Short bowel syndrome with intestinal failure Form; and</w:t>
            </w:r>
            <w:r w:rsidRPr="00E106BD">
              <w:rPr>
                <w:rFonts w:eastAsia="SimSun"/>
                <w:szCs w:val="16"/>
              </w:rPr>
              <w:br/>
              <w:t>(3) details of the reason for recommencement after trial cessation; and</w:t>
            </w:r>
            <w:r w:rsidRPr="00E106BD">
              <w:rPr>
                <w:rFonts w:eastAsia="SimSun"/>
                <w:szCs w:val="16"/>
              </w:rPr>
              <w:br/>
              <w:t>(4) the current mean number of days per week of parenteral support over the preceding 4 week period</w:t>
            </w:r>
            <w:r w:rsidRPr="00E106BD">
              <w:rPr>
                <w:rFonts w:eastAsia="SimSun"/>
                <w:szCs w:val="16"/>
              </w:rPr>
              <w:br/>
              <w:t>(5) details of completion of the trial cessation period including the start and end date.</w:t>
            </w:r>
          </w:p>
        </w:tc>
        <w:tc>
          <w:tcPr>
            <w:tcW w:w="2552" w:type="dxa"/>
            <w:tcMar>
              <w:top w:w="28" w:type="dxa"/>
              <w:left w:w="28" w:type="dxa"/>
              <w:right w:w="57" w:type="dxa"/>
            </w:tcMar>
          </w:tcPr>
          <w:p w:rsidR="005C4E1C" w:rsidRPr="00E106BD" w:rsidRDefault="005C4E1C" w:rsidP="00881477">
            <w:pPr>
              <w:pStyle w:val="mps3-data"/>
              <w:spacing w:before="0" w:after="0"/>
              <w:rPr>
                <w:rFonts w:eastAsia="SimSun"/>
                <w:szCs w:val="16"/>
              </w:rPr>
            </w:pPr>
            <w:r w:rsidRPr="00E106BD">
              <w:rPr>
                <w:rFonts w:eastAsia="SimSun"/>
                <w:szCs w:val="16"/>
              </w:rPr>
              <w:t>Compliance with Authority Required procedures</w:t>
            </w:r>
          </w:p>
        </w:tc>
      </w:tr>
      <w:tr w:rsidR="005C4E1C" w:rsidRPr="00E106BD" w:rsidDel="00AF5846" w:rsidTr="008929EB">
        <w:tc>
          <w:tcPr>
            <w:tcW w:w="172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bookmarkStart w:id="258" w:name="CU_540860199"/>
            <w:bookmarkStart w:id="259" w:name="CU_542863137"/>
            <w:bookmarkStart w:id="260" w:name="CU_547867909"/>
            <w:bookmarkStart w:id="261" w:name="CU_551869517"/>
            <w:bookmarkStart w:id="262" w:name="CU_554871734"/>
            <w:bookmarkStart w:id="263" w:name="CU_558874039"/>
            <w:bookmarkEnd w:id="258"/>
            <w:bookmarkEnd w:id="259"/>
            <w:bookmarkEnd w:id="260"/>
            <w:bookmarkEnd w:id="261"/>
            <w:bookmarkEnd w:id="262"/>
            <w:bookmarkEnd w:id="263"/>
            <w:r w:rsidRPr="00E106BD">
              <w:rPr>
                <w:rFonts w:ascii="Arial" w:eastAsia="SimSun" w:hAnsi="Arial" w:cs="Arial"/>
                <w:sz w:val="16"/>
                <w:szCs w:val="16"/>
                <w:lang w:eastAsia="zh-CN"/>
              </w:rPr>
              <w:t>Tenofovir</w:t>
            </w:r>
          </w:p>
        </w:tc>
        <w:tc>
          <w:tcPr>
            <w:tcW w:w="70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C6980</w:t>
            </w:r>
          </w:p>
        </w:tc>
        <w:tc>
          <w:tcPr>
            <w:tcW w:w="709" w:type="dxa"/>
            <w:tcMar>
              <w:top w:w="28" w:type="dxa"/>
              <w:left w:w="28" w:type="dxa"/>
            </w:tcMar>
          </w:tcPr>
          <w:p w:rsidR="005C4E1C" w:rsidRPr="00BD3829" w:rsidDel="00AF5846" w:rsidRDefault="005C4E1C" w:rsidP="00881477">
            <w:pPr>
              <w:spacing w:line="240" w:lineRule="auto"/>
              <w:rPr>
                <w:rFonts w:ascii="Arial" w:eastAsia="SimSun" w:hAnsi="Arial" w:cs="Arial"/>
                <w:sz w:val="16"/>
                <w:szCs w:val="16"/>
                <w:lang w:eastAsia="zh-CN"/>
              </w:rPr>
            </w:pPr>
            <w:r w:rsidRPr="001C4888">
              <w:rPr>
                <w:rFonts w:ascii="Arial" w:hAnsi="Arial" w:cs="Arial"/>
                <w:sz w:val="16"/>
                <w:szCs w:val="16"/>
              </w:rPr>
              <w:t>P6980</w:t>
            </w: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Chronic hepatitis B infection</w:t>
            </w:r>
          </w:p>
          <w:p w:rsidR="005C4E1C" w:rsidRPr="00E106BD" w:rsidRDefault="005C4E1C" w:rsidP="00881477">
            <w:pPr>
              <w:pStyle w:val="mps3-data"/>
              <w:spacing w:before="0" w:after="0"/>
              <w:rPr>
                <w:rFonts w:eastAsia="SimSun"/>
                <w:szCs w:val="16"/>
              </w:rPr>
            </w:pPr>
            <w:r w:rsidRPr="00E106BD">
              <w:rPr>
                <w:rFonts w:eastAsia="SimSun"/>
                <w:szCs w:val="16"/>
              </w:rPr>
              <w:t>Patient must have cirrhosis; AND</w:t>
            </w:r>
          </w:p>
          <w:p w:rsidR="005C4E1C" w:rsidRPr="00E106BD" w:rsidRDefault="005C4E1C" w:rsidP="00881477">
            <w:pPr>
              <w:pStyle w:val="mps3-data"/>
              <w:spacing w:before="0" w:after="0"/>
              <w:rPr>
                <w:rFonts w:eastAsia="SimSun"/>
                <w:szCs w:val="16"/>
              </w:rPr>
            </w:pPr>
            <w:r w:rsidRPr="00E106BD">
              <w:rPr>
                <w:rFonts w:eastAsia="SimSun"/>
                <w:szCs w:val="16"/>
              </w:rPr>
              <w:t>Patient must be nucleoside analogue naive; AND</w:t>
            </w:r>
          </w:p>
          <w:p w:rsidR="005C4E1C" w:rsidRPr="00E106BD" w:rsidRDefault="005C4E1C" w:rsidP="00881477">
            <w:pPr>
              <w:pStyle w:val="mps3-data"/>
              <w:spacing w:before="0" w:after="0"/>
              <w:rPr>
                <w:rFonts w:eastAsia="SimSun"/>
                <w:szCs w:val="16"/>
              </w:rPr>
            </w:pPr>
            <w:r w:rsidRPr="00E106BD">
              <w:rPr>
                <w:rFonts w:eastAsia="SimSun"/>
                <w:szCs w:val="16"/>
              </w:rPr>
              <w:t>Patient must have detectable HBV DNA; AND</w:t>
            </w:r>
          </w:p>
          <w:p w:rsidR="005C4E1C" w:rsidRPr="00E106BD" w:rsidRDefault="005C4E1C" w:rsidP="00881477">
            <w:pPr>
              <w:pStyle w:val="mps3-data"/>
              <w:spacing w:before="0" w:after="0"/>
              <w:rPr>
                <w:rFonts w:eastAsia="SimSun"/>
                <w:szCs w:val="16"/>
              </w:rPr>
            </w:pPr>
            <w:r w:rsidRPr="00E106BD">
              <w:rPr>
                <w:rFonts w:eastAsia="SimSun"/>
                <w:szCs w:val="16"/>
              </w:rPr>
              <w:t>The treatment must be the sole PBS</w:t>
            </w:r>
            <w:r>
              <w:rPr>
                <w:rFonts w:eastAsia="SimSun"/>
                <w:szCs w:val="16"/>
              </w:rPr>
              <w:noBreakHyphen/>
            </w:r>
            <w:r w:rsidRPr="00E106BD">
              <w:rPr>
                <w:rFonts w:eastAsia="SimSun"/>
                <w:szCs w:val="16"/>
              </w:rPr>
              <w:t>subsidised therapy for this condition.</w:t>
            </w:r>
          </w:p>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Patients with Child</w:t>
            </w:r>
            <w:r w:rsidR="00A653CA">
              <w:rPr>
                <w:rFonts w:ascii="Arial" w:eastAsia="SimSun" w:hAnsi="Arial" w:cs="Arial"/>
                <w:sz w:val="16"/>
                <w:szCs w:val="16"/>
                <w:lang w:eastAsia="zh-CN"/>
              </w:rPr>
              <w:t>’</w:t>
            </w:r>
            <w:r w:rsidRPr="00E106BD">
              <w:rPr>
                <w:rFonts w:ascii="Arial" w:eastAsia="SimSun" w:hAnsi="Arial" w:cs="Arial"/>
                <w:sz w:val="16"/>
                <w:szCs w:val="16"/>
                <w:lang w:eastAsia="zh-CN"/>
              </w:rPr>
              <w:t>s class B or C cirrhosis (ascites, variceal bleeding, encephalopathy, albumin less than 30 g per L, bilirubin greater than 30 micromoles per L) should have their treatment discussed with a transplant unit prior to initiating therapy.</w:t>
            </w:r>
          </w:p>
        </w:tc>
        <w:tc>
          <w:tcPr>
            <w:tcW w:w="2552" w:type="dxa"/>
            <w:tcMar>
              <w:top w:w="28" w:type="dxa"/>
              <w:left w:w="28" w:type="dxa"/>
              <w:right w:w="57"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6980</w:t>
            </w:r>
          </w:p>
        </w:tc>
      </w:tr>
      <w:tr w:rsidR="005C4E1C" w:rsidRPr="00E106BD" w:rsidDel="00AF5846" w:rsidTr="008929EB">
        <w:tc>
          <w:tcPr>
            <w:tcW w:w="172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C6982</w:t>
            </w:r>
          </w:p>
        </w:tc>
        <w:tc>
          <w:tcPr>
            <w:tcW w:w="709" w:type="dxa"/>
            <w:tcMar>
              <w:top w:w="28" w:type="dxa"/>
              <w:left w:w="28" w:type="dxa"/>
            </w:tcMar>
          </w:tcPr>
          <w:p w:rsidR="005C4E1C" w:rsidRPr="00BD3829" w:rsidDel="00AF5846" w:rsidRDefault="005C4E1C" w:rsidP="00881477">
            <w:pPr>
              <w:pStyle w:val="mps3-data"/>
              <w:spacing w:before="0" w:after="0"/>
              <w:rPr>
                <w:rFonts w:eastAsia="SimSun"/>
                <w:szCs w:val="16"/>
              </w:rPr>
            </w:pPr>
            <w:r w:rsidRPr="001C4888">
              <w:rPr>
                <w:szCs w:val="16"/>
              </w:rPr>
              <w:t>P6982</w:t>
            </w: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HIV infection</w:t>
            </w:r>
          </w:p>
          <w:p w:rsidR="005C4E1C" w:rsidRPr="00E106BD" w:rsidRDefault="005C4E1C" w:rsidP="00881477">
            <w:pPr>
              <w:pStyle w:val="mps3-data"/>
              <w:spacing w:before="0" w:after="0"/>
              <w:rPr>
                <w:rFonts w:eastAsia="SimSun"/>
                <w:szCs w:val="16"/>
              </w:rPr>
            </w:pPr>
            <w:r w:rsidRPr="00E106BD">
              <w:rPr>
                <w:rFonts w:eastAsia="SimSun"/>
                <w:szCs w:val="16"/>
              </w:rPr>
              <w:t>Continuing</w:t>
            </w:r>
          </w:p>
          <w:p w:rsidR="005C4E1C" w:rsidRPr="00E106BD" w:rsidRDefault="005C4E1C" w:rsidP="00881477">
            <w:pPr>
              <w:pStyle w:val="mps3-data"/>
              <w:spacing w:before="0" w:after="0"/>
              <w:rPr>
                <w:rFonts w:eastAsia="SimSun"/>
                <w:szCs w:val="16"/>
              </w:rPr>
            </w:pPr>
            <w:r w:rsidRPr="00E106BD">
              <w:rPr>
                <w:rFonts w:eastAsia="SimSun"/>
                <w:szCs w:val="16"/>
              </w:rPr>
              <w:t>Patient must have previously received PBS</w:t>
            </w:r>
            <w:r>
              <w:rPr>
                <w:rFonts w:eastAsia="SimSun"/>
                <w:szCs w:val="16"/>
              </w:rPr>
              <w:noBreakHyphen/>
            </w:r>
            <w:r w:rsidRPr="00E106BD">
              <w:rPr>
                <w:rFonts w:eastAsia="SimSun"/>
                <w:szCs w:val="16"/>
              </w:rPr>
              <w:t>subsidised therapy for HIV infection; AND</w:t>
            </w:r>
          </w:p>
          <w:p w:rsidR="005C4E1C" w:rsidRPr="00E106BD" w:rsidDel="00AF5846" w:rsidRDefault="005C4E1C" w:rsidP="00881477">
            <w:pPr>
              <w:pStyle w:val="mps3-data"/>
              <w:spacing w:before="0" w:after="0"/>
              <w:rPr>
                <w:rFonts w:eastAsia="SimSun"/>
                <w:szCs w:val="16"/>
              </w:rPr>
            </w:pPr>
            <w:r w:rsidRPr="00E106BD">
              <w:rPr>
                <w:rFonts w:eastAsia="SimSun"/>
                <w:szCs w:val="16"/>
              </w:rPr>
              <w:t>The treatment must be in combination with other antiretroviral agents.</w:t>
            </w:r>
          </w:p>
        </w:tc>
        <w:tc>
          <w:tcPr>
            <w:tcW w:w="2552" w:type="dxa"/>
            <w:tcMar>
              <w:top w:w="28" w:type="dxa"/>
              <w:left w:w="28" w:type="dxa"/>
              <w:right w:w="57"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6982</w:t>
            </w:r>
          </w:p>
        </w:tc>
      </w:tr>
      <w:tr w:rsidR="005C4E1C" w:rsidRPr="00E106BD" w:rsidDel="00AF5846" w:rsidTr="008929EB">
        <w:tc>
          <w:tcPr>
            <w:tcW w:w="172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C6983</w:t>
            </w:r>
          </w:p>
        </w:tc>
        <w:tc>
          <w:tcPr>
            <w:tcW w:w="709" w:type="dxa"/>
            <w:tcMar>
              <w:top w:w="28" w:type="dxa"/>
              <w:left w:w="28" w:type="dxa"/>
            </w:tcMar>
          </w:tcPr>
          <w:p w:rsidR="005C4E1C" w:rsidRPr="00BD3829" w:rsidDel="00AF5846" w:rsidRDefault="005C4E1C" w:rsidP="00881477">
            <w:pPr>
              <w:spacing w:line="240" w:lineRule="auto"/>
              <w:rPr>
                <w:rFonts w:ascii="Arial" w:eastAsia="SimSun" w:hAnsi="Arial" w:cs="Arial"/>
                <w:sz w:val="16"/>
                <w:szCs w:val="16"/>
                <w:lang w:eastAsia="zh-CN"/>
              </w:rPr>
            </w:pPr>
            <w:r w:rsidRPr="001C4888">
              <w:rPr>
                <w:rFonts w:ascii="Arial" w:hAnsi="Arial" w:cs="Arial"/>
                <w:sz w:val="16"/>
                <w:szCs w:val="16"/>
              </w:rPr>
              <w:t>P6983</w:t>
            </w: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Chronic hepatitis B infection</w:t>
            </w:r>
          </w:p>
          <w:p w:rsidR="005C4E1C" w:rsidRPr="00E106BD" w:rsidRDefault="005C4E1C" w:rsidP="00881477">
            <w:pPr>
              <w:pStyle w:val="mps3-data"/>
              <w:spacing w:before="0" w:after="0"/>
              <w:rPr>
                <w:rFonts w:eastAsia="SimSun"/>
                <w:szCs w:val="16"/>
              </w:rPr>
            </w:pPr>
            <w:r w:rsidRPr="00E106BD">
              <w:rPr>
                <w:rFonts w:eastAsia="SimSun"/>
                <w:szCs w:val="16"/>
              </w:rPr>
              <w:t>Patient must have cirrhosis; AND</w:t>
            </w:r>
          </w:p>
          <w:p w:rsidR="005C4E1C" w:rsidRPr="00E106BD" w:rsidRDefault="005C4E1C" w:rsidP="00881477">
            <w:pPr>
              <w:pStyle w:val="mps3-data"/>
              <w:spacing w:before="0" w:after="0"/>
              <w:rPr>
                <w:rFonts w:eastAsia="SimSun"/>
                <w:szCs w:val="16"/>
              </w:rPr>
            </w:pPr>
            <w:r w:rsidRPr="00E106BD">
              <w:rPr>
                <w:rFonts w:eastAsia="SimSun"/>
                <w:szCs w:val="16"/>
              </w:rPr>
              <w:t>Patient must have failed antihepadnaviral therapy; AND</w:t>
            </w:r>
          </w:p>
          <w:p w:rsidR="005C4E1C" w:rsidRPr="00E106BD" w:rsidRDefault="005C4E1C" w:rsidP="00881477">
            <w:pPr>
              <w:pStyle w:val="mps3-data"/>
              <w:spacing w:before="0" w:after="0"/>
              <w:rPr>
                <w:rFonts w:eastAsia="SimSun"/>
                <w:szCs w:val="16"/>
              </w:rPr>
            </w:pPr>
            <w:r w:rsidRPr="00E106BD">
              <w:rPr>
                <w:rFonts w:eastAsia="SimSun"/>
                <w:szCs w:val="16"/>
              </w:rPr>
              <w:t>Patient must have detectable HBV DNA.</w:t>
            </w:r>
          </w:p>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Patients with Child</w:t>
            </w:r>
            <w:r w:rsidR="00A653CA">
              <w:rPr>
                <w:rFonts w:ascii="Arial" w:eastAsia="SimSun" w:hAnsi="Arial" w:cs="Arial"/>
                <w:sz w:val="16"/>
                <w:szCs w:val="16"/>
                <w:lang w:eastAsia="zh-CN"/>
              </w:rPr>
              <w:t>’</w:t>
            </w:r>
            <w:r w:rsidRPr="00E106BD">
              <w:rPr>
                <w:rFonts w:ascii="Arial" w:eastAsia="SimSun" w:hAnsi="Arial" w:cs="Arial"/>
                <w:sz w:val="16"/>
                <w:szCs w:val="16"/>
                <w:lang w:eastAsia="zh-CN"/>
              </w:rPr>
              <w:t>s class B or C cirrhosis (ascites, variceal bleeding, encephalopathy, albumin less than 30 g per L, bilirubin greater than 30 micromoles per L) should have their treatment discussed with a transplant unit prior to initiating therapy.</w:t>
            </w:r>
          </w:p>
        </w:tc>
        <w:tc>
          <w:tcPr>
            <w:tcW w:w="2552" w:type="dxa"/>
            <w:tcMar>
              <w:top w:w="28" w:type="dxa"/>
              <w:left w:w="28" w:type="dxa"/>
              <w:right w:w="57"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6983</w:t>
            </w:r>
          </w:p>
        </w:tc>
      </w:tr>
      <w:tr w:rsidR="005C4E1C" w:rsidRPr="00E106BD" w:rsidDel="00AF5846" w:rsidTr="008929EB">
        <w:tc>
          <w:tcPr>
            <w:tcW w:w="172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C6984</w:t>
            </w:r>
          </w:p>
        </w:tc>
        <w:tc>
          <w:tcPr>
            <w:tcW w:w="709" w:type="dxa"/>
            <w:tcMar>
              <w:top w:w="28" w:type="dxa"/>
              <w:left w:w="28" w:type="dxa"/>
            </w:tcMar>
          </w:tcPr>
          <w:p w:rsidR="005C4E1C" w:rsidRPr="00BD3829" w:rsidDel="00AF5846" w:rsidRDefault="005C4E1C" w:rsidP="00881477">
            <w:pPr>
              <w:spacing w:line="240" w:lineRule="auto"/>
              <w:rPr>
                <w:rFonts w:ascii="Arial" w:eastAsia="SimSun" w:hAnsi="Arial" w:cs="Arial"/>
                <w:sz w:val="16"/>
                <w:szCs w:val="16"/>
                <w:lang w:eastAsia="zh-CN"/>
              </w:rPr>
            </w:pPr>
            <w:r w:rsidRPr="001C4888">
              <w:rPr>
                <w:rFonts w:ascii="Arial" w:hAnsi="Arial" w:cs="Arial"/>
                <w:sz w:val="16"/>
                <w:szCs w:val="16"/>
              </w:rPr>
              <w:t>P6984</w:t>
            </w: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Chronic hepatitis B infection</w:t>
            </w:r>
          </w:p>
          <w:p w:rsidR="005C4E1C" w:rsidRPr="00E106BD" w:rsidRDefault="005C4E1C" w:rsidP="00881477">
            <w:pPr>
              <w:pStyle w:val="mps3-data"/>
              <w:spacing w:before="0" w:after="0"/>
              <w:rPr>
                <w:rFonts w:eastAsia="SimSun"/>
                <w:szCs w:val="16"/>
              </w:rPr>
            </w:pPr>
            <w:r w:rsidRPr="00E106BD">
              <w:rPr>
                <w:rFonts w:eastAsia="SimSun"/>
                <w:szCs w:val="16"/>
              </w:rPr>
              <w:t>Patient must not have cirrhosis; AND</w:t>
            </w:r>
          </w:p>
          <w:p w:rsidR="005C4E1C" w:rsidRPr="00E106BD" w:rsidRDefault="005C4E1C" w:rsidP="00881477">
            <w:pPr>
              <w:pStyle w:val="mps3-data"/>
              <w:spacing w:before="0" w:after="0"/>
              <w:rPr>
                <w:rFonts w:eastAsia="SimSun"/>
                <w:szCs w:val="16"/>
              </w:rPr>
            </w:pPr>
            <w:r w:rsidRPr="00E106BD">
              <w:rPr>
                <w:rFonts w:eastAsia="SimSun"/>
                <w:szCs w:val="16"/>
              </w:rPr>
              <w:t>Patient must have failed antihepadnaviral therapy; AND</w:t>
            </w:r>
          </w:p>
          <w:p w:rsidR="005C4E1C" w:rsidRPr="00E106BD" w:rsidRDefault="005C4E1C" w:rsidP="00881477">
            <w:pPr>
              <w:pStyle w:val="mps3-data"/>
              <w:spacing w:before="0" w:after="0"/>
              <w:rPr>
                <w:rFonts w:eastAsia="SimSun"/>
                <w:szCs w:val="16"/>
              </w:rPr>
            </w:pPr>
            <w:r w:rsidRPr="00E106BD">
              <w:rPr>
                <w:rFonts w:eastAsia="SimSun"/>
                <w:szCs w:val="16"/>
              </w:rPr>
              <w:t>Patient must have repeatedly elevated serum ALT levels while on concurrent antihepadnaviral therapy of greater than or equal to 6 months duration, in conjunction with documented chronic hepatitis B infection; OR</w:t>
            </w:r>
          </w:p>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repeatedly elevated HBV DNA levels one log greater than the nadir value or failure to achieve a 1 log reduction in HBV DNA within 3 months whilst on previous antihepadnaviral therapy, except in patients with evidence of poor compliance.</w:t>
            </w:r>
          </w:p>
        </w:tc>
        <w:tc>
          <w:tcPr>
            <w:tcW w:w="2552" w:type="dxa"/>
            <w:tcMar>
              <w:top w:w="28" w:type="dxa"/>
              <w:left w:w="28" w:type="dxa"/>
              <w:right w:w="57"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6984</w:t>
            </w:r>
          </w:p>
        </w:tc>
      </w:tr>
      <w:tr w:rsidR="005C4E1C" w:rsidRPr="00E106BD" w:rsidDel="00AF5846" w:rsidTr="008929EB">
        <w:tc>
          <w:tcPr>
            <w:tcW w:w="172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C6992</w:t>
            </w:r>
          </w:p>
        </w:tc>
        <w:tc>
          <w:tcPr>
            <w:tcW w:w="709" w:type="dxa"/>
            <w:tcMar>
              <w:top w:w="28" w:type="dxa"/>
              <w:left w:w="28" w:type="dxa"/>
            </w:tcMar>
          </w:tcPr>
          <w:p w:rsidR="005C4E1C" w:rsidRPr="00BD3829" w:rsidDel="00AF5846" w:rsidRDefault="005C4E1C" w:rsidP="00881477">
            <w:pPr>
              <w:spacing w:line="240" w:lineRule="auto"/>
              <w:rPr>
                <w:rFonts w:ascii="Arial" w:eastAsia="SimSun" w:hAnsi="Arial" w:cs="Arial"/>
                <w:sz w:val="16"/>
                <w:szCs w:val="16"/>
                <w:lang w:eastAsia="zh-CN"/>
              </w:rPr>
            </w:pPr>
            <w:r w:rsidRPr="001C4888">
              <w:rPr>
                <w:rFonts w:ascii="Arial" w:hAnsi="Arial" w:cs="Arial"/>
                <w:sz w:val="16"/>
                <w:szCs w:val="16"/>
              </w:rPr>
              <w:t>P6992</w:t>
            </w: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Chronic hepatitis B infection</w:t>
            </w:r>
          </w:p>
          <w:p w:rsidR="005C4E1C" w:rsidRPr="00E106BD" w:rsidRDefault="005C4E1C" w:rsidP="00881477">
            <w:pPr>
              <w:pStyle w:val="mps3-data"/>
              <w:spacing w:before="0" w:after="0"/>
              <w:rPr>
                <w:rFonts w:eastAsia="SimSun"/>
                <w:szCs w:val="16"/>
              </w:rPr>
            </w:pPr>
            <w:r w:rsidRPr="00E106BD">
              <w:rPr>
                <w:rFonts w:eastAsia="SimSun"/>
                <w:szCs w:val="16"/>
              </w:rPr>
              <w:t>Patient must not have cirrhosis; AND</w:t>
            </w:r>
          </w:p>
          <w:p w:rsidR="005C4E1C" w:rsidRPr="00E106BD" w:rsidRDefault="005C4E1C" w:rsidP="00881477">
            <w:pPr>
              <w:pStyle w:val="mps3-data"/>
              <w:spacing w:before="0" w:after="0"/>
              <w:rPr>
                <w:rFonts w:eastAsia="SimSun"/>
                <w:szCs w:val="16"/>
              </w:rPr>
            </w:pPr>
            <w:r w:rsidRPr="00E106BD">
              <w:rPr>
                <w:rFonts w:eastAsia="SimSun"/>
                <w:szCs w:val="16"/>
              </w:rPr>
              <w:t>Patient must be nucleoside analogue naive; AND</w:t>
            </w:r>
          </w:p>
          <w:p w:rsidR="005C4E1C" w:rsidRPr="00E106BD" w:rsidRDefault="005C4E1C" w:rsidP="00881477">
            <w:pPr>
              <w:pStyle w:val="mps3-data"/>
              <w:spacing w:before="0" w:after="0"/>
              <w:rPr>
                <w:rFonts w:eastAsia="SimSun"/>
                <w:szCs w:val="16"/>
              </w:rPr>
            </w:pPr>
            <w:r w:rsidRPr="00E106BD">
              <w:rPr>
                <w:rFonts w:eastAsia="SimSun"/>
                <w:szCs w:val="16"/>
              </w:rPr>
              <w:t>Patient must have elevated HBV DNA levels greater than 20,000 IU/mL (100,000 copies/mL) if HBeAg positive, in conjunction with documented hepatitis B infection; OR</w:t>
            </w:r>
          </w:p>
          <w:p w:rsidR="005C4E1C" w:rsidRPr="00E106BD" w:rsidRDefault="005C4E1C" w:rsidP="00881477">
            <w:pPr>
              <w:pStyle w:val="mps3-data"/>
              <w:spacing w:before="0" w:after="0"/>
              <w:rPr>
                <w:rFonts w:eastAsia="SimSun"/>
                <w:szCs w:val="16"/>
              </w:rPr>
            </w:pPr>
            <w:r w:rsidRPr="00E106BD">
              <w:rPr>
                <w:rFonts w:eastAsia="SimSun"/>
                <w:szCs w:val="16"/>
              </w:rPr>
              <w:t>Patient must have elevated HBV DNA levels greater than 2,000 IU/mL (10,000 copies/mL) if HBeAg negative, in conjunction with documented hepatitis B infection; AND</w:t>
            </w:r>
          </w:p>
          <w:p w:rsidR="005C4E1C" w:rsidRPr="00E106BD" w:rsidRDefault="005C4E1C" w:rsidP="00881477">
            <w:pPr>
              <w:pStyle w:val="mps3-data"/>
              <w:spacing w:before="0" w:after="0"/>
              <w:rPr>
                <w:rFonts w:eastAsia="SimSun"/>
                <w:szCs w:val="16"/>
              </w:rPr>
            </w:pPr>
            <w:r w:rsidRPr="00E106BD">
              <w:rPr>
                <w:rFonts w:eastAsia="SimSun"/>
                <w:szCs w:val="16"/>
              </w:rPr>
              <w:t>Patient must have evidence of chronic liver injury determined by: (i) confirmed elevated serum ALT; or (ii) liver biopsy; AND</w:t>
            </w:r>
          </w:p>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this condition.</w:t>
            </w:r>
          </w:p>
        </w:tc>
        <w:tc>
          <w:tcPr>
            <w:tcW w:w="2552" w:type="dxa"/>
            <w:tcMar>
              <w:top w:w="28" w:type="dxa"/>
              <w:left w:w="28" w:type="dxa"/>
              <w:right w:w="57"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6992</w:t>
            </w:r>
          </w:p>
        </w:tc>
      </w:tr>
      <w:tr w:rsidR="005C4E1C" w:rsidRPr="00E106BD" w:rsidDel="00AF5846" w:rsidTr="008929EB">
        <w:tc>
          <w:tcPr>
            <w:tcW w:w="172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C6998</w:t>
            </w:r>
          </w:p>
        </w:tc>
        <w:tc>
          <w:tcPr>
            <w:tcW w:w="709" w:type="dxa"/>
            <w:tcMar>
              <w:top w:w="28" w:type="dxa"/>
              <w:left w:w="28" w:type="dxa"/>
            </w:tcMar>
          </w:tcPr>
          <w:p w:rsidR="005C4E1C" w:rsidRPr="00BD3829" w:rsidDel="00AF5846" w:rsidRDefault="005C4E1C" w:rsidP="00881477">
            <w:pPr>
              <w:spacing w:line="240" w:lineRule="auto"/>
              <w:rPr>
                <w:rFonts w:ascii="Arial" w:eastAsia="SimSun" w:hAnsi="Arial" w:cs="Arial"/>
                <w:sz w:val="16"/>
                <w:szCs w:val="16"/>
                <w:lang w:eastAsia="zh-CN"/>
              </w:rPr>
            </w:pPr>
            <w:r w:rsidRPr="001C4888">
              <w:rPr>
                <w:rFonts w:ascii="Arial" w:hAnsi="Arial" w:cs="Arial"/>
                <w:sz w:val="16"/>
                <w:szCs w:val="16"/>
              </w:rPr>
              <w:t>P6998</w:t>
            </w: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HIV infection</w:t>
            </w:r>
          </w:p>
          <w:p w:rsidR="005C4E1C" w:rsidRPr="00E106BD" w:rsidRDefault="005C4E1C" w:rsidP="00881477">
            <w:pPr>
              <w:pStyle w:val="mps3-data"/>
              <w:spacing w:before="0" w:after="0"/>
              <w:rPr>
                <w:rFonts w:eastAsia="SimSun"/>
                <w:szCs w:val="16"/>
              </w:rPr>
            </w:pPr>
            <w:r w:rsidRPr="00E106BD">
              <w:rPr>
                <w:rFonts w:eastAsia="SimSun"/>
                <w:szCs w:val="16"/>
              </w:rPr>
              <w:t>Initial</w:t>
            </w:r>
          </w:p>
          <w:p w:rsidR="005C4E1C" w:rsidRPr="00E106BD" w:rsidRDefault="005C4E1C" w:rsidP="00881477">
            <w:pPr>
              <w:pStyle w:val="mps3-data"/>
              <w:spacing w:before="0" w:after="0"/>
              <w:rPr>
                <w:rFonts w:eastAsia="SimSun"/>
                <w:szCs w:val="16"/>
              </w:rPr>
            </w:pPr>
            <w:r w:rsidRPr="00E106BD">
              <w:rPr>
                <w:rFonts w:eastAsia="SimSun"/>
                <w:szCs w:val="16"/>
              </w:rPr>
              <w:t>Patient must be antiretroviral treatment naive; AND</w:t>
            </w:r>
          </w:p>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other antiretroviral agents.</w:t>
            </w:r>
          </w:p>
        </w:tc>
        <w:tc>
          <w:tcPr>
            <w:tcW w:w="2552" w:type="dxa"/>
            <w:tcMar>
              <w:top w:w="28" w:type="dxa"/>
              <w:left w:w="28" w:type="dxa"/>
              <w:right w:w="57" w:type="dxa"/>
            </w:tcMar>
          </w:tcPr>
          <w:p w:rsidR="005C4E1C" w:rsidRPr="00E106BD" w:rsidDel="00AF5846"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6998</w:t>
            </w:r>
          </w:p>
        </w:tc>
      </w:tr>
      <w:tr w:rsidR="005C4E1C" w:rsidRPr="00E106BD" w:rsidDel="00AF5846" w:rsidTr="008929EB">
        <w:tc>
          <w:tcPr>
            <w:tcW w:w="1729" w:type="dxa"/>
            <w:tcMar>
              <w:top w:w="28" w:type="dxa"/>
              <w:left w:w="28" w:type="dxa"/>
            </w:tcMar>
          </w:tcPr>
          <w:p w:rsidR="005C4E1C" w:rsidRPr="00E106BD" w:rsidDel="00AF5846"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3A13C5">
              <w:rPr>
                <w:rFonts w:ascii="Arial" w:hAnsi="Arial" w:cs="Arial"/>
                <w:sz w:val="16"/>
              </w:rPr>
              <w:t>C10362</w:t>
            </w:r>
          </w:p>
        </w:tc>
        <w:tc>
          <w:tcPr>
            <w:tcW w:w="709" w:type="dxa"/>
            <w:tcMar>
              <w:top w:w="28" w:type="dxa"/>
              <w:left w:w="28" w:type="dxa"/>
            </w:tcMar>
          </w:tcPr>
          <w:p w:rsidR="005C4E1C" w:rsidRPr="00BD3829" w:rsidRDefault="005C4E1C" w:rsidP="00881477">
            <w:pPr>
              <w:spacing w:line="240" w:lineRule="auto"/>
              <w:rPr>
                <w:rFonts w:ascii="Arial" w:hAnsi="Arial" w:cs="Arial"/>
                <w:sz w:val="16"/>
                <w:szCs w:val="16"/>
              </w:rPr>
            </w:pPr>
            <w:r w:rsidRPr="003A13C5">
              <w:rPr>
                <w:rFonts w:ascii="Arial" w:hAnsi="Arial" w:cs="Arial"/>
                <w:sz w:val="16"/>
              </w:rPr>
              <w:t>P10362</w:t>
            </w:r>
          </w:p>
        </w:tc>
        <w:tc>
          <w:tcPr>
            <w:tcW w:w="7654" w:type="dxa"/>
            <w:tcMar>
              <w:top w:w="28" w:type="dxa"/>
              <w:left w:w="28" w:type="dxa"/>
            </w:tcMar>
          </w:tcPr>
          <w:p w:rsidR="005C4E1C" w:rsidRPr="00E106BD" w:rsidRDefault="005C4E1C" w:rsidP="00881477">
            <w:pPr>
              <w:pStyle w:val="mps3-data"/>
              <w:spacing w:before="0" w:after="0"/>
              <w:rPr>
                <w:rFonts w:eastAsia="SimSun"/>
                <w:szCs w:val="16"/>
              </w:rPr>
            </w:pPr>
            <w:r w:rsidRPr="003A13C5">
              <w:rPr>
                <w:szCs w:val="16"/>
              </w:rPr>
              <w:t>Chronic hepatitis B infection</w:t>
            </w:r>
            <w:r w:rsidRPr="003A13C5">
              <w:rPr>
                <w:szCs w:val="16"/>
              </w:rPr>
              <w:br/>
              <w:t>Patient must be in the third trimester of pregnancy; AND</w:t>
            </w:r>
            <w:r w:rsidRPr="003A13C5">
              <w:rPr>
                <w:szCs w:val="16"/>
              </w:rPr>
              <w:br/>
              <w:t>Patient must have elevated HBV DNA levels greater than 200,000 IU/mL (1,000,000 copies/mL), in conjunction with documented hepatitis B infection.</w:t>
            </w:r>
          </w:p>
        </w:tc>
        <w:tc>
          <w:tcPr>
            <w:tcW w:w="2552" w:type="dxa"/>
            <w:tcMar>
              <w:top w:w="28" w:type="dxa"/>
              <w:left w:w="28" w:type="dxa"/>
              <w:right w:w="57" w:type="dxa"/>
            </w:tcMar>
          </w:tcPr>
          <w:p w:rsidR="005C4E1C" w:rsidRDefault="005C4E1C" w:rsidP="00881477">
            <w:pPr>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 xml:space="preserve">Compliance with Authority Required </w:t>
            </w:r>
          </w:p>
          <w:p w:rsidR="005C4E1C" w:rsidRPr="00E106BD" w:rsidRDefault="005C4E1C" w:rsidP="00881477">
            <w:pPr>
              <w:spacing w:line="240" w:lineRule="auto"/>
              <w:rPr>
                <w:rFonts w:ascii="Arial" w:eastAsia="SimSun" w:hAnsi="Arial" w:cs="Arial"/>
                <w:sz w:val="16"/>
                <w:szCs w:val="16"/>
                <w:lang w:eastAsia="zh-CN"/>
              </w:rPr>
            </w:pPr>
            <w:r w:rsidRPr="003A13C5">
              <w:rPr>
                <w:rFonts w:ascii="Arial" w:eastAsia="Arial" w:hAnsi="Arial" w:cs="Arial"/>
                <w:sz w:val="16"/>
                <w:szCs w:val="16"/>
                <w:lang w:eastAsia="zh-CN"/>
              </w:rPr>
              <w:t xml:space="preserve">procedures </w:t>
            </w:r>
            <w:r>
              <w:rPr>
                <w:rFonts w:ascii="Arial" w:eastAsia="SimSun" w:hAnsi="Arial" w:cs="Arial"/>
                <w:sz w:val="16"/>
                <w:szCs w:val="16"/>
                <w:lang w:eastAsia="zh-CN"/>
              </w:rPr>
              <w:noBreakHyphen/>
            </w:r>
            <w:r w:rsidRPr="003A13C5">
              <w:rPr>
                <w:rFonts w:ascii="Arial" w:eastAsia="Arial" w:hAnsi="Arial" w:cs="Arial"/>
                <w:sz w:val="16"/>
                <w:szCs w:val="16"/>
                <w:lang w:eastAsia="zh-CN"/>
              </w:rPr>
              <w:t xml:space="preserve"> Streamlined Authority Code 10362</w:t>
            </w:r>
          </w:p>
        </w:tc>
      </w:tr>
      <w:tr w:rsidR="005C4E1C" w:rsidRPr="00E106BD" w:rsidDel="00EF799C" w:rsidTr="008929EB">
        <w:tc>
          <w:tcPr>
            <w:tcW w:w="172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Tenofovir alafenamide with emtricitabine, elvitegravir and cobicistat</w:t>
            </w: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C4470</w:t>
            </w:r>
          </w:p>
        </w:tc>
        <w:tc>
          <w:tcPr>
            <w:tcW w:w="70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w:t>
            </w:r>
          </w:p>
        </w:tc>
        <w:tc>
          <w:tcPr>
            <w:tcW w:w="2552" w:type="dxa"/>
            <w:tcMar>
              <w:top w:w="28" w:type="dxa"/>
              <w:left w:w="28" w:type="dxa"/>
              <w:right w:w="57"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4470</w:t>
            </w:r>
          </w:p>
        </w:tc>
      </w:tr>
      <w:tr w:rsidR="005C4E1C" w:rsidRPr="00E106BD" w:rsidDel="00EF799C" w:rsidTr="008929EB">
        <w:tc>
          <w:tcPr>
            <w:tcW w:w="172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C4522</w:t>
            </w:r>
          </w:p>
        </w:tc>
        <w:tc>
          <w:tcPr>
            <w:tcW w:w="70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r w:rsidRPr="00E106BD">
              <w:rPr>
                <w:rFonts w:ascii="Arial" w:eastAsia="SimSun" w:hAnsi="Arial" w:cs="Arial"/>
                <w:sz w:val="16"/>
                <w:szCs w:val="16"/>
                <w:lang w:eastAsia="zh-CN"/>
              </w:rPr>
              <w:br/>
              <w:t>Patient must be antiretroviral treatment naive.</w:t>
            </w:r>
          </w:p>
        </w:tc>
        <w:tc>
          <w:tcPr>
            <w:tcW w:w="2552" w:type="dxa"/>
            <w:tcMar>
              <w:top w:w="28" w:type="dxa"/>
              <w:left w:w="28" w:type="dxa"/>
              <w:right w:w="57"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4522</w:t>
            </w:r>
          </w:p>
        </w:tc>
      </w:tr>
      <w:tr w:rsidR="005C4E1C" w:rsidRPr="00E106BD" w:rsidDel="00E80C54" w:rsidTr="008929EB">
        <w:trPr>
          <w:cantSplit/>
        </w:trPr>
        <w:tc>
          <w:tcPr>
            <w:tcW w:w="1729" w:type="dxa"/>
            <w:shd w:val="clear" w:color="auto" w:fill="auto"/>
            <w:tcMar>
              <w:top w:w="28" w:type="dxa"/>
              <w:left w:w="28" w:type="dxa"/>
            </w:tcMar>
          </w:tcPr>
          <w:p w:rsidR="005C4E1C" w:rsidRPr="00E106BD" w:rsidDel="00E80C54" w:rsidRDefault="005C4E1C" w:rsidP="00881477">
            <w:pPr>
              <w:spacing w:line="240" w:lineRule="auto"/>
              <w:rPr>
                <w:rFonts w:ascii="Arial" w:eastAsia="SimSun" w:hAnsi="Arial" w:cs="Arial"/>
                <w:sz w:val="16"/>
                <w:szCs w:val="16"/>
                <w:lang w:eastAsia="zh-CN"/>
              </w:rPr>
            </w:pPr>
            <w:bookmarkStart w:id="264" w:name="CU_563876344"/>
            <w:bookmarkEnd w:id="264"/>
            <w:r w:rsidRPr="00E106BD">
              <w:rPr>
                <w:rFonts w:ascii="Arial" w:eastAsia="SimSun" w:hAnsi="Arial" w:cs="Arial"/>
                <w:sz w:val="16"/>
                <w:szCs w:val="16"/>
                <w:lang w:eastAsia="zh-CN"/>
              </w:rPr>
              <w:t>Tenofovir with emtricitabine</w:t>
            </w:r>
          </w:p>
        </w:tc>
        <w:tc>
          <w:tcPr>
            <w:tcW w:w="709" w:type="dxa"/>
            <w:shd w:val="clear" w:color="auto" w:fill="auto"/>
            <w:tcMar>
              <w:top w:w="28" w:type="dxa"/>
              <w:left w:w="28" w:type="dxa"/>
            </w:tcMar>
          </w:tcPr>
          <w:p w:rsidR="005C4E1C" w:rsidRPr="00E106BD" w:rsidDel="00E80C54"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C6985</w:t>
            </w:r>
          </w:p>
        </w:tc>
        <w:tc>
          <w:tcPr>
            <w:tcW w:w="709" w:type="dxa"/>
            <w:shd w:val="clear" w:color="auto" w:fill="auto"/>
            <w:tcMar>
              <w:top w:w="28" w:type="dxa"/>
              <w:left w:w="28" w:type="dxa"/>
            </w:tcMar>
          </w:tcPr>
          <w:p w:rsidR="005C4E1C" w:rsidRPr="00E106BD" w:rsidDel="00E80C54" w:rsidRDefault="005C4E1C"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HIV infection</w:t>
            </w:r>
          </w:p>
          <w:p w:rsidR="005C4E1C" w:rsidRPr="00E106BD" w:rsidRDefault="005C4E1C" w:rsidP="00881477">
            <w:pPr>
              <w:pStyle w:val="mps3-data"/>
              <w:spacing w:before="0" w:after="0"/>
              <w:rPr>
                <w:rFonts w:eastAsia="SimSun"/>
                <w:szCs w:val="16"/>
              </w:rPr>
            </w:pPr>
            <w:r w:rsidRPr="00E106BD">
              <w:rPr>
                <w:rFonts w:eastAsia="SimSun"/>
                <w:szCs w:val="16"/>
              </w:rPr>
              <w:t>Initial</w:t>
            </w:r>
          </w:p>
          <w:p w:rsidR="005C4E1C" w:rsidRPr="00E106BD" w:rsidRDefault="005C4E1C" w:rsidP="00881477">
            <w:pPr>
              <w:pStyle w:val="mps3-data"/>
              <w:spacing w:before="0" w:after="0"/>
              <w:rPr>
                <w:rFonts w:eastAsia="SimSun"/>
                <w:szCs w:val="16"/>
              </w:rPr>
            </w:pPr>
            <w:r w:rsidRPr="00E106BD">
              <w:rPr>
                <w:rFonts w:eastAsia="SimSun"/>
                <w:szCs w:val="16"/>
              </w:rPr>
              <w:t>Patient must be antiretroviral treatment naive; AND</w:t>
            </w:r>
          </w:p>
          <w:p w:rsidR="005C4E1C" w:rsidRPr="00E106BD" w:rsidDel="00E80C54"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other antiretroviral agents.</w:t>
            </w:r>
          </w:p>
        </w:tc>
        <w:tc>
          <w:tcPr>
            <w:tcW w:w="2552" w:type="dxa"/>
            <w:shd w:val="clear" w:color="auto" w:fill="auto"/>
            <w:tcMar>
              <w:top w:w="28" w:type="dxa"/>
              <w:left w:w="28" w:type="dxa"/>
              <w:right w:w="57" w:type="dxa"/>
            </w:tcMar>
          </w:tcPr>
          <w:p w:rsidR="005C4E1C" w:rsidRPr="00E106BD" w:rsidDel="00E80C54"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6985</w:t>
            </w:r>
          </w:p>
        </w:tc>
      </w:tr>
      <w:tr w:rsidR="005C4E1C" w:rsidRPr="00E106BD" w:rsidDel="00E80C54" w:rsidTr="008929EB">
        <w:trPr>
          <w:cantSplit/>
        </w:trPr>
        <w:tc>
          <w:tcPr>
            <w:tcW w:w="1729" w:type="dxa"/>
            <w:shd w:val="clear" w:color="auto" w:fill="auto"/>
            <w:tcMar>
              <w:top w:w="28" w:type="dxa"/>
              <w:left w:w="28" w:type="dxa"/>
            </w:tcMar>
          </w:tcPr>
          <w:p w:rsidR="005C4E1C" w:rsidRPr="00E106BD" w:rsidDel="00E80C54" w:rsidRDefault="005C4E1C"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5C4E1C" w:rsidRPr="00E106BD" w:rsidDel="00E80C54"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C6986</w:t>
            </w:r>
          </w:p>
        </w:tc>
        <w:tc>
          <w:tcPr>
            <w:tcW w:w="709" w:type="dxa"/>
            <w:shd w:val="clear" w:color="auto" w:fill="auto"/>
            <w:tcMar>
              <w:top w:w="28" w:type="dxa"/>
              <w:left w:w="28" w:type="dxa"/>
            </w:tcMar>
          </w:tcPr>
          <w:p w:rsidR="005C4E1C" w:rsidRPr="00E106BD" w:rsidDel="00E80C54" w:rsidRDefault="005C4E1C"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C4E1C" w:rsidRPr="00E106BD" w:rsidRDefault="005C4E1C" w:rsidP="00881477">
            <w:pPr>
              <w:pStyle w:val="mps3-data"/>
              <w:spacing w:before="0" w:after="0"/>
              <w:rPr>
                <w:rFonts w:eastAsia="SimSun"/>
                <w:szCs w:val="16"/>
              </w:rPr>
            </w:pPr>
            <w:r w:rsidRPr="00E106BD">
              <w:rPr>
                <w:rFonts w:eastAsia="SimSun"/>
                <w:szCs w:val="16"/>
              </w:rPr>
              <w:t>HIV infection</w:t>
            </w:r>
          </w:p>
          <w:p w:rsidR="005C4E1C" w:rsidRPr="00E106BD" w:rsidRDefault="005C4E1C" w:rsidP="00881477">
            <w:pPr>
              <w:pStyle w:val="mps3-data"/>
              <w:spacing w:before="0" w:after="0"/>
              <w:rPr>
                <w:rFonts w:eastAsia="SimSun"/>
                <w:szCs w:val="16"/>
              </w:rPr>
            </w:pPr>
            <w:r w:rsidRPr="00E106BD">
              <w:rPr>
                <w:rFonts w:eastAsia="SimSun"/>
                <w:szCs w:val="16"/>
              </w:rPr>
              <w:t>Continuing</w:t>
            </w:r>
          </w:p>
          <w:p w:rsidR="005C4E1C" w:rsidRPr="00E106BD" w:rsidRDefault="005C4E1C" w:rsidP="00881477">
            <w:pPr>
              <w:pStyle w:val="mps3-data"/>
              <w:spacing w:before="0" w:after="0"/>
              <w:rPr>
                <w:rFonts w:eastAsia="SimSun"/>
                <w:szCs w:val="16"/>
              </w:rPr>
            </w:pPr>
            <w:r w:rsidRPr="00E106BD">
              <w:rPr>
                <w:rFonts w:eastAsia="SimSun"/>
                <w:szCs w:val="16"/>
              </w:rPr>
              <w:t>Patient must have previously received PBS</w:t>
            </w:r>
            <w:r>
              <w:rPr>
                <w:rFonts w:eastAsia="SimSun"/>
                <w:szCs w:val="16"/>
              </w:rPr>
              <w:noBreakHyphen/>
            </w:r>
            <w:r w:rsidRPr="00E106BD">
              <w:rPr>
                <w:rFonts w:eastAsia="SimSun"/>
                <w:szCs w:val="16"/>
              </w:rPr>
              <w:t>subsidised therapy for HIV infection; AND</w:t>
            </w:r>
          </w:p>
          <w:p w:rsidR="005C4E1C" w:rsidRPr="00E106BD" w:rsidDel="00E80C54"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other antiretroviral agents.</w:t>
            </w:r>
          </w:p>
        </w:tc>
        <w:tc>
          <w:tcPr>
            <w:tcW w:w="2552" w:type="dxa"/>
            <w:shd w:val="clear" w:color="auto" w:fill="auto"/>
            <w:tcMar>
              <w:top w:w="28" w:type="dxa"/>
              <w:left w:w="28" w:type="dxa"/>
              <w:right w:w="57" w:type="dxa"/>
            </w:tcMar>
          </w:tcPr>
          <w:p w:rsidR="005C4E1C" w:rsidRPr="00E106BD" w:rsidDel="00E80C54"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6986</w:t>
            </w:r>
          </w:p>
        </w:tc>
      </w:tr>
      <w:tr w:rsidR="005C4E1C" w:rsidRPr="00E106BD" w:rsidDel="00EF799C" w:rsidTr="008929EB">
        <w:tc>
          <w:tcPr>
            <w:tcW w:w="172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Tenofovir with emtricitabine and efavirenz </w:t>
            </w:r>
          </w:p>
        </w:tc>
        <w:tc>
          <w:tcPr>
            <w:tcW w:w="70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C4470</w:t>
            </w:r>
          </w:p>
        </w:tc>
        <w:tc>
          <w:tcPr>
            <w:tcW w:w="70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5C4E1C" w:rsidRPr="00E106BD" w:rsidDel="00EF799C"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w:t>
            </w:r>
          </w:p>
        </w:tc>
        <w:tc>
          <w:tcPr>
            <w:tcW w:w="2552" w:type="dxa"/>
            <w:tcMar>
              <w:top w:w="28" w:type="dxa"/>
              <w:left w:w="28" w:type="dxa"/>
              <w:right w:w="57" w:type="dxa"/>
            </w:tcMar>
          </w:tcPr>
          <w:p w:rsidR="005C4E1C" w:rsidRPr="00E106BD" w:rsidDel="00EF799C"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4470</w:t>
            </w:r>
          </w:p>
        </w:tc>
      </w:tr>
      <w:tr w:rsidR="005C4E1C" w:rsidRPr="00E106BD" w:rsidDel="00EF799C" w:rsidTr="008929EB">
        <w:tc>
          <w:tcPr>
            <w:tcW w:w="172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p>
        </w:tc>
        <w:tc>
          <w:tcPr>
            <w:tcW w:w="70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C4522</w:t>
            </w:r>
          </w:p>
        </w:tc>
        <w:tc>
          <w:tcPr>
            <w:tcW w:w="70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5C4E1C" w:rsidRPr="00E106BD" w:rsidDel="00EF799C"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w:t>
            </w:r>
          </w:p>
        </w:tc>
        <w:tc>
          <w:tcPr>
            <w:tcW w:w="2552" w:type="dxa"/>
            <w:tcMar>
              <w:top w:w="28" w:type="dxa"/>
              <w:left w:w="28" w:type="dxa"/>
              <w:right w:w="57" w:type="dxa"/>
            </w:tcMar>
          </w:tcPr>
          <w:p w:rsidR="005C4E1C" w:rsidRPr="00E106BD" w:rsidDel="00EF799C"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4522</w:t>
            </w:r>
          </w:p>
        </w:tc>
      </w:tr>
      <w:tr w:rsidR="005C4E1C" w:rsidRPr="00E106BD" w:rsidDel="00EF799C" w:rsidTr="008929EB">
        <w:tc>
          <w:tcPr>
            <w:tcW w:w="172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bookmarkStart w:id="265" w:name="CU_570878365"/>
            <w:bookmarkEnd w:id="265"/>
            <w:r w:rsidRPr="00E106BD">
              <w:rPr>
                <w:rFonts w:ascii="Arial" w:eastAsia="SimSun" w:hAnsi="Arial" w:cs="Arial"/>
                <w:sz w:val="16"/>
                <w:szCs w:val="16"/>
                <w:lang w:eastAsia="zh-CN"/>
              </w:rPr>
              <w:t>Tezacaftor with ivacaftor and ivacaftor</w:t>
            </w:r>
          </w:p>
        </w:tc>
        <w:tc>
          <w:tcPr>
            <w:tcW w:w="709"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C9880</w:t>
            </w:r>
          </w:p>
        </w:tc>
        <w:tc>
          <w:tcPr>
            <w:tcW w:w="709" w:type="dxa"/>
            <w:tcMar>
              <w:top w:w="28" w:type="dxa"/>
              <w:left w:w="28" w:type="dxa"/>
            </w:tcMar>
          </w:tcPr>
          <w:p w:rsidR="005C4E1C" w:rsidRPr="00E106BD" w:rsidDel="00EF799C" w:rsidRDefault="005C4E1C" w:rsidP="00881477">
            <w:pPr>
              <w:spacing w:line="240" w:lineRule="auto"/>
              <w:rPr>
                <w:rFonts w:ascii="Arial" w:eastAsia="SimSun" w:hAnsi="Arial" w:cs="Arial"/>
                <w:sz w:val="16"/>
                <w:szCs w:val="16"/>
                <w:lang w:eastAsia="zh-CN"/>
              </w:rPr>
            </w:pPr>
          </w:p>
        </w:tc>
        <w:tc>
          <w:tcPr>
            <w:tcW w:w="7654" w:type="dxa"/>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Cystic fibrosis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homozygous for the F508del mutation</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12 years of age or older.</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w:t>
            </w:r>
            <w:r w:rsidR="00A653CA">
              <w:rPr>
                <w:rFonts w:ascii="Arial" w:eastAsia="SimSun" w:hAnsi="Arial" w:cs="Arial"/>
                <w:sz w:val="16"/>
                <w:szCs w:val="16"/>
                <w:lang w:eastAsia="zh-CN"/>
              </w:rPr>
              <w:t>’</w:t>
            </w:r>
            <w:r w:rsidRPr="00E106BD">
              <w:rPr>
                <w:rFonts w:ascii="Arial" w:eastAsia="SimSun" w:hAnsi="Arial" w:cs="Arial"/>
                <w:sz w:val="16"/>
                <w:szCs w:val="16"/>
                <w:lang w:eastAsia="zh-CN"/>
              </w:rPr>
              <w:t>s supply in order to enable the assessment to be repeated following resolution of the exacerbation.</w:t>
            </w:r>
            <w:r w:rsidRPr="00E106BD">
              <w:rPr>
                <w:rFonts w:ascii="Arial" w:eastAsia="SimSun" w:hAnsi="Arial" w:cs="Arial"/>
                <w:sz w:val="16"/>
                <w:szCs w:val="16"/>
                <w:lang w:eastAsia="zh-CN"/>
              </w:rPr>
              <w:br/>
              <w:t xml:space="preserve">For the purposes of this restriction, PBS subsidised </w:t>
            </w:r>
            <w:r w:rsidR="00A653CA">
              <w:rPr>
                <w:rFonts w:ascii="Arial" w:eastAsia="SimSun" w:hAnsi="Arial" w:cs="Arial"/>
                <w:sz w:val="16"/>
                <w:szCs w:val="16"/>
                <w:lang w:eastAsia="zh-CN"/>
              </w:rPr>
              <w:t>‘</w:t>
            </w:r>
            <w:r w:rsidRPr="00E106BD">
              <w:rPr>
                <w:rFonts w:ascii="Arial" w:eastAsia="SimSun" w:hAnsi="Arial" w:cs="Arial"/>
                <w:sz w:val="16"/>
                <w:szCs w:val="16"/>
                <w:lang w:eastAsia="zh-CN"/>
              </w:rPr>
              <w:t>CFTR modulator</w:t>
            </w:r>
            <w:r w:rsidR="00A653CA">
              <w:rPr>
                <w:rFonts w:ascii="Arial" w:eastAsia="SimSun" w:hAnsi="Arial" w:cs="Arial"/>
                <w:sz w:val="16"/>
                <w:szCs w:val="16"/>
                <w:lang w:eastAsia="zh-CN"/>
              </w:rPr>
              <w:t>’</w:t>
            </w:r>
            <w:r w:rsidRPr="00E106BD">
              <w:rPr>
                <w:rFonts w:ascii="Arial" w:eastAsia="SimSun" w:hAnsi="Arial" w:cs="Arial"/>
                <w:sz w:val="16"/>
                <w:szCs w:val="16"/>
                <w:lang w:eastAsia="zh-CN"/>
              </w:rPr>
              <w:t xml:space="preserve"> means ivacaftor, lumacaftor/ivacaftor and tezacaftor/ivacaftor.</w:t>
            </w:r>
            <w:r w:rsidRPr="00E106BD">
              <w:rPr>
                <w:rFonts w:ascii="Arial" w:eastAsia="SimSun" w:hAnsi="Arial" w:cs="Arial"/>
                <w:sz w:val="16"/>
                <w:szCs w:val="16"/>
                <w:lang w:eastAsia="zh-CN"/>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E106BD">
              <w:rPr>
                <w:rFonts w:ascii="Arial" w:eastAsia="SimSun" w:hAnsi="Arial" w:cs="Arial"/>
                <w:sz w:val="16"/>
                <w:szCs w:val="16"/>
                <w:lang w:eastAsia="zh-CN"/>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E106BD">
              <w:rPr>
                <w:rFonts w:ascii="Arial" w:eastAsia="SimSun" w:hAnsi="Arial" w:cs="Arial"/>
                <w:sz w:val="16"/>
                <w:szCs w:val="16"/>
                <w:lang w:eastAsia="zh-CN"/>
              </w:rPr>
              <w:br/>
              <w:t>Tezacaftor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sidR="00A653CA">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tezacaftor with ivacaftor Continuing Authority Application Supporting Information Form; and</w:t>
            </w:r>
            <w:r w:rsidRPr="00E106BD">
              <w:rPr>
                <w:rFonts w:ascii="Arial" w:eastAsia="SimSun" w:hAnsi="Arial" w:cs="Arial"/>
                <w:sz w:val="16"/>
                <w:szCs w:val="16"/>
                <w:lang w:eastAsia="zh-CN"/>
              </w:rPr>
              <w:br/>
              <w:t>(3) the result of a FEV1measurement performed within a month prior to the date of application.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6 months.</w:t>
            </w:r>
          </w:p>
        </w:tc>
        <w:tc>
          <w:tcPr>
            <w:tcW w:w="2552" w:type="dxa"/>
            <w:tcMar>
              <w:top w:w="28" w:type="dxa"/>
              <w:left w:w="28" w:type="dxa"/>
              <w:right w:w="57"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5C4E1C" w:rsidRPr="00E106BD" w:rsidDel="00EF799C" w:rsidTr="008929EB">
        <w:tc>
          <w:tcPr>
            <w:tcW w:w="1729" w:type="dxa"/>
            <w:tcMar>
              <w:top w:w="28" w:type="dxa"/>
              <w:left w:w="28" w:type="dxa"/>
            </w:tcMar>
          </w:tcPr>
          <w:p w:rsidR="005C4E1C" w:rsidRPr="00E106BD" w:rsidRDefault="005C4E1C" w:rsidP="00881477">
            <w:pPr>
              <w:spacing w:line="240" w:lineRule="auto"/>
              <w:rPr>
                <w:rFonts w:ascii="Arial" w:hAnsi="Arial" w:cs="Arial"/>
                <w:sz w:val="16"/>
                <w:szCs w:val="16"/>
              </w:rPr>
            </w:pPr>
          </w:p>
        </w:tc>
        <w:tc>
          <w:tcPr>
            <w:tcW w:w="709" w:type="dxa"/>
            <w:tcMar>
              <w:top w:w="28" w:type="dxa"/>
              <w:left w:w="28" w:type="dxa"/>
            </w:tcMar>
          </w:tcPr>
          <w:p w:rsidR="005C4E1C" w:rsidRPr="00E106BD" w:rsidRDefault="005C4E1C" w:rsidP="00881477">
            <w:pPr>
              <w:spacing w:line="240" w:lineRule="auto"/>
              <w:rPr>
                <w:rFonts w:ascii="Arial" w:hAnsi="Arial" w:cs="Arial"/>
                <w:sz w:val="16"/>
                <w:szCs w:val="16"/>
              </w:rPr>
            </w:pPr>
            <w:r w:rsidRPr="00E106BD">
              <w:rPr>
                <w:rFonts w:ascii="Arial" w:hAnsi="Arial" w:cs="Arial"/>
                <w:sz w:val="16"/>
                <w:szCs w:val="16"/>
              </w:rPr>
              <w:t>C9961</w:t>
            </w:r>
          </w:p>
        </w:tc>
        <w:tc>
          <w:tcPr>
            <w:tcW w:w="709" w:type="dxa"/>
            <w:tcMar>
              <w:top w:w="28" w:type="dxa"/>
              <w:left w:w="28" w:type="dxa"/>
            </w:tcMar>
          </w:tcPr>
          <w:p w:rsidR="005C4E1C" w:rsidRPr="00E106BD" w:rsidDel="00EF799C" w:rsidRDefault="005C4E1C" w:rsidP="00881477">
            <w:pPr>
              <w:spacing w:line="240" w:lineRule="auto"/>
              <w:rPr>
                <w:rFonts w:ascii="Arial" w:hAnsi="Arial" w:cs="Arial"/>
                <w:sz w:val="16"/>
                <w:szCs w:val="16"/>
              </w:rPr>
            </w:pPr>
          </w:p>
        </w:tc>
        <w:tc>
          <w:tcPr>
            <w:tcW w:w="7654" w:type="dxa"/>
            <w:tcMar>
              <w:top w:w="28" w:type="dxa"/>
              <w:left w:w="28" w:type="dxa"/>
            </w:tcMar>
          </w:tcPr>
          <w:p w:rsidR="005C4E1C" w:rsidRPr="00E106BD" w:rsidRDefault="005C4E1C" w:rsidP="00881477">
            <w:pPr>
              <w:spacing w:line="240" w:lineRule="auto"/>
              <w:rPr>
                <w:rFonts w:ascii="Arial" w:hAnsi="Arial" w:cs="Arial"/>
                <w:sz w:val="16"/>
                <w:szCs w:val="16"/>
              </w:rPr>
            </w:pPr>
            <w:r w:rsidRPr="00E106BD">
              <w:rPr>
                <w:rFonts w:ascii="Arial" w:hAnsi="Arial" w:cs="Arial"/>
                <w:sz w:val="16"/>
                <w:szCs w:val="16"/>
              </w:rPr>
              <w:t xml:space="preserve">Cystic fibrosis </w:t>
            </w:r>
            <w:r>
              <w:rPr>
                <w:rFonts w:ascii="Arial" w:hAnsi="Arial" w:cs="Arial"/>
                <w:sz w:val="16"/>
                <w:szCs w:val="16"/>
              </w:rPr>
              <w:noBreakHyphen/>
            </w:r>
            <w:r w:rsidRPr="00E106BD">
              <w:rPr>
                <w:rFonts w:ascii="Arial" w:hAnsi="Arial" w:cs="Arial"/>
                <w:sz w:val="16"/>
                <w:szCs w:val="16"/>
              </w:rPr>
              <w:t xml:space="preserve"> homozygous for the F508del mutation</w:t>
            </w:r>
            <w:r w:rsidRPr="00E106BD">
              <w:rPr>
                <w:rFonts w:ascii="Arial" w:hAnsi="Arial" w:cs="Arial"/>
                <w:sz w:val="16"/>
                <w:szCs w:val="16"/>
              </w:rPr>
              <w:br/>
              <w:t>Initial treatment</w:t>
            </w:r>
            <w:r w:rsidRPr="00E106BD">
              <w:rPr>
                <w:rFonts w:ascii="Arial" w:hAnsi="Arial" w:cs="Arial"/>
                <w:sz w:val="16"/>
                <w:szCs w:val="16"/>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hAnsi="Arial" w:cs="Arial"/>
                <w:sz w:val="16"/>
                <w:szCs w:val="16"/>
              </w:rPr>
              <w:br/>
              <w:t>Must be treated in a centre with expertise in cystic fibrosis or in consultation with a centre with expertise in cystic fibrosis if attendance is not possible due to geographic isolation.</w:t>
            </w:r>
            <w:r w:rsidRPr="00E106BD">
              <w:rPr>
                <w:rFonts w:ascii="Arial" w:hAnsi="Arial" w:cs="Arial"/>
                <w:sz w:val="16"/>
                <w:szCs w:val="16"/>
              </w:rPr>
              <w:br/>
              <w:t>Patient must be homozygous for the F508del mutation in the cystic fibrosis transmembrane conductance regulator (CFTR) gene;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cystic fibrosis transmembrane conductance regulator (CFTR) modulator therapy for this condition; AND</w:t>
            </w:r>
            <w:r w:rsidRPr="00E106BD">
              <w:rPr>
                <w:rFonts w:ascii="Arial" w:hAnsi="Arial" w:cs="Arial"/>
                <w:sz w:val="16"/>
                <w:szCs w:val="16"/>
              </w:rPr>
              <w:br/>
              <w:t>The treatment must be given concomitantly with standard therapy for this condition; AND</w:t>
            </w:r>
            <w:r w:rsidRPr="00E106BD">
              <w:rPr>
                <w:rFonts w:ascii="Arial" w:hAnsi="Arial" w:cs="Arial"/>
                <w:sz w:val="16"/>
                <w:szCs w:val="16"/>
              </w:rPr>
              <w:br/>
              <w:t>Patient must have either chronic sinopulmonary disease or gastrointestinal and nutritional abnormalities.</w:t>
            </w:r>
            <w:r w:rsidRPr="00E106BD">
              <w:rPr>
                <w:rFonts w:ascii="Arial" w:hAnsi="Arial" w:cs="Arial"/>
                <w:sz w:val="16"/>
                <w:szCs w:val="16"/>
              </w:rPr>
              <w:br/>
              <w:t>Patient must be 12 years of age or older.</w:t>
            </w:r>
            <w:r w:rsidRPr="00E106BD">
              <w:rPr>
                <w:rFonts w:ascii="Arial" w:hAnsi="Arial" w:cs="Arial"/>
                <w:sz w:val="16"/>
                <w:szCs w:val="16"/>
              </w:rPr>
              <w:br/>
              <w:t>The patient must be registered in the Australian Cystic Fibrosis Database Registry.</w:t>
            </w:r>
            <w:r w:rsidRPr="00E106BD">
              <w:rPr>
                <w:rFonts w:ascii="Arial" w:hAnsi="Arial" w:cs="Arial"/>
                <w:sz w:val="16"/>
                <w:szCs w:val="16"/>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hAnsi="Arial" w:cs="Arial"/>
                <w:sz w:val="16"/>
                <w:szCs w:val="16"/>
              </w:rPr>
              <w:br/>
              <w:t xml:space="preserve">For the purposes of this restriction, PBS subsidised </w:t>
            </w:r>
            <w:r w:rsidR="00A653CA">
              <w:rPr>
                <w:rFonts w:ascii="Arial" w:hAnsi="Arial" w:cs="Arial"/>
                <w:sz w:val="16"/>
                <w:szCs w:val="16"/>
              </w:rPr>
              <w:t>‘</w:t>
            </w:r>
            <w:r w:rsidRPr="00E106BD">
              <w:rPr>
                <w:rFonts w:ascii="Arial" w:hAnsi="Arial" w:cs="Arial"/>
                <w:sz w:val="16"/>
                <w:szCs w:val="16"/>
              </w:rPr>
              <w:t>CFTR modulator</w:t>
            </w:r>
            <w:r w:rsidR="00A653CA">
              <w:rPr>
                <w:rFonts w:ascii="Arial" w:hAnsi="Arial" w:cs="Arial"/>
                <w:sz w:val="16"/>
                <w:szCs w:val="16"/>
              </w:rPr>
              <w:t>’</w:t>
            </w:r>
            <w:r w:rsidRPr="00E106BD">
              <w:rPr>
                <w:rFonts w:ascii="Arial" w:hAnsi="Arial" w:cs="Arial"/>
                <w:sz w:val="16"/>
                <w:szCs w:val="16"/>
              </w:rPr>
              <w:t xml:space="preserve"> means ivacaftor, lumacaftor/ivacaftor and tezacaftor/ivacaftor.</w:t>
            </w:r>
            <w:r w:rsidRPr="00E106BD">
              <w:rPr>
                <w:rFonts w:ascii="Arial" w:hAnsi="Arial" w:cs="Arial"/>
                <w:sz w:val="16"/>
                <w:szCs w:val="16"/>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E106BD">
              <w:rPr>
                <w:rFonts w:ascii="Arial" w:hAnsi="Arial" w:cs="Arial"/>
                <w:sz w:val="16"/>
                <w:szCs w:val="16"/>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E106BD">
              <w:rPr>
                <w:rFonts w:ascii="Arial" w:hAnsi="Arial" w:cs="Arial"/>
                <w:sz w:val="16"/>
                <w:szCs w:val="16"/>
              </w:rPr>
              <w:br/>
              <w:t>Tezacaftor with ivacaftor is not PBS</w:t>
            </w:r>
            <w:r>
              <w:rPr>
                <w:rFonts w:ascii="Arial" w:hAnsi="Arial" w:cs="Arial"/>
                <w:sz w:val="16"/>
                <w:szCs w:val="16"/>
              </w:rPr>
              <w:noBreakHyphen/>
            </w:r>
            <w:r w:rsidRPr="00E106BD">
              <w:rPr>
                <w:rFonts w:ascii="Arial" w:hAnsi="Arial" w:cs="Arial"/>
                <w:sz w:val="16"/>
                <w:szCs w:val="16"/>
              </w:rPr>
              <w:t>subsidised for this condition in a patient who is currently receiving one of the following CYP3A4 inducers:</w:t>
            </w:r>
            <w:r w:rsidRPr="00E106BD">
              <w:rPr>
                <w:rFonts w:ascii="Arial" w:hAnsi="Arial" w:cs="Arial"/>
                <w:sz w:val="16"/>
                <w:szCs w:val="16"/>
              </w:rPr>
              <w:br/>
              <w:t>Strong CYP3A4 inducers: avasimibe, carbamazepine, phenobarbital, phenytoin, rifabutin, rifampicin, St. John</w:t>
            </w:r>
            <w:r w:rsidR="00A653CA">
              <w:rPr>
                <w:rFonts w:ascii="Arial" w:hAnsi="Arial" w:cs="Arial"/>
                <w:sz w:val="16"/>
                <w:szCs w:val="16"/>
              </w:rPr>
              <w:t>’</w:t>
            </w:r>
            <w:r w:rsidRPr="00E106BD">
              <w:rPr>
                <w:rFonts w:ascii="Arial" w:hAnsi="Arial" w:cs="Arial"/>
                <w:sz w:val="16"/>
                <w:szCs w:val="16"/>
              </w:rPr>
              <w:t>s wort;</w:t>
            </w:r>
            <w:r w:rsidRPr="00E106BD">
              <w:rPr>
                <w:rFonts w:ascii="Arial" w:hAnsi="Arial" w:cs="Arial"/>
                <w:sz w:val="16"/>
                <w:szCs w:val="16"/>
              </w:rPr>
              <w:br/>
              <w:t>Moderate CYP3A4 inducers: bosentan, efavirenz, etravirine, modafinil, nafcillin;</w:t>
            </w:r>
            <w:r w:rsidRPr="00E106BD">
              <w:rPr>
                <w:rFonts w:ascii="Arial" w:hAnsi="Arial" w:cs="Arial"/>
                <w:sz w:val="16"/>
                <w:szCs w:val="16"/>
              </w:rPr>
              <w:br/>
              <w:t>Weak CYP3A4 inducers: armodafinil, echinacea, pioglitazone, rufinamide.</w:t>
            </w:r>
            <w:r w:rsidRPr="00E106BD">
              <w:rPr>
                <w:rFonts w:ascii="Arial" w:hAnsi="Arial" w:cs="Arial"/>
                <w:sz w:val="16"/>
                <w:szCs w:val="16"/>
              </w:rPr>
              <w:br/>
              <w:t>The authority application must be in writing and must include:</w:t>
            </w:r>
            <w:r w:rsidRPr="00E106BD">
              <w:rPr>
                <w:rFonts w:ascii="Arial" w:hAnsi="Arial" w:cs="Arial"/>
                <w:sz w:val="16"/>
                <w:szCs w:val="16"/>
              </w:rPr>
              <w:br/>
              <w:t>(1) a completed authority prescription form; and</w:t>
            </w:r>
            <w:r w:rsidRPr="00E106BD">
              <w:rPr>
                <w:rFonts w:ascii="Arial" w:hAnsi="Arial" w:cs="Arial"/>
                <w:sz w:val="16"/>
                <w:szCs w:val="16"/>
              </w:rPr>
              <w:br/>
              <w:t>(2) a completed Cystic Fibrosis tezacaftor with ivacaftor Authority Application Supporting Information Form; and</w:t>
            </w:r>
            <w:r w:rsidRPr="00E106BD">
              <w:rPr>
                <w:rFonts w:ascii="Arial" w:hAnsi="Arial" w:cs="Arial"/>
                <w:sz w:val="16"/>
                <w:szCs w:val="16"/>
              </w:rPr>
              <w:br/>
              <w:t>(3) a copy of the pathology report detailing the molecular testing for the patient being homozygous for the F508del mutation on the CFTR gene; and</w:t>
            </w:r>
            <w:r w:rsidRPr="00E106BD">
              <w:rPr>
                <w:rFonts w:ascii="Arial" w:hAnsi="Arial" w:cs="Arial"/>
                <w:sz w:val="16"/>
                <w:szCs w:val="16"/>
              </w:rPr>
              <w:br/>
              <w:t>(4) the result of a FEV1measurement performed within a month prior to the date of application. Note: FEV1must be measured in an accredited pulmonary function laboratory, with documented no acute infective exacerbation at the time FEV1is measured; and</w:t>
            </w:r>
            <w:r w:rsidRPr="00E106BD">
              <w:rPr>
                <w:rFonts w:ascii="Arial" w:hAnsi="Arial" w:cs="Arial"/>
                <w:sz w:val="16"/>
                <w:szCs w:val="16"/>
              </w:rPr>
              <w:br/>
              <w:t>(5) current CYP3A4 inhibitors, CYP3A4 inducers and IV antibiotics; and</w:t>
            </w:r>
            <w:r w:rsidRPr="00E106BD">
              <w:rPr>
                <w:rFonts w:ascii="Arial" w:hAnsi="Arial" w:cs="Arial"/>
                <w:sz w:val="16"/>
                <w:szCs w:val="16"/>
              </w:rPr>
              <w:br/>
              <w:t>(6) height and weight measurements at the time of application; and</w:t>
            </w:r>
            <w:r w:rsidRPr="00E106BD">
              <w:rPr>
                <w:rFonts w:ascii="Arial" w:hAnsi="Arial" w:cs="Arial"/>
                <w:sz w:val="16"/>
                <w:szCs w:val="16"/>
              </w:rPr>
              <w:br/>
              <w:t>(7) a baseline measurement of the number of days of CF</w:t>
            </w:r>
            <w:r>
              <w:rPr>
                <w:rFonts w:ascii="Arial" w:hAnsi="Arial" w:cs="Arial"/>
                <w:sz w:val="16"/>
                <w:szCs w:val="16"/>
              </w:rPr>
              <w:noBreakHyphen/>
            </w:r>
            <w:r w:rsidRPr="00E106BD">
              <w:rPr>
                <w:rFonts w:ascii="Arial" w:hAnsi="Arial" w:cs="Arial"/>
                <w:sz w:val="16"/>
                <w:szCs w:val="16"/>
              </w:rPr>
              <w:t>related hospitalisation (including hospital</w:t>
            </w:r>
            <w:r>
              <w:rPr>
                <w:rFonts w:ascii="Arial" w:hAnsi="Arial" w:cs="Arial"/>
                <w:sz w:val="16"/>
                <w:szCs w:val="16"/>
              </w:rPr>
              <w:noBreakHyphen/>
            </w:r>
            <w:r w:rsidRPr="00E106BD">
              <w:rPr>
                <w:rFonts w:ascii="Arial" w:hAnsi="Arial" w:cs="Arial"/>
                <w:sz w:val="16"/>
                <w:szCs w:val="16"/>
              </w:rPr>
              <w:t>in</w:t>
            </w:r>
            <w:r>
              <w:rPr>
                <w:rFonts w:ascii="Arial" w:hAnsi="Arial" w:cs="Arial"/>
                <w:sz w:val="16"/>
                <w:szCs w:val="16"/>
              </w:rPr>
              <w:noBreakHyphen/>
            </w:r>
            <w:r w:rsidRPr="00E106BD">
              <w:rPr>
                <w:rFonts w:ascii="Arial" w:hAnsi="Arial" w:cs="Arial"/>
                <w:sz w:val="16"/>
                <w:szCs w:val="16"/>
              </w:rPr>
              <w:t>the home) in the previous 12 months.</w:t>
            </w:r>
            <w:r w:rsidRPr="00E106BD">
              <w:rPr>
                <w:rFonts w:ascii="Arial" w:hAnsi="Arial" w:cs="Arial"/>
                <w:sz w:val="16"/>
                <w:szCs w:val="16"/>
              </w:rPr>
              <w:br/>
              <w:t>For patients who have initiated non</w:t>
            </w:r>
            <w:r>
              <w:rPr>
                <w:rFonts w:ascii="Arial" w:hAnsi="Arial" w:cs="Arial"/>
                <w:sz w:val="16"/>
                <w:szCs w:val="16"/>
              </w:rPr>
              <w:noBreakHyphen/>
            </w:r>
            <w:r w:rsidRPr="00E106BD">
              <w:rPr>
                <w:rFonts w:ascii="Arial" w:hAnsi="Arial" w:cs="Arial"/>
                <w:sz w:val="16"/>
                <w:szCs w:val="16"/>
              </w:rPr>
              <w:t>PBS subsidised treatment prior to 1</w:t>
            </w:r>
            <w:r>
              <w:rPr>
                <w:rFonts w:ascii="Arial" w:hAnsi="Arial" w:cs="Arial"/>
                <w:sz w:val="16"/>
                <w:szCs w:val="16"/>
              </w:rPr>
              <w:t> </w:t>
            </w:r>
            <w:r w:rsidRPr="00E106BD">
              <w:rPr>
                <w:rFonts w:ascii="Arial" w:hAnsi="Arial" w:cs="Arial"/>
                <w:sz w:val="16"/>
                <w:szCs w:val="16"/>
              </w:rPr>
              <w:t>December 2019, date of initiating treatment, baseline FEV1and hospitalisation dates prior to initiating treatment (where available) should be provided.</w:t>
            </w:r>
          </w:p>
        </w:tc>
        <w:tc>
          <w:tcPr>
            <w:tcW w:w="2552" w:type="dxa"/>
            <w:tcMar>
              <w:top w:w="28" w:type="dxa"/>
              <w:left w:w="28" w:type="dxa"/>
              <w:right w:w="57" w:type="dxa"/>
            </w:tcMar>
          </w:tcPr>
          <w:p w:rsidR="005C4E1C" w:rsidRPr="00E106BD" w:rsidRDefault="005C4E1C" w:rsidP="00881477">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5C4E1C" w:rsidRPr="00E106BD" w:rsidDel="004D64E6" w:rsidTr="008929EB">
        <w:tc>
          <w:tcPr>
            <w:tcW w:w="1729" w:type="dxa"/>
            <w:tcMar>
              <w:top w:w="28" w:type="dxa"/>
              <w:left w:w="28" w:type="dxa"/>
            </w:tcMar>
          </w:tcPr>
          <w:p w:rsidR="005C4E1C" w:rsidRPr="00E106BD" w:rsidDel="004D64E6" w:rsidRDefault="005C4E1C" w:rsidP="00881477">
            <w:pPr>
              <w:spacing w:line="240" w:lineRule="auto"/>
              <w:rPr>
                <w:rFonts w:ascii="Arial" w:hAnsi="Arial" w:cs="Arial"/>
                <w:sz w:val="16"/>
                <w:szCs w:val="16"/>
              </w:rPr>
            </w:pPr>
          </w:p>
        </w:tc>
        <w:tc>
          <w:tcPr>
            <w:tcW w:w="709" w:type="dxa"/>
            <w:tcMar>
              <w:top w:w="28" w:type="dxa"/>
              <w:left w:w="28" w:type="dxa"/>
            </w:tcMar>
          </w:tcPr>
          <w:p w:rsidR="005C4E1C" w:rsidRPr="00E106BD" w:rsidDel="004D64E6" w:rsidRDefault="005C4E1C" w:rsidP="00881477">
            <w:pPr>
              <w:spacing w:line="240" w:lineRule="auto"/>
              <w:rPr>
                <w:rFonts w:ascii="Arial" w:hAnsi="Arial" w:cs="Arial"/>
                <w:sz w:val="16"/>
                <w:szCs w:val="16"/>
              </w:rPr>
            </w:pPr>
            <w:r w:rsidRPr="00E106BD">
              <w:rPr>
                <w:rFonts w:ascii="Arial" w:hAnsi="Arial" w:cs="Arial"/>
                <w:sz w:val="16"/>
                <w:szCs w:val="16"/>
              </w:rPr>
              <w:t>C10064</w:t>
            </w:r>
          </w:p>
        </w:tc>
        <w:tc>
          <w:tcPr>
            <w:tcW w:w="709" w:type="dxa"/>
            <w:tcMar>
              <w:top w:w="28" w:type="dxa"/>
              <w:left w:w="28" w:type="dxa"/>
            </w:tcMar>
          </w:tcPr>
          <w:p w:rsidR="005C4E1C" w:rsidRPr="00E106BD" w:rsidDel="004D64E6" w:rsidRDefault="005C4E1C" w:rsidP="00881477">
            <w:pPr>
              <w:spacing w:line="240" w:lineRule="auto"/>
              <w:rPr>
                <w:rFonts w:ascii="Arial" w:hAnsi="Arial" w:cs="Arial"/>
                <w:sz w:val="16"/>
                <w:szCs w:val="16"/>
              </w:rPr>
            </w:pPr>
          </w:p>
        </w:tc>
        <w:tc>
          <w:tcPr>
            <w:tcW w:w="7654" w:type="dxa"/>
            <w:tcMar>
              <w:top w:w="28" w:type="dxa"/>
              <w:left w:w="28" w:type="dxa"/>
            </w:tcMar>
          </w:tcPr>
          <w:p w:rsidR="005C4E1C" w:rsidRPr="00E106BD" w:rsidDel="004D64E6" w:rsidRDefault="005C4E1C" w:rsidP="00881477">
            <w:pPr>
              <w:spacing w:line="240" w:lineRule="auto"/>
              <w:rPr>
                <w:rFonts w:ascii="Arial" w:hAnsi="Arial" w:cs="Arial"/>
                <w:sz w:val="16"/>
                <w:szCs w:val="16"/>
              </w:rPr>
            </w:pPr>
            <w:r w:rsidRPr="00E106BD">
              <w:rPr>
                <w:rFonts w:ascii="Arial" w:hAnsi="Arial" w:cs="Arial"/>
                <w:sz w:val="16"/>
                <w:szCs w:val="16"/>
              </w:rPr>
              <w:t xml:space="preserve">Cystic fibrosis </w:t>
            </w:r>
            <w:r>
              <w:rPr>
                <w:rFonts w:ascii="Arial" w:hAnsi="Arial" w:cs="Arial"/>
                <w:sz w:val="16"/>
                <w:szCs w:val="16"/>
              </w:rPr>
              <w:noBreakHyphen/>
            </w:r>
            <w:r w:rsidRPr="00E106BD">
              <w:rPr>
                <w:rFonts w:ascii="Arial" w:hAnsi="Arial" w:cs="Arial"/>
                <w:sz w:val="16"/>
                <w:szCs w:val="16"/>
              </w:rPr>
              <w:t xml:space="preserve"> one residual function (RF) mutation</w:t>
            </w:r>
            <w:r w:rsidRPr="00E106BD">
              <w:rPr>
                <w:rFonts w:ascii="Arial" w:hAnsi="Arial" w:cs="Arial"/>
                <w:sz w:val="16"/>
                <w:szCs w:val="16"/>
              </w:rPr>
              <w:br/>
              <w:t>Initial treatment</w:t>
            </w:r>
            <w:r w:rsidRPr="00E106BD">
              <w:rPr>
                <w:rFonts w:ascii="Arial" w:hAnsi="Arial" w:cs="Arial"/>
                <w:sz w:val="16"/>
                <w:szCs w:val="16"/>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hAnsi="Arial" w:cs="Arial"/>
                <w:sz w:val="16"/>
                <w:szCs w:val="16"/>
              </w:rPr>
              <w:br/>
              <w:t>Must be treated in a centre with expertise in cystic fibrosis or in consultation with a centre with expertise in cystic fibrosis if attendance is not possible due to geographic isolation.</w:t>
            </w:r>
            <w:r w:rsidRPr="00E106BD">
              <w:rPr>
                <w:rFonts w:ascii="Arial" w:hAnsi="Arial" w:cs="Arial"/>
                <w:sz w:val="16"/>
                <w:szCs w:val="16"/>
              </w:rPr>
              <w:br/>
              <w:t>Patient must have at least one residual function (RF) mutation in the cystic fibrosis transmembrane conductance regulator (CFTR) gene that is responsive to tezacaftor with ivacaftor;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cystic fibrosis transmembrane conductance regulator (CFTR) modulator therapy for this condition; AND</w:t>
            </w:r>
            <w:r w:rsidRPr="00E106BD">
              <w:rPr>
                <w:rFonts w:ascii="Arial" w:hAnsi="Arial" w:cs="Arial"/>
                <w:sz w:val="16"/>
                <w:szCs w:val="16"/>
              </w:rPr>
              <w:br/>
              <w:t>The treatment must be given concomitantly with standard therapy for this condition; AND</w:t>
            </w:r>
            <w:r w:rsidRPr="00E106BD">
              <w:rPr>
                <w:rFonts w:ascii="Arial" w:hAnsi="Arial" w:cs="Arial"/>
                <w:sz w:val="16"/>
                <w:szCs w:val="16"/>
              </w:rPr>
              <w:br/>
              <w:t>Patient must have either chronic sinopulmonary disease or gastrointestinal and nutritional abnormalities.</w:t>
            </w:r>
            <w:r w:rsidRPr="00E106BD">
              <w:rPr>
                <w:rFonts w:ascii="Arial" w:hAnsi="Arial" w:cs="Arial"/>
                <w:sz w:val="16"/>
                <w:szCs w:val="16"/>
              </w:rPr>
              <w:br/>
              <w:t>Patient must be 12 years of age or older.</w:t>
            </w:r>
            <w:r w:rsidRPr="00E106BD">
              <w:rPr>
                <w:rFonts w:ascii="Arial" w:hAnsi="Arial" w:cs="Arial"/>
                <w:sz w:val="16"/>
                <w:szCs w:val="16"/>
              </w:rPr>
              <w:br/>
              <w:t>The patient must be registered in the Australian Cystic Fibrosis Database Registry.</w:t>
            </w:r>
            <w:r w:rsidRPr="00E106BD">
              <w:rPr>
                <w:rFonts w:ascii="Arial" w:hAnsi="Arial" w:cs="Arial"/>
                <w:sz w:val="16"/>
                <w:szCs w:val="16"/>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hAnsi="Arial" w:cs="Arial"/>
                <w:sz w:val="16"/>
                <w:szCs w:val="16"/>
              </w:rPr>
              <w:br/>
              <w:t xml:space="preserve">For the purposes of this restriction, PBS subsidised </w:t>
            </w:r>
            <w:r w:rsidR="00A653CA">
              <w:rPr>
                <w:rFonts w:ascii="Arial" w:hAnsi="Arial" w:cs="Arial"/>
                <w:sz w:val="16"/>
                <w:szCs w:val="16"/>
              </w:rPr>
              <w:t>‘</w:t>
            </w:r>
            <w:r w:rsidRPr="00E106BD">
              <w:rPr>
                <w:rFonts w:ascii="Arial" w:hAnsi="Arial" w:cs="Arial"/>
                <w:sz w:val="16"/>
                <w:szCs w:val="16"/>
              </w:rPr>
              <w:t>CFTR modulator</w:t>
            </w:r>
            <w:r w:rsidR="00A653CA">
              <w:rPr>
                <w:rFonts w:ascii="Arial" w:hAnsi="Arial" w:cs="Arial"/>
                <w:sz w:val="16"/>
                <w:szCs w:val="16"/>
              </w:rPr>
              <w:t>’</w:t>
            </w:r>
            <w:r w:rsidRPr="00E106BD">
              <w:rPr>
                <w:rFonts w:ascii="Arial" w:hAnsi="Arial" w:cs="Arial"/>
                <w:sz w:val="16"/>
                <w:szCs w:val="16"/>
              </w:rPr>
              <w:t xml:space="preserve"> means ivacaftor, lumacaftor/ivacaftor and tezacaftor/ivacaftor.</w:t>
            </w:r>
            <w:r w:rsidRPr="00E106BD">
              <w:rPr>
                <w:rFonts w:ascii="Arial" w:hAnsi="Arial" w:cs="Arial"/>
                <w:sz w:val="16"/>
                <w:szCs w:val="16"/>
              </w:rPr>
              <w:br/>
              <w:t>For the purposes of this restriction, the list of mutations considered to be responsive to tezacaftor with ivacaftor is defined in the TGA approved product information.</w:t>
            </w:r>
            <w:r w:rsidRPr="00E106BD">
              <w:rPr>
                <w:rFonts w:ascii="Arial" w:hAnsi="Arial" w:cs="Arial"/>
                <w:sz w:val="16"/>
                <w:szCs w:val="16"/>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E106BD">
              <w:rPr>
                <w:rFonts w:ascii="Arial" w:hAnsi="Arial" w:cs="Arial"/>
                <w:sz w:val="16"/>
                <w:szCs w:val="16"/>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E106BD">
              <w:rPr>
                <w:rFonts w:ascii="Arial" w:hAnsi="Arial" w:cs="Arial"/>
                <w:sz w:val="16"/>
                <w:szCs w:val="16"/>
              </w:rPr>
              <w:br/>
              <w:t>Tezacaftor with ivacaftor is not PBS</w:t>
            </w:r>
            <w:r>
              <w:rPr>
                <w:rFonts w:ascii="Arial" w:hAnsi="Arial" w:cs="Arial"/>
                <w:sz w:val="16"/>
                <w:szCs w:val="16"/>
              </w:rPr>
              <w:noBreakHyphen/>
            </w:r>
            <w:r w:rsidRPr="00E106BD">
              <w:rPr>
                <w:rFonts w:ascii="Arial" w:hAnsi="Arial" w:cs="Arial"/>
                <w:sz w:val="16"/>
                <w:szCs w:val="16"/>
              </w:rPr>
              <w:t>subsidised for this condition in a patient who is currently receiving one of the following CYP3A4 inducers:</w:t>
            </w:r>
            <w:r w:rsidRPr="00E106BD">
              <w:rPr>
                <w:rFonts w:ascii="Arial" w:hAnsi="Arial" w:cs="Arial"/>
                <w:sz w:val="16"/>
                <w:szCs w:val="16"/>
              </w:rPr>
              <w:br/>
              <w:t>Strong CYP3A4 inducers: avasimibe, carbamazepine, phenobarbital, phenytoin, rifabutin, rifampicin, St. John</w:t>
            </w:r>
            <w:r w:rsidR="00A653CA">
              <w:rPr>
                <w:rFonts w:ascii="Arial" w:hAnsi="Arial" w:cs="Arial"/>
                <w:sz w:val="16"/>
                <w:szCs w:val="16"/>
              </w:rPr>
              <w:t>’</w:t>
            </w:r>
            <w:r w:rsidRPr="00E106BD">
              <w:rPr>
                <w:rFonts w:ascii="Arial" w:hAnsi="Arial" w:cs="Arial"/>
                <w:sz w:val="16"/>
                <w:szCs w:val="16"/>
              </w:rPr>
              <w:t>s wort;</w:t>
            </w:r>
            <w:r w:rsidRPr="00E106BD">
              <w:rPr>
                <w:rFonts w:ascii="Arial" w:hAnsi="Arial" w:cs="Arial"/>
                <w:sz w:val="16"/>
                <w:szCs w:val="16"/>
              </w:rPr>
              <w:br/>
              <w:t>Moderate CYP3A4 inducers: bosentan, efavirenz, etravirine, modafinil, nafcillin;</w:t>
            </w:r>
            <w:r w:rsidRPr="00E106BD">
              <w:rPr>
                <w:rFonts w:ascii="Arial" w:hAnsi="Arial" w:cs="Arial"/>
                <w:sz w:val="16"/>
                <w:szCs w:val="16"/>
              </w:rPr>
              <w:br/>
              <w:t>Weak CYP3A4 inducers: armodafinil, echinacea, pioglitazone, rufinamide.</w:t>
            </w:r>
            <w:r w:rsidRPr="00E106BD">
              <w:rPr>
                <w:rFonts w:ascii="Arial" w:hAnsi="Arial" w:cs="Arial"/>
                <w:sz w:val="16"/>
                <w:szCs w:val="16"/>
              </w:rPr>
              <w:br/>
              <w:t>The authority application must be in writing and must include:</w:t>
            </w:r>
            <w:r w:rsidRPr="00E106BD">
              <w:rPr>
                <w:rFonts w:ascii="Arial" w:hAnsi="Arial" w:cs="Arial"/>
                <w:sz w:val="16"/>
                <w:szCs w:val="16"/>
              </w:rPr>
              <w:br/>
              <w:t>(1) a completed authority prescription form; and</w:t>
            </w:r>
            <w:r w:rsidRPr="00E106BD">
              <w:rPr>
                <w:rFonts w:ascii="Arial" w:hAnsi="Arial" w:cs="Arial"/>
                <w:sz w:val="16"/>
                <w:szCs w:val="16"/>
              </w:rPr>
              <w:br/>
              <w:t>(2) a completed Cystic Fibrosis tezacaftor with ivacaftor Authority Application Supporting Information Form; and</w:t>
            </w:r>
            <w:r w:rsidRPr="00E106BD">
              <w:rPr>
                <w:rFonts w:ascii="Arial" w:hAnsi="Arial" w:cs="Arial"/>
                <w:sz w:val="16"/>
                <w:szCs w:val="16"/>
              </w:rPr>
              <w:br/>
              <w:t>(3) a copy of the pathology report detailing the molecular testing for the patient having at least one RF mutation on the CFTR gene; and</w:t>
            </w:r>
            <w:r w:rsidRPr="00E106BD">
              <w:rPr>
                <w:rFonts w:ascii="Arial" w:hAnsi="Arial" w:cs="Arial"/>
                <w:sz w:val="16"/>
                <w:szCs w:val="16"/>
              </w:rPr>
              <w:br/>
              <w:t>(4) the result of a FEV</w:t>
            </w:r>
            <w:r w:rsidRPr="00E106BD">
              <w:rPr>
                <w:rFonts w:ascii="Arial" w:hAnsi="Arial" w:cs="Arial"/>
                <w:sz w:val="16"/>
                <w:szCs w:val="16"/>
                <w:vertAlign w:val="subscript"/>
              </w:rPr>
              <w:t>1</w:t>
            </w:r>
            <w:r w:rsidRPr="00E106BD">
              <w:rPr>
                <w:rFonts w:ascii="Arial" w:hAnsi="Arial" w:cs="Arial"/>
                <w:sz w:val="16"/>
                <w:szCs w:val="16"/>
              </w:rPr>
              <w:t>measurement performed within a month prior to the date of application. Note: FEV</w:t>
            </w:r>
            <w:r w:rsidRPr="00E106BD">
              <w:rPr>
                <w:rFonts w:ascii="Arial" w:hAnsi="Arial" w:cs="Arial"/>
                <w:sz w:val="16"/>
                <w:szCs w:val="16"/>
                <w:vertAlign w:val="subscript"/>
              </w:rPr>
              <w:t>1</w:t>
            </w:r>
            <w:r w:rsidRPr="00E106BD">
              <w:rPr>
                <w:rFonts w:ascii="Arial" w:hAnsi="Arial" w:cs="Arial"/>
                <w:sz w:val="16"/>
                <w:szCs w:val="16"/>
              </w:rPr>
              <w:t>, must be measured in an accredited pulmonary function laboratory, with documented no acute infective exacerbation at the time FEV</w:t>
            </w:r>
            <w:r w:rsidRPr="00E106BD">
              <w:rPr>
                <w:rFonts w:ascii="Arial" w:hAnsi="Arial" w:cs="Arial"/>
                <w:sz w:val="16"/>
                <w:szCs w:val="16"/>
                <w:vertAlign w:val="subscript"/>
              </w:rPr>
              <w:t>1</w:t>
            </w:r>
            <w:r w:rsidRPr="00E106BD">
              <w:rPr>
                <w:rFonts w:ascii="Arial" w:hAnsi="Arial" w:cs="Arial"/>
                <w:sz w:val="16"/>
                <w:szCs w:val="16"/>
              </w:rPr>
              <w:t>is measured; and</w:t>
            </w:r>
            <w:r w:rsidRPr="00E106BD">
              <w:rPr>
                <w:rFonts w:ascii="Arial" w:hAnsi="Arial" w:cs="Arial"/>
                <w:sz w:val="16"/>
                <w:szCs w:val="16"/>
              </w:rPr>
              <w:br/>
              <w:t>(5) CYP3A4 inhibitors, CYP3A4 inducers and IV antibiotics; and</w:t>
            </w:r>
            <w:r w:rsidRPr="00E106BD">
              <w:rPr>
                <w:rFonts w:ascii="Arial" w:hAnsi="Arial" w:cs="Arial"/>
                <w:sz w:val="16"/>
                <w:szCs w:val="16"/>
              </w:rPr>
              <w:br/>
              <w:t>(6) height and weight measurements at the time of application; and</w:t>
            </w:r>
            <w:r w:rsidRPr="00E106BD">
              <w:rPr>
                <w:rFonts w:ascii="Arial" w:hAnsi="Arial" w:cs="Arial"/>
                <w:sz w:val="16"/>
                <w:szCs w:val="16"/>
              </w:rPr>
              <w:br/>
              <w:t>(7) a baseline measurement of the number of days of CF</w:t>
            </w:r>
            <w:r>
              <w:rPr>
                <w:rFonts w:ascii="Arial" w:hAnsi="Arial" w:cs="Arial"/>
                <w:sz w:val="16"/>
                <w:szCs w:val="16"/>
              </w:rPr>
              <w:noBreakHyphen/>
            </w:r>
            <w:r w:rsidRPr="00E106BD">
              <w:rPr>
                <w:rFonts w:ascii="Arial" w:hAnsi="Arial" w:cs="Arial"/>
                <w:sz w:val="16"/>
                <w:szCs w:val="16"/>
              </w:rPr>
              <w:t>related hospitalisation (including hospital</w:t>
            </w:r>
            <w:r>
              <w:rPr>
                <w:rFonts w:ascii="Arial" w:hAnsi="Arial" w:cs="Arial"/>
                <w:sz w:val="16"/>
                <w:szCs w:val="16"/>
              </w:rPr>
              <w:noBreakHyphen/>
            </w:r>
            <w:r w:rsidRPr="00E106BD">
              <w:rPr>
                <w:rFonts w:ascii="Arial" w:hAnsi="Arial" w:cs="Arial"/>
                <w:sz w:val="16"/>
                <w:szCs w:val="16"/>
              </w:rPr>
              <w:t>in</w:t>
            </w:r>
            <w:r>
              <w:rPr>
                <w:rFonts w:ascii="Arial" w:hAnsi="Arial" w:cs="Arial"/>
                <w:sz w:val="16"/>
                <w:szCs w:val="16"/>
              </w:rPr>
              <w:noBreakHyphen/>
            </w:r>
            <w:r w:rsidRPr="00E106BD">
              <w:rPr>
                <w:rFonts w:ascii="Arial" w:hAnsi="Arial" w:cs="Arial"/>
                <w:sz w:val="16"/>
                <w:szCs w:val="16"/>
              </w:rPr>
              <w:t>the home) in the previous 12 months.</w:t>
            </w:r>
            <w:r w:rsidRPr="00E106BD">
              <w:rPr>
                <w:rFonts w:ascii="Arial" w:hAnsi="Arial" w:cs="Arial"/>
                <w:sz w:val="16"/>
                <w:szCs w:val="16"/>
              </w:rPr>
              <w:br/>
              <w:t>For patients who have initiated non</w:t>
            </w:r>
            <w:r>
              <w:rPr>
                <w:rFonts w:ascii="Arial" w:hAnsi="Arial" w:cs="Arial"/>
                <w:sz w:val="16"/>
                <w:szCs w:val="16"/>
              </w:rPr>
              <w:noBreakHyphen/>
            </w:r>
            <w:r w:rsidRPr="00E106BD">
              <w:rPr>
                <w:rFonts w:ascii="Arial" w:hAnsi="Arial" w:cs="Arial"/>
                <w:sz w:val="16"/>
                <w:szCs w:val="16"/>
              </w:rPr>
              <w:t>PBS subsidised treatment prior to 1</w:t>
            </w:r>
            <w:r>
              <w:rPr>
                <w:rFonts w:ascii="Arial" w:hAnsi="Arial" w:cs="Arial"/>
                <w:sz w:val="16"/>
                <w:szCs w:val="16"/>
              </w:rPr>
              <w:t> </w:t>
            </w:r>
            <w:r w:rsidRPr="00E106BD">
              <w:rPr>
                <w:rFonts w:ascii="Arial" w:hAnsi="Arial" w:cs="Arial"/>
                <w:sz w:val="16"/>
                <w:szCs w:val="16"/>
              </w:rPr>
              <w:t>December 2019, date of initiating treatment, baseline FEV</w:t>
            </w:r>
            <w:r w:rsidRPr="00E106BD">
              <w:rPr>
                <w:rFonts w:ascii="Arial" w:hAnsi="Arial" w:cs="Arial"/>
                <w:sz w:val="16"/>
                <w:szCs w:val="16"/>
                <w:vertAlign w:val="subscript"/>
              </w:rPr>
              <w:t>1</w:t>
            </w:r>
            <w:r w:rsidRPr="00E106BD">
              <w:rPr>
                <w:rFonts w:ascii="Arial" w:hAnsi="Arial" w:cs="Arial"/>
                <w:sz w:val="16"/>
                <w:szCs w:val="16"/>
              </w:rPr>
              <w:t>and hospitalisation dates prior to initiating treatment (where available) should be provided.</w:t>
            </w:r>
          </w:p>
        </w:tc>
        <w:tc>
          <w:tcPr>
            <w:tcW w:w="2552" w:type="dxa"/>
            <w:tcMar>
              <w:top w:w="28" w:type="dxa"/>
              <w:left w:w="28" w:type="dxa"/>
              <w:right w:w="57" w:type="dxa"/>
            </w:tcMar>
          </w:tcPr>
          <w:p w:rsidR="005C4E1C" w:rsidRPr="00E106BD" w:rsidDel="004D64E6" w:rsidRDefault="005C4E1C" w:rsidP="00881477">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5C4E1C" w:rsidRPr="00E106BD" w:rsidDel="004D64E6" w:rsidTr="008929EB">
        <w:tc>
          <w:tcPr>
            <w:tcW w:w="1729" w:type="dxa"/>
            <w:tcMar>
              <w:top w:w="28" w:type="dxa"/>
              <w:left w:w="28" w:type="dxa"/>
            </w:tcMar>
          </w:tcPr>
          <w:p w:rsidR="005C4E1C" w:rsidRPr="00E106BD" w:rsidDel="004D64E6" w:rsidRDefault="005C4E1C" w:rsidP="00881477">
            <w:pPr>
              <w:spacing w:line="240" w:lineRule="auto"/>
              <w:rPr>
                <w:rFonts w:ascii="Arial" w:hAnsi="Arial" w:cs="Arial"/>
                <w:sz w:val="16"/>
                <w:szCs w:val="16"/>
              </w:rPr>
            </w:pPr>
          </w:p>
        </w:tc>
        <w:tc>
          <w:tcPr>
            <w:tcW w:w="709" w:type="dxa"/>
            <w:tcMar>
              <w:top w:w="28" w:type="dxa"/>
              <w:left w:w="28" w:type="dxa"/>
            </w:tcMar>
          </w:tcPr>
          <w:p w:rsidR="005C4E1C" w:rsidRPr="00E106BD" w:rsidDel="004D64E6" w:rsidRDefault="005C4E1C" w:rsidP="00881477">
            <w:pPr>
              <w:spacing w:line="240" w:lineRule="auto"/>
              <w:rPr>
                <w:rFonts w:ascii="Arial" w:hAnsi="Arial" w:cs="Arial"/>
                <w:sz w:val="16"/>
                <w:szCs w:val="16"/>
              </w:rPr>
            </w:pPr>
            <w:r w:rsidRPr="00E106BD">
              <w:rPr>
                <w:rFonts w:ascii="Arial" w:hAnsi="Arial" w:cs="Arial"/>
                <w:sz w:val="16"/>
                <w:szCs w:val="16"/>
              </w:rPr>
              <w:t>C10069</w:t>
            </w:r>
          </w:p>
        </w:tc>
        <w:tc>
          <w:tcPr>
            <w:tcW w:w="709" w:type="dxa"/>
            <w:tcMar>
              <w:top w:w="28" w:type="dxa"/>
              <w:left w:w="28" w:type="dxa"/>
            </w:tcMar>
          </w:tcPr>
          <w:p w:rsidR="005C4E1C" w:rsidRPr="00E106BD" w:rsidDel="004D64E6" w:rsidRDefault="005C4E1C" w:rsidP="00881477">
            <w:pPr>
              <w:spacing w:line="240" w:lineRule="auto"/>
              <w:rPr>
                <w:rFonts w:ascii="Arial" w:hAnsi="Arial" w:cs="Arial"/>
                <w:sz w:val="16"/>
                <w:szCs w:val="16"/>
              </w:rPr>
            </w:pPr>
          </w:p>
        </w:tc>
        <w:tc>
          <w:tcPr>
            <w:tcW w:w="7654" w:type="dxa"/>
            <w:tcMar>
              <w:top w:w="28" w:type="dxa"/>
              <w:left w:w="28" w:type="dxa"/>
            </w:tcMar>
          </w:tcPr>
          <w:p w:rsidR="005C4E1C" w:rsidRPr="00E106BD" w:rsidDel="004D64E6" w:rsidRDefault="005C4E1C" w:rsidP="00881477">
            <w:pPr>
              <w:spacing w:line="240" w:lineRule="auto"/>
              <w:rPr>
                <w:rFonts w:ascii="Arial" w:hAnsi="Arial" w:cs="Arial"/>
                <w:sz w:val="16"/>
                <w:szCs w:val="16"/>
              </w:rPr>
            </w:pPr>
            <w:r w:rsidRPr="00E106BD">
              <w:rPr>
                <w:rFonts w:ascii="Arial" w:hAnsi="Arial" w:cs="Arial"/>
                <w:sz w:val="16"/>
                <w:szCs w:val="16"/>
              </w:rPr>
              <w:t xml:space="preserve">Cystic fibrosis </w:t>
            </w:r>
            <w:r>
              <w:rPr>
                <w:rFonts w:ascii="Arial" w:hAnsi="Arial" w:cs="Arial"/>
                <w:sz w:val="16"/>
                <w:szCs w:val="16"/>
              </w:rPr>
              <w:noBreakHyphen/>
            </w:r>
            <w:r w:rsidRPr="00E106BD">
              <w:rPr>
                <w:rFonts w:ascii="Arial" w:hAnsi="Arial" w:cs="Arial"/>
                <w:sz w:val="16"/>
                <w:szCs w:val="16"/>
              </w:rPr>
              <w:t xml:space="preserve"> one residual function (RF) mutation</w:t>
            </w:r>
            <w:r w:rsidRPr="00E106BD">
              <w:rPr>
                <w:rFonts w:ascii="Arial" w:hAnsi="Arial" w:cs="Arial"/>
                <w:sz w:val="16"/>
                <w:szCs w:val="16"/>
              </w:rPr>
              <w:br/>
              <w:t>Continuing treatment</w:t>
            </w:r>
            <w:r w:rsidRPr="00E106BD">
              <w:rPr>
                <w:rFonts w:ascii="Arial" w:hAnsi="Arial" w:cs="Arial"/>
                <w:sz w:val="16"/>
                <w:szCs w:val="16"/>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hAnsi="Arial" w:cs="Arial"/>
                <w:sz w:val="16"/>
                <w:szCs w:val="16"/>
              </w:rPr>
              <w:br/>
              <w:t>Must be treated in a centre with expertise in cystic fibrosis or in consultation with a centre with expertise in cystic fibrosis if attendance is not possible due to geographic isolation.</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cystic fibrosis transmembrane conductance regulator (CFTR) modulator therapy for this condition; AND</w:t>
            </w:r>
            <w:r w:rsidRPr="00E106BD">
              <w:rPr>
                <w:rFonts w:ascii="Arial" w:hAnsi="Arial" w:cs="Arial"/>
                <w:sz w:val="16"/>
                <w:szCs w:val="16"/>
              </w:rPr>
              <w:br/>
              <w:t>The treatment must be given concomitantly with standard therapy for this condition.</w:t>
            </w:r>
            <w:r w:rsidRPr="00E106BD">
              <w:rPr>
                <w:rFonts w:ascii="Arial" w:hAnsi="Arial" w:cs="Arial"/>
                <w:sz w:val="16"/>
                <w:szCs w:val="16"/>
              </w:rPr>
              <w:br/>
              <w:t>Patient must be 12 years of age or older.</w:t>
            </w:r>
            <w:r w:rsidRPr="00E106BD">
              <w:rPr>
                <w:rFonts w:ascii="Arial" w:hAnsi="Arial" w:cs="Arial"/>
                <w:sz w:val="16"/>
                <w:szCs w:val="16"/>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hAnsi="Arial" w:cs="Arial"/>
                <w:sz w:val="16"/>
                <w:szCs w:val="16"/>
              </w:rPr>
              <w:br/>
              <w:t>Patients who have an acute infective exacerbation at the time of assessment for continuing therapy may receive an additional one month</w:t>
            </w:r>
            <w:r w:rsidR="00A653CA">
              <w:rPr>
                <w:rFonts w:ascii="Arial" w:hAnsi="Arial" w:cs="Arial"/>
                <w:sz w:val="16"/>
                <w:szCs w:val="16"/>
              </w:rPr>
              <w:t>’</w:t>
            </w:r>
            <w:r w:rsidRPr="00E106BD">
              <w:rPr>
                <w:rFonts w:ascii="Arial" w:hAnsi="Arial" w:cs="Arial"/>
                <w:sz w:val="16"/>
                <w:szCs w:val="16"/>
              </w:rPr>
              <w:t>s supply in order to enable the assessment to be repeated following resolution of the exacerbation.</w:t>
            </w:r>
            <w:r w:rsidRPr="00E106BD">
              <w:rPr>
                <w:rFonts w:ascii="Arial" w:hAnsi="Arial" w:cs="Arial"/>
                <w:sz w:val="16"/>
                <w:szCs w:val="16"/>
              </w:rPr>
              <w:br/>
              <w:t xml:space="preserve">For the purposes of this restriction, PBS subsidised </w:t>
            </w:r>
            <w:r w:rsidR="00A653CA">
              <w:rPr>
                <w:rFonts w:ascii="Arial" w:hAnsi="Arial" w:cs="Arial"/>
                <w:sz w:val="16"/>
                <w:szCs w:val="16"/>
              </w:rPr>
              <w:t>‘</w:t>
            </w:r>
            <w:r w:rsidRPr="00E106BD">
              <w:rPr>
                <w:rFonts w:ascii="Arial" w:hAnsi="Arial" w:cs="Arial"/>
                <w:sz w:val="16"/>
                <w:szCs w:val="16"/>
              </w:rPr>
              <w:t>CFTR modulator</w:t>
            </w:r>
            <w:r w:rsidR="00A653CA">
              <w:rPr>
                <w:rFonts w:ascii="Arial" w:hAnsi="Arial" w:cs="Arial"/>
                <w:sz w:val="16"/>
                <w:szCs w:val="16"/>
              </w:rPr>
              <w:t>’</w:t>
            </w:r>
            <w:r w:rsidRPr="00E106BD">
              <w:rPr>
                <w:rFonts w:ascii="Arial" w:hAnsi="Arial" w:cs="Arial"/>
                <w:sz w:val="16"/>
                <w:szCs w:val="16"/>
              </w:rPr>
              <w:t xml:space="preserve"> means ivacaftor, lumacaftor/ivacaftor and tezacaftor/ivacaftor.</w:t>
            </w:r>
            <w:r w:rsidRPr="00E106BD">
              <w:rPr>
                <w:rFonts w:ascii="Arial" w:hAnsi="Arial" w:cs="Arial"/>
                <w:sz w:val="16"/>
                <w:szCs w:val="16"/>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E106BD">
              <w:rPr>
                <w:rFonts w:ascii="Arial" w:hAnsi="Arial" w:cs="Arial"/>
                <w:sz w:val="16"/>
                <w:szCs w:val="16"/>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E106BD">
              <w:rPr>
                <w:rFonts w:ascii="Arial" w:hAnsi="Arial" w:cs="Arial"/>
                <w:sz w:val="16"/>
                <w:szCs w:val="16"/>
              </w:rPr>
              <w:br/>
              <w:t>Tezacaftor with ivacaftor is not PBS</w:t>
            </w:r>
            <w:r>
              <w:rPr>
                <w:rFonts w:ascii="Arial" w:hAnsi="Arial" w:cs="Arial"/>
                <w:sz w:val="16"/>
                <w:szCs w:val="16"/>
              </w:rPr>
              <w:noBreakHyphen/>
            </w:r>
            <w:r w:rsidRPr="00E106BD">
              <w:rPr>
                <w:rFonts w:ascii="Arial" w:hAnsi="Arial" w:cs="Arial"/>
                <w:sz w:val="16"/>
                <w:szCs w:val="16"/>
              </w:rPr>
              <w:t>subsidised for this condition in a patient who is currently receiving one of the following CYP3A4 inducers:</w:t>
            </w:r>
            <w:r w:rsidRPr="00E106BD">
              <w:rPr>
                <w:rFonts w:ascii="Arial" w:hAnsi="Arial" w:cs="Arial"/>
                <w:sz w:val="16"/>
                <w:szCs w:val="16"/>
              </w:rPr>
              <w:br/>
              <w:t>Strong CYP3A4 inducers: avasimibe, carbamazepine, phenobarbital, phenytoin, rifabutin, rifampicin, St. John</w:t>
            </w:r>
            <w:r w:rsidR="00A653CA">
              <w:rPr>
                <w:rFonts w:ascii="Arial" w:hAnsi="Arial" w:cs="Arial"/>
                <w:sz w:val="16"/>
                <w:szCs w:val="16"/>
              </w:rPr>
              <w:t>’</w:t>
            </w:r>
            <w:r w:rsidRPr="00E106BD">
              <w:rPr>
                <w:rFonts w:ascii="Arial" w:hAnsi="Arial" w:cs="Arial"/>
                <w:sz w:val="16"/>
                <w:szCs w:val="16"/>
              </w:rPr>
              <w:t>s wort;</w:t>
            </w:r>
            <w:r w:rsidRPr="00E106BD">
              <w:rPr>
                <w:rFonts w:ascii="Arial" w:hAnsi="Arial" w:cs="Arial"/>
                <w:sz w:val="16"/>
                <w:szCs w:val="16"/>
              </w:rPr>
              <w:br/>
              <w:t>Moderate CYP3A4 inducers: bosentan, efavirenz, etravirine, modafinil, nafcillin;</w:t>
            </w:r>
            <w:r w:rsidRPr="00E106BD">
              <w:rPr>
                <w:rFonts w:ascii="Arial" w:hAnsi="Arial" w:cs="Arial"/>
                <w:sz w:val="16"/>
                <w:szCs w:val="16"/>
              </w:rPr>
              <w:br/>
              <w:t>Weak CYP3A4 inducers: armodafinil, echinacea, pioglitazone, rufinamide.</w:t>
            </w:r>
            <w:r w:rsidRPr="00E106BD">
              <w:rPr>
                <w:rFonts w:ascii="Arial" w:hAnsi="Arial" w:cs="Arial"/>
                <w:sz w:val="16"/>
                <w:szCs w:val="16"/>
              </w:rPr>
              <w:br/>
              <w:t>The authority application must be in writing and must include:</w:t>
            </w:r>
            <w:r w:rsidRPr="00E106BD">
              <w:rPr>
                <w:rFonts w:ascii="Arial" w:hAnsi="Arial" w:cs="Arial"/>
                <w:sz w:val="16"/>
                <w:szCs w:val="16"/>
              </w:rPr>
              <w:br/>
              <w:t>(1) a completed authority prescription form; and</w:t>
            </w:r>
            <w:r w:rsidRPr="00E106BD">
              <w:rPr>
                <w:rFonts w:ascii="Arial" w:hAnsi="Arial" w:cs="Arial"/>
                <w:sz w:val="16"/>
                <w:szCs w:val="16"/>
              </w:rPr>
              <w:br/>
              <w:t>(2) a completed Cystic Fibrosis tezacaftor with ivacaftor Continuing Authority Application Supporting Information Form; and</w:t>
            </w:r>
            <w:r w:rsidRPr="00E106BD">
              <w:rPr>
                <w:rFonts w:ascii="Arial" w:hAnsi="Arial" w:cs="Arial"/>
                <w:sz w:val="16"/>
                <w:szCs w:val="16"/>
              </w:rPr>
              <w:br/>
              <w:t>(3) the result of a FEV</w:t>
            </w:r>
            <w:r w:rsidRPr="00E106BD">
              <w:rPr>
                <w:rFonts w:ascii="Arial" w:hAnsi="Arial" w:cs="Arial"/>
                <w:sz w:val="16"/>
                <w:szCs w:val="16"/>
                <w:vertAlign w:val="subscript"/>
              </w:rPr>
              <w:t>1</w:t>
            </w:r>
            <w:r w:rsidRPr="00E106BD">
              <w:rPr>
                <w:rFonts w:ascii="Arial" w:hAnsi="Arial" w:cs="Arial"/>
                <w:sz w:val="16"/>
                <w:szCs w:val="16"/>
              </w:rPr>
              <w:t>measurement performed within a month prior to the date of application. Note: FEV</w:t>
            </w:r>
            <w:r w:rsidRPr="00E106BD">
              <w:rPr>
                <w:rFonts w:ascii="Arial" w:hAnsi="Arial" w:cs="Arial"/>
                <w:sz w:val="16"/>
                <w:szCs w:val="16"/>
                <w:vertAlign w:val="subscript"/>
              </w:rPr>
              <w:t>1</w:t>
            </w:r>
            <w:r w:rsidRPr="00E106BD">
              <w:rPr>
                <w:rFonts w:ascii="Arial" w:hAnsi="Arial" w:cs="Arial"/>
                <w:sz w:val="16"/>
                <w:szCs w:val="16"/>
              </w:rPr>
              <w:t>, must be measured in an accredited pulmonary function laboratory, with documented no acute infective exacerbation at the time FEV</w:t>
            </w:r>
            <w:r w:rsidRPr="00E106BD">
              <w:rPr>
                <w:rFonts w:ascii="Arial" w:hAnsi="Arial" w:cs="Arial"/>
                <w:sz w:val="16"/>
                <w:szCs w:val="16"/>
                <w:vertAlign w:val="subscript"/>
              </w:rPr>
              <w:t>1</w:t>
            </w:r>
            <w:r w:rsidRPr="00E106BD">
              <w:rPr>
                <w:rFonts w:ascii="Arial" w:hAnsi="Arial" w:cs="Arial"/>
                <w:sz w:val="16"/>
                <w:szCs w:val="16"/>
              </w:rPr>
              <w:t>is measured; and</w:t>
            </w:r>
            <w:r w:rsidRPr="00E106BD">
              <w:rPr>
                <w:rFonts w:ascii="Arial" w:hAnsi="Arial" w:cs="Arial"/>
                <w:sz w:val="16"/>
                <w:szCs w:val="16"/>
              </w:rPr>
              <w:br/>
              <w:t>(4) current CYP3A4 inhibitors, CYP3A4 inducers and IV antibiotics; and</w:t>
            </w:r>
            <w:r w:rsidRPr="00E106BD">
              <w:rPr>
                <w:rFonts w:ascii="Arial" w:hAnsi="Arial" w:cs="Arial"/>
                <w:sz w:val="16"/>
                <w:szCs w:val="16"/>
              </w:rPr>
              <w:br/>
              <w:t>(5) height and weight measurements at the time of application; and</w:t>
            </w:r>
            <w:r w:rsidRPr="00E106BD">
              <w:rPr>
                <w:rFonts w:ascii="Arial" w:hAnsi="Arial" w:cs="Arial"/>
                <w:sz w:val="16"/>
                <w:szCs w:val="16"/>
              </w:rPr>
              <w:br/>
              <w:t>(6) the number of days of CF</w:t>
            </w:r>
            <w:r>
              <w:rPr>
                <w:rFonts w:ascii="Arial" w:hAnsi="Arial" w:cs="Arial"/>
                <w:sz w:val="16"/>
                <w:szCs w:val="16"/>
              </w:rPr>
              <w:noBreakHyphen/>
            </w:r>
            <w:r w:rsidRPr="00E106BD">
              <w:rPr>
                <w:rFonts w:ascii="Arial" w:hAnsi="Arial" w:cs="Arial"/>
                <w:sz w:val="16"/>
                <w:szCs w:val="16"/>
              </w:rPr>
              <w:t>related hospitalisation (including hospital</w:t>
            </w:r>
            <w:r>
              <w:rPr>
                <w:rFonts w:ascii="Arial" w:hAnsi="Arial" w:cs="Arial"/>
                <w:sz w:val="16"/>
                <w:szCs w:val="16"/>
              </w:rPr>
              <w:noBreakHyphen/>
            </w:r>
            <w:r w:rsidRPr="00E106BD">
              <w:rPr>
                <w:rFonts w:ascii="Arial" w:hAnsi="Arial" w:cs="Arial"/>
                <w:sz w:val="16"/>
                <w:szCs w:val="16"/>
              </w:rPr>
              <w:t>in</w:t>
            </w:r>
            <w:r>
              <w:rPr>
                <w:rFonts w:ascii="Arial" w:hAnsi="Arial" w:cs="Arial"/>
                <w:sz w:val="16"/>
                <w:szCs w:val="16"/>
              </w:rPr>
              <w:noBreakHyphen/>
            </w:r>
            <w:r w:rsidRPr="00E106BD">
              <w:rPr>
                <w:rFonts w:ascii="Arial" w:hAnsi="Arial" w:cs="Arial"/>
                <w:sz w:val="16"/>
                <w:szCs w:val="16"/>
              </w:rPr>
              <w:t>the home) in the previous 6 months.</w:t>
            </w:r>
          </w:p>
        </w:tc>
        <w:tc>
          <w:tcPr>
            <w:tcW w:w="2552" w:type="dxa"/>
            <w:tcMar>
              <w:top w:w="28" w:type="dxa"/>
              <w:left w:w="28" w:type="dxa"/>
              <w:right w:w="57" w:type="dxa"/>
            </w:tcMar>
          </w:tcPr>
          <w:p w:rsidR="005C4E1C" w:rsidRPr="00E106BD" w:rsidDel="004D64E6" w:rsidRDefault="005C4E1C" w:rsidP="00881477">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5C4E1C" w:rsidRPr="00E106BD" w:rsidDel="00D332F3" w:rsidTr="008929EB">
        <w:tc>
          <w:tcPr>
            <w:tcW w:w="1729" w:type="dxa"/>
            <w:shd w:val="clear" w:color="auto" w:fill="auto"/>
            <w:tcMar>
              <w:top w:w="28" w:type="dxa"/>
              <w:left w:w="28" w:type="dxa"/>
            </w:tcMar>
          </w:tcPr>
          <w:p w:rsidR="005C4E1C" w:rsidRPr="00E106BD" w:rsidDel="00D332F3" w:rsidRDefault="005C4E1C" w:rsidP="00881477">
            <w:pPr>
              <w:spacing w:line="240" w:lineRule="auto"/>
              <w:rPr>
                <w:rFonts w:ascii="Arial" w:eastAsia="SimSun" w:hAnsi="Arial" w:cs="Arial"/>
                <w:sz w:val="16"/>
                <w:szCs w:val="16"/>
                <w:lang w:eastAsia="zh-CN"/>
              </w:rPr>
            </w:pPr>
            <w:bookmarkStart w:id="266" w:name="CU_577880101"/>
            <w:bookmarkEnd w:id="266"/>
            <w:r w:rsidRPr="00E106BD">
              <w:rPr>
                <w:rFonts w:ascii="Arial" w:hAnsi="Arial" w:cs="Arial"/>
                <w:sz w:val="16"/>
                <w:szCs w:val="16"/>
              </w:rPr>
              <w:t>Thalidomide</w:t>
            </w:r>
          </w:p>
        </w:tc>
        <w:tc>
          <w:tcPr>
            <w:tcW w:w="709" w:type="dxa"/>
            <w:shd w:val="clear" w:color="auto" w:fill="auto"/>
            <w:tcMar>
              <w:top w:w="28" w:type="dxa"/>
              <w:left w:w="28" w:type="dxa"/>
            </w:tcMar>
          </w:tcPr>
          <w:p w:rsidR="005C4E1C" w:rsidRPr="00E106BD" w:rsidDel="00D332F3" w:rsidRDefault="005C4E1C" w:rsidP="00881477">
            <w:pPr>
              <w:spacing w:line="240" w:lineRule="auto"/>
              <w:rPr>
                <w:rFonts w:ascii="Arial" w:eastAsia="SimSun" w:hAnsi="Arial" w:cs="Arial"/>
                <w:sz w:val="16"/>
                <w:szCs w:val="16"/>
                <w:lang w:eastAsia="zh-CN"/>
              </w:rPr>
            </w:pPr>
            <w:r w:rsidRPr="00E106BD">
              <w:rPr>
                <w:rFonts w:ascii="Arial" w:hAnsi="Arial" w:cs="Arial"/>
                <w:sz w:val="16"/>
                <w:szCs w:val="16"/>
              </w:rPr>
              <w:t>C5914</w:t>
            </w:r>
          </w:p>
        </w:tc>
        <w:tc>
          <w:tcPr>
            <w:tcW w:w="709" w:type="dxa"/>
            <w:shd w:val="clear" w:color="auto" w:fill="auto"/>
            <w:tcMar>
              <w:top w:w="28" w:type="dxa"/>
              <w:left w:w="28" w:type="dxa"/>
            </w:tcMar>
          </w:tcPr>
          <w:p w:rsidR="005C4E1C" w:rsidRPr="00E106BD" w:rsidDel="00D332F3" w:rsidRDefault="005C4E1C"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C4E1C" w:rsidRPr="00E106BD" w:rsidDel="00D332F3" w:rsidRDefault="005C4E1C" w:rsidP="00881477">
            <w:pPr>
              <w:spacing w:line="240" w:lineRule="auto"/>
              <w:rPr>
                <w:rFonts w:ascii="Arial" w:eastAsia="SimSun" w:hAnsi="Arial" w:cs="Arial"/>
                <w:sz w:val="16"/>
                <w:szCs w:val="16"/>
                <w:lang w:eastAsia="zh-CN"/>
              </w:rPr>
            </w:pPr>
            <w:r w:rsidRPr="00E106BD">
              <w:rPr>
                <w:rFonts w:ascii="Arial" w:hAnsi="Arial" w:cs="Arial"/>
                <w:sz w:val="16"/>
                <w:szCs w:val="16"/>
              </w:rPr>
              <w:t>Multiple myeloma</w:t>
            </w:r>
          </w:p>
        </w:tc>
        <w:tc>
          <w:tcPr>
            <w:tcW w:w="2552" w:type="dxa"/>
            <w:shd w:val="clear" w:color="auto" w:fill="auto"/>
            <w:tcMar>
              <w:top w:w="28" w:type="dxa"/>
              <w:left w:w="28" w:type="dxa"/>
              <w:right w:w="57" w:type="dxa"/>
            </w:tcMar>
          </w:tcPr>
          <w:p w:rsidR="005C4E1C" w:rsidRPr="00E106BD" w:rsidDel="00D332F3" w:rsidRDefault="005C4E1C" w:rsidP="0088147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5914</w:t>
            </w:r>
          </w:p>
        </w:tc>
      </w:tr>
      <w:tr w:rsidR="005C4E1C" w:rsidRPr="00E106BD" w:rsidDel="00D332F3" w:rsidTr="008929EB">
        <w:tc>
          <w:tcPr>
            <w:tcW w:w="1729" w:type="dxa"/>
            <w:shd w:val="clear" w:color="auto" w:fill="auto"/>
            <w:tcMar>
              <w:top w:w="28" w:type="dxa"/>
              <w:left w:w="28" w:type="dxa"/>
            </w:tcMar>
          </w:tcPr>
          <w:p w:rsidR="005C4E1C" w:rsidRPr="00E106BD" w:rsidRDefault="005C4E1C" w:rsidP="00881477">
            <w:pPr>
              <w:spacing w:line="240" w:lineRule="auto"/>
              <w:rPr>
                <w:rFonts w:ascii="Arial" w:hAnsi="Arial" w:cs="Arial"/>
                <w:sz w:val="16"/>
                <w:szCs w:val="16"/>
              </w:rPr>
            </w:pPr>
          </w:p>
        </w:tc>
        <w:tc>
          <w:tcPr>
            <w:tcW w:w="709" w:type="dxa"/>
            <w:shd w:val="clear" w:color="auto" w:fill="auto"/>
            <w:tcMar>
              <w:top w:w="28" w:type="dxa"/>
              <w:left w:w="28" w:type="dxa"/>
            </w:tcMar>
          </w:tcPr>
          <w:p w:rsidR="005C4E1C" w:rsidRPr="00E106BD" w:rsidRDefault="005C4E1C" w:rsidP="00881477">
            <w:pPr>
              <w:spacing w:line="240" w:lineRule="auto"/>
              <w:rPr>
                <w:rFonts w:ascii="Arial" w:hAnsi="Arial" w:cs="Arial"/>
                <w:sz w:val="16"/>
                <w:szCs w:val="16"/>
              </w:rPr>
            </w:pPr>
            <w:r w:rsidRPr="00E106BD">
              <w:rPr>
                <w:rFonts w:ascii="Arial" w:hAnsi="Arial" w:cs="Arial"/>
                <w:sz w:val="16"/>
                <w:szCs w:val="16"/>
              </w:rPr>
              <w:t>C9290</w:t>
            </w:r>
          </w:p>
        </w:tc>
        <w:tc>
          <w:tcPr>
            <w:tcW w:w="709" w:type="dxa"/>
            <w:shd w:val="clear" w:color="auto" w:fill="auto"/>
            <w:tcMar>
              <w:top w:w="28" w:type="dxa"/>
              <w:left w:w="28" w:type="dxa"/>
            </w:tcMar>
          </w:tcPr>
          <w:p w:rsidR="005C4E1C" w:rsidRPr="00E106BD" w:rsidDel="00D332F3" w:rsidRDefault="005C4E1C"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5C4E1C" w:rsidRPr="00E106BD" w:rsidRDefault="005C4E1C" w:rsidP="00881477">
            <w:pPr>
              <w:spacing w:line="240" w:lineRule="auto"/>
              <w:rPr>
                <w:rFonts w:ascii="Arial" w:hAnsi="Arial" w:cs="Arial"/>
                <w:sz w:val="16"/>
                <w:szCs w:val="16"/>
              </w:rPr>
            </w:pPr>
            <w:r w:rsidRPr="00E106BD">
              <w:rPr>
                <w:rFonts w:ascii="Arial" w:hAnsi="Arial" w:cs="Arial"/>
                <w:sz w:val="16"/>
                <w:szCs w:val="16"/>
              </w:rPr>
              <w:t>Multiple myeloma</w:t>
            </w:r>
          </w:p>
        </w:tc>
        <w:tc>
          <w:tcPr>
            <w:tcW w:w="2552" w:type="dxa"/>
            <w:shd w:val="clear" w:color="auto" w:fill="auto"/>
            <w:tcMar>
              <w:top w:w="28" w:type="dxa"/>
              <w:left w:w="28" w:type="dxa"/>
              <w:right w:w="57" w:type="dxa"/>
            </w:tcMar>
          </w:tcPr>
          <w:p w:rsidR="005C4E1C" w:rsidRPr="00E106BD" w:rsidRDefault="005C4E1C" w:rsidP="0088147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9290</w:t>
            </w:r>
          </w:p>
        </w:tc>
      </w:tr>
      <w:tr w:rsidR="005C4E1C" w:rsidRPr="00E106BD" w:rsidDel="00E7459D" w:rsidTr="008929EB">
        <w:tc>
          <w:tcPr>
            <w:tcW w:w="1729" w:type="dxa"/>
            <w:tcBorders>
              <w:bottom w:val="single" w:sz="4" w:space="0" w:color="auto"/>
            </w:tcBorders>
            <w:shd w:val="clear" w:color="auto" w:fill="auto"/>
            <w:tcMar>
              <w:top w:w="28" w:type="dxa"/>
              <w:left w:w="28" w:type="dxa"/>
            </w:tcMar>
          </w:tcPr>
          <w:p w:rsidR="005C4E1C" w:rsidRPr="00E106BD" w:rsidDel="00E7459D" w:rsidRDefault="005C4E1C" w:rsidP="00881477">
            <w:pPr>
              <w:spacing w:line="240" w:lineRule="auto"/>
              <w:rPr>
                <w:rFonts w:ascii="Arial" w:eastAsia="SimSun" w:hAnsi="Arial" w:cs="Arial"/>
                <w:sz w:val="16"/>
                <w:szCs w:val="16"/>
                <w:lang w:eastAsia="zh-CN"/>
              </w:rPr>
            </w:pPr>
            <w:bookmarkStart w:id="267" w:name="CU_579881156"/>
            <w:bookmarkEnd w:id="267"/>
            <w:r w:rsidRPr="00E106BD">
              <w:rPr>
                <w:rFonts w:ascii="Arial" w:eastAsia="SimSun" w:hAnsi="Arial" w:cs="Arial"/>
                <w:sz w:val="16"/>
                <w:szCs w:val="16"/>
                <w:lang w:eastAsia="zh-CN"/>
              </w:rPr>
              <w:t>Tipranavir</w:t>
            </w:r>
          </w:p>
        </w:tc>
        <w:tc>
          <w:tcPr>
            <w:tcW w:w="709" w:type="dxa"/>
            <w:tcBorders>
              <w:bottom w:val="single" w:sz="4" w:space="0" w:color="auto"/>
            </w:tcBorders>
            <w:shd w:val="clear" w:color="auto" w:fill="auto"/>
            <w:tcMar>
              <w:top w:w="28" w:type="dxa"/>
              <w:left w:w="28" w:type="dxa"/>
            </w:tcMar>
          </w:tcPr>
          <w:p w:rsidR="005C4E1C" w:rsidRPr="00E106BD" w:rsidDel="00E7459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C5764</w:t>
            </w:r>
          </w:p>
        </w:tc>
        <w:tc>
          <w:tcPr>
            <w:tcW w:w="709" w:type="dxa"/>
            <w:tcBorders>
              <w:bottom w:val="single" w:sz="4" w:space="0" w:color="auto"/>
            </w:tcBorders>
            <w:shd w:val="clear" w:color="auto" w:fill="auto"/>
            <w:tcMar>
              <w:top w:w="28" w:type="dxa"/>
              <w:left w:w="28" w:type="dxa"/>
            </w:tcMar>
          </w:tcPr>
          <w:p w:rsidR="005C4E1C" w:rsidRPr="00E106BD" w:rsidDel="00E7459D" w:rsidRDefault="005C4E1C"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p>
          <w:p w:rsidR="005C4E1C" w:rsidRPr="00E106BD" w:rsidDel="00E7459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addition to optimised background therapy, AND</w:t>
            </w:r>
            <w:r w:rsidRPr="00E106BD">
              <w:rPr>
                <w:rFonts w:ascii="Arial" w:eastAsia="SimSun" w:hAnsi="Arial" w:cs="Arial"/>
                <w:sz w:val="16"/>
                <w:szCs w:val="16"/>
                <w:lang w:eastAsia="zh-CN"/>
              </w:rPr>
              <w:br/>
              <w:t>The treatment must be in combination with other antiretroviral agents, AND</w:t>
            </w:r>
            <w:r w:rsidRPr="00E106BD">
              <w:rPr>
                <w:rFonts w:ascii="Arial" w:eastAsia="SimSun" w:hAnsi="Arial" w:cs="Arial"/>
                <w:sz w:val="16"/>
                <w:szCs w:val="16"/>
                <w:lang w:eastAsia="zh-CN"/>
              </w:rPr>
              <w:br/>
              <w:t>Patient must be antiretroviral experienced, AND</w:t>
            </w:r>
            <w:r w:rsidRPr="00E106BD">
              <w:rPr>
                <w:rFonts w:ascii="Arial" w:eastAsia="SimSun" w:hAnsi="Arial" w:cs="Arial"/>
                <w:sz w:val="16"/>
                <w:szCs w:val="16"/>
                <w:lang w:eastAsia="zh-CN"/>
              </w:rPr>
              <w:br/>
              <w:t>The treatment must be co</w:t>
            </w:r>
            <w:r>
              <w:rPr>
                <w:rFonts w:ascii="Arial" w:eastAsia="SimSun" w:hAnsi="Arial" w:cs="Arial"/>
                <w:sz w:val="16"/>
                <w:szCs w:val="16"/>
                <w:lang w:eastAsia="zh-CN"/>
              </w:rPr>
              <w:noBreakHyphen/>
            </w:r>
            <w:r w:rsidRPr="00E106BD">
              <w:rPr>
                <w:rFonts w:ascii="Arial" w:eastAsia="SimSun" w:hAnsi="Arial" w:cs="Arial"/>
                <w:sz w:val="16"/>
                <w:szCs w:val="16"/>
                <w:lang w:eastAsia="zh-CN"/>
              </w:rPr>
              <w:t>administered with 200 mg ritonavir twice daily, AND</w:t>
            </w:r>
            <w:r w:rsidRPr="00E106BD">
              <w:rPr>
                <w:rFonts w:ascii="Arial" w:eastAsia="SimSun" w:hAnsi="Arial" w:cs="Arial"/>
                <w:sz w:val="16"/>
                <w:szCs w:val="16"/>
                <w:lang w:eastAsia="zh-CN"/>
              </w:rPr>
              <w:br/>
              <w:t>Patient must have experienced virological failure or clinical failure or genotypic resistance after each of at least 3 different antiretroviral regimens that have included one drug from at least 3 different antiretroviral classes.</w:t>
            </w:r>
            <w:r w:rsidRPr="00E106BD">
              <w:rPr>
                <w:rFonts w:ascii="Arial" w:eastAsia="SimSun" w:hAnsi="Arial" w:cs="Arial"/>
                <w:sz w:val="16"/>
                <w:szCs w:val="16"/>
                <w:lang w:eastAsia="zh-CN"/>
              </w:rPr>
              <w:br/>
              <w:t>Virological failure is defined as a viral load greater than 400 copies per mL on two consecutive occasions, while clinical failure is linked to emerging signs and symptoms of progressing HIV infection or treatment</w:t>
            </w:r>
            <w:r>
              <w:rPr>
                <w:rFonts w:ascii="Arial" w:eastAsia="SimSun" w:hAnsi="Arial" w:cs="Arial"/>
                <w:sz w:val="16"/>
                <w:szCs w:val="16"/>
                <w:lang w:eastAsia="zh-CN"/>
              </w:rPr>
              <w:noBreakHyphen/>
            </w:r>
            <w:r w:rsidRPr="00E106BD">
              <w:rPr>
                <w:rFonts w:ascii="Arial" w:eastAsia="SimSun" w:hAnsi="Arial" w:cs="Arial"/>
                <w:sz w:val="16"/>
                <w:szCs w:val="16"/>
                <w:lang w:eastAsia="zh-CN"/>
              </w:rPr>
              <w:t>limiting toxicity.</w:t>
            </w:r>
          </w:p>
        </w:tc>
        <w:tc>
          <w:tcPr>
            <w:tcW w:w="2552" w:type="dxa"/>
            <w:tcBorders>
              <w:bottom w:val="single" w:sz="4" w:space="0" w:color="auto"/>
            </w:tcBorders>
            <w:shd w:val="clear" w:color="auto" w:fill="auto"/>
            <w:tcMar>
              <w:top w:w="28" w:type="dxa"/>
              <w:left w:w="28" w:type="dxa"/>
              <w:right w:w="57" w:type="dxa"/>
            </w:tcMar>
          </w:tcPr>
          <w:p w:rsidR="005C4E1C" w:rsidRPr="00E106BD" w:rsidDel="00E7459D" w:rsidRDefault="005C4E1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5764</w:t>
            </w:r>
          </w:p>
        </w:tc>
      </w:tr>
      <w:tr w:rsidR="005C4E1C" w:rsidRPr="00E106BD" w:rsidDel="00483757" w:rsidTr="008929EB">
        <w:tc>
          <w:tcPr>
            <w:tcW w:w="1729" w:type="dxa"/>
            <w:tcBorders>
              <w:bottom w:val="single" w:sz="4" w:space="0" w:color="auto"/>
            </w:tcBorders>
            <w:shd w:val="clear" w:color="auto" w:fill="auto"/>
            <w:tcMar>
              <w:top w:w="28" w:type="dxa"/>
              <w:left w:w="28" w:type="dxa"/>
            </w:tcMar>
          </w:tcPr>
          <w:p w:rsidR="005C4E1C" w:rsidRPr="00E106BD" w:rsidDel="00483757" w:rsidRDefault="005C4E1C" w:rsidP="00881477">
            <w:pPr>
              <w:widowControl w:val="0"/>
              <w:spacing w:line="240" w:lineRule="auto"/>
              <w:rPr>
                <w:rFonts w:ascii="Arial" w:hAnsi="Arial" w:cs="Arial"/>
                <w:sz w:val="16"/>
                <w:szCs w:val="16"/>
              </w:rPr>
            </w:pPr>
            <w:bookmarkStart w:id="268" w:name="CU_580882040"/>
            <w:bookmarkStart w:id="269" w:name="CU_581888204"/>
            <w:bookmarkStart w:id="270" w:name="CU_582891433"/>
            <w:bookmarkStart w:id="271" w:name="CU_584898293"/>
            <w:bookmarkStart w:id="272" w:name="CU_585898929"/>
            <w:bookmarkStart w:id="273" w:name="CU_587907153"/>
            <w:bookmarkStart w:id="274" w:name="CU_588907784"/>
            <w:bookmarkStart w:id="275" w:name="CU_589908889"/>
            <w:bookmarkStart w:id="276" w:name="CU_590912603"/>
            <w:bookmarkStart w:id="277" w:name="CU_591919077"/>
            <w:bookmarkStart w:id="278" w:name="CU_594927182"/>
            <w:bookmarkStart w:id="279" w:name="CU_595928260"/>
            <w:bookmarkEnd w:id="268"/>
            <w:bookmarkEnd w:id="269"/>
            <w:bookmarkEnd w:id="270"/>
            <w:bookmarkEnd w:id="271"/>
            <w:bookmarkEnd w:id="272"/>
            <w:bookmarkEnd w:id="273"/>
            <w:bookmarkEnd w:id="274"/>
            <w:bookmarkEnd w:id="275"/>
            <w:bookmarkEnd w:id="276"/>
            <w:bookmarkEnd w:id="277"/>
            <w:bookmarkEnd w:id="278"/>
            <w:bookmarkEnd w:id="279"/>
            <w:r w:rsidRPr="00E106BD">
              <w:rPr>
                <w:rFonts w:ascii="Arial" w:eastAsia="SimSun" w:hAnsi="Arial" w:cs="Arial"/>
                <w:sz w:val="16"/>
                <w:szCs w:val="16"/>
                <w:lang w:eastAsia="zh-CN"/>
              </w:rPr>
              <w:t>Tocilizumab</w:t>
            </w: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C8627</w:t>
            </w: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Continuing Treatment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continuing treatment restriction to complete 24 weeks treatment; AND</w:t>
            </w:r>
            <w:r w:rsidRPr="00E106BD">
              <w:rPr>
                <w:rFonts w:ascii="Arial" w:hAnsi="Arial" w:cs="Arial"/>
                <w:sz w:val="16"/>
                <w:szCs w:val="16"/>
              </w:rPr>
              <w:br/>
              <w:t>The treatment must provide no more than the balance of up to 24 weeks treatment available under the above restriction.</w:t>
            </w:r>
          </w:p>
        </w:tc>
        <w:tc>
          <w:tcPr>
            <w:tcW w:w="2552" w:type="dxa"/>
            <w:tcBorders>
              <w:bottom w:val="single" w:sz="4" w:space="0" w:color="auto"/>
            </w:tcBorders>
            <w:shd w:val="clear" w:color="auto" w:fill="auto"/>
            <w:tcMar>
              <w:top w:w="28" w:type="dxa"/>
              <w:left w:w="28" w:type="dxa"/>
              <w:right w:w="57"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r w:rsidRPr="00E106BD">
              <w:rPr>
                <w:rFonts w:ascii="Arial" w:hAnsi="Arial" w:cs="Arial"/>
                <w:sz w:val="16"/>
                <w:szCs w:val="16"/>
                <w:lang w:eastAsia="en-AU"/>
              </w:rPr>
              <w:t>C8635</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Del="006712FA" w:rsidRDefault="005C4E1C"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2 (change or re</w:t>
            </w:r>
            <w:r>
              <w:rPr>
                <w:rFonts w:eastAsiaTheme="minorHAnsi"/>
                <w:szCs w:val="16"/>
                <w:lang w:eastAsia="en-US"/>
              </w:rPr>
              <w:noBreakHyphen/>
            </w:r>
            <w:r w:rsidRPr="00E106BD">
              <w:rPr>
                <w:rFonts w:eastAsiaTheme="minorHAnsi"/>
                <w:szCs w:val="16"/>
                <w:lang w:eastAsia="en-US"/>
              </w:rPr>
              <w:t>commencement of treatment after a break in biological medicine of less than 24 months)</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prior PBS</w:t>
            </w:r>
            <w:r>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not have failed to respond to previous PBS</w:t>
            </w:r>
            <w:r>
              <w:rPr>
                <w:rFonts w:eastAsiaTheme="minorHAnsi"/>
                <w:szCs w:val="16"/>
                <w:lang w:eastAsia="en-US"/>
              </w:rPr>
              <w:noBreakHyphen/>
            </w:r>
            <w:r w:rsidRPr="00E106BD">
              <w:rPr>
                <w:rFonts w:eastAsiaTheme="minorHAnsi"/>
                <w:szCs w:val="16"/>
                <w:lang w:eastAsia="en-US"/>
              </w:rPr>
              <w:t>subsidised treatment with this drug for this condition; AND</w:t>
            </w:r>
            <w:r w:rsidRPr="00E106BD">
              <w:rPr>
                <w:rFonts w:eastAsiaTheme="minorHAnsi"/>
                <w:szCs w:val="16"/>
                <w:lang w:eastAsia="en-US"/>
              </w:rPr>
              <w:br/>
              <w:t>Patient must not have already failed , or ceased to respond to, PBS</w:t>
            </w:r>
            <w:r>
              <w:rPr>
                <w:rFonts w:eastAsiaTheme="minorHAnsi"/>
                <w:szCs w:val="16"/>
                <w:lang w:eastAsia="en-US"/>
              </w:rPr>
              <w:noBreakHyphen/>
            </w:r>
            <w:r w:rsidRPr="00E106BD">
              <w:rPr>
                <w:rFonts w:eastAsiaTheme="minorHAnsi"/>
                <w:szCs w:val="16"/>
                <w:lang w:eastAsia="en-US"/>
              </w:rPr>
              <w:t>subsidised biological medicine treatment for this condition 5 times;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An adequate response to treatment is defined as:</w:t>
            </w:r>
            <w:r w:rsidRPr="00E106BD">
              <w:rPr>
                <w:rFonts w:eastAsiaTheme="minorHAnsi"/>
                <w:szCs w:val="16"/>
                <w:lang w:eastAsia="en-US"/>
              </w:rPr>
              <w:br/>
              <w:t>an ESR no greater than 25 mm per hour or a CRP level no greater than 15 mg per L or either marker reduced by at least 20% from baseline;</w:t>
            </w:r>
            <w:r w:rsidRPr="00E106BD">
              <w:rPr>
                <w:rFonts w:eastAsiaTheme="minorHAnsi"/>
                <w:szCs w:val="16"/>
                <w:lang w:eastAsia="en-US"/>
              </w:rPr>
              <w:br/>
              <w:t>AND either of the following:</w:t>
            </w:r>
            <w:r w:rsidRPr="00E106BD">
              <w:rPr>
                <w:rFonts w:eastAsiaTheme="minorHAnsi"/>
                <w:szCs w:val="16"/>
                <w:lang w:eastAsia="en-US"/>
              </w:rPr>
              <w:br/>
              <w:t>(a) a reduction in the total active (swollen and tender) joint count by at least 50% from baseline, where baseline is at least 20 active joints; or</w:t>
            </w:r>
            <w:r w:rsidRPr="00E106BD">
              <w:rPr>
                <w:rFonts w:eastAsiaTheme="minorHAnsi"/>
                <w:szCs w:val="16"/>
                <w:lang w:eastAsia="en-US"/>
              </w:rPr>
              <w:br/>
              <w:t>(b)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An application for a patient who has received PBS</w:t>
            </w:r>
            <w:r>
              <w:rPr>
                <w:rFonts w:eastAsiaTheme="minorHAnsi"/>
                <w:szCs w:val="16"/>
                <w:lang w:eastAsia="en-US"/>
              </w:rPr>
              <w:noBreakHyphen/>
            </w:r>
            <w:r w:rsidRPr="00E106BD">
              <w:rPr>
                <w:rFonts w:eastAsiaTheme="minorHAnsi"/>
                <w:szCs w:val="16"/>
                <w:lang w:eastAsia="en-US"/>
              </w:rPr>
              <w:t>subsidised treatment with this drug and who wishes to re</w:t>
            </w:r>
            <w:r>
              <w:rPr>
                <w:rFonts w:eastAsiaTheme="minorHAnsi"/>
                <w:szCs w:val="16"/>
                <w:lang w:eastAsia="en-US"/>
              </w:rPr>
              <w:noBreakHyphen/>
            </w:r>
            <w:r w:rsidRPr="00E106BD">
              <w:rPr>
                <w:rFonts w:eastAsiaTheme="minorHAnsi"/>
                <w:szCs w:val="16"/>
                <w:lang w:eastAsia="en-US"/>
              </w:rPr>
              <w:t>commence therapy with this drug, must be accompanied by evidence of a response to the patient</w:t>
            </w:r>
            <w:r w:rsidR="00A653CA">
              <w:rPr>
                <w:rFonts w:eastAsiaTheme="minorHAnsi"/>
                <w:szCs w:val="16"/>
                <w:lang w:eastAsia="en-US"/>
              </w:rPr>
              <w:t>’</w:t>
            </w:r>
            <w:r w:rsidRPr="00E106BD">
              <w:rPr>
                <w:rFonts w:eastAsiaTheme="minorHAnsi"/>
                <w:szCs w:val="16"/>
                <w:lang w:eastAsia="en-US"/>
              </w:rPr>
              <w:t>s most recent course of PBS</w:t>
            </w:r>
            <w:r>
              <w:rPr>
                <w:rFonts w:eastAsiaTheme="minorHAnsi"/>
                <w:szCs w:val="16"/>
                <w:lang w:eastAsia="en-US"/>
              </w:rPr>
              <w:noBreakHyphen/>
            </w:r>
            <w:r w:rsidRPr="00E106BD">
              <w:rPr>
                <w:rFonts w:eastAsiaTheme="minorHAnsi"/>
                <w:szCs w:val="16"/>
                <w:lang w:eastAsia="en-US"/>
              </w:rPr>
              <w:t>subsidised treatment with this drug, within the timeframes specified below.</w:t>
            </w:r>
            <w:r w:rsidRPr="00E106BD">
              <w:rPr>
                <w:rFonts w:eastAsiaTheme="minorHAnsi"/>
                <w:szCs w:val="16"/>
                <w:lang w:eastAsia="en-US"/>
              </w:rPr>
              <w:br/>
              <w:t>Where the most recent course of PBS</w:t>
            </w:r>
            <w:r>
              <w:rPr>
                <w:rFonts w:eastAsiaTheme="minorHAnsi"/>
                <w:szCs w:val="16"/>
                <w:lang w:eastAsia="en-US"/>
              </w:rPr>
              <w:noBreakHyphen/>
            </w:r>
            <w:r w:rsidRPr="00E106BD">
              <w:rPr>
                <w:rFonts w:eastAsiaTheme="minorHAnsi"/>
                <w:szCs w:val="16"/>
                <w:lang w:eastAsia="en-US"/>
              </w:rPr>
              <w:t>subsidised treatment with this drug was approved under either of the Initial 1, Initial 2, Initial 3, or continuing treatment restrictions, it is recommended that an assessment of a patient</w:t>
            </w:r>
            <w:r w:rsidR="00A653CA">
              <w:rPr>
                <w:rFonts w:eastAsiaTheme="minorHAnsi"/>
                <w:szCs w:val="16"/>
                <w:lang w:eastAsia="en-US"/>
              </w:rPr>
              <w:t>’</w:t>
            </w:r>
            <w:r w:rsidRPr="00E106BD">
              <w:rPr>
                <w:rFonts w:eastAsiaTheme="minorHAnsi"/>
                <w:szCs w:val="16"/>
                <w:lang w:eastAsia="en-US"/>
              </w:rPr>
              <w:t>s response is conducted following a minimum of 12 weeks of therapy and no later than 4 weeks from the completion of the most recent course of treatment.</w:t>
            </w:r>
            <w:r w:rsidRPr="00E106BD">
              <w:rPr>
                <w:rFonts w:eastAsiaTheme="minorHAnsi"/>
                <w:szCs w:val="16"/>
                <w:lang w:eastAsia="en-US"/>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Theme="minorHAns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E106BD">
              <w:rPr>
                <w:rFonts w:eastAsiaTheme="minorHAnsi"/>
                <w:szCs w:val="16"/>
                <w:lang w:eastAsia="en-US"/>
              </w:rPr>
              <w:br/>
              <w:t>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a completed authority prescription form(s); and</w:t>
            </w:r>
            <w:r w:rsidRPr="00E106BD">
              <w:rPr>
                <w:rFonts w:eastAsiaTheme="minorHAnsi"/>
                <w:szCs w:val="16"/>
                <w:lang w:eastAsia="en-US"/>
              </w:rPr>
              <w:br/>
              <w:t xml:space="preserve">(2) a completed Rheumatoid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If a patient fails to demonstrate a response to treatment with this drug under this restriction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A patient who has demonstrated a response to a course of rituximab must have a PBS</w:t>
            </w:r>
            <w:r>
              <w:rPr>
                <w:rFonts w:eastAsiaTheme="minorHAnsi"/>
                <w:szCs w:val="16"/>
                <w:lang w:eastAsia="en-US"/>
              </w:rPr>
              <w:noBreakHyphen/>
            </w:r>
            <w:r w:rsidRPr="00E106BD">
              <w:rPr>
                <w:rFonts w:eastAsiaTheme="minorHAnsi"/>
                <w:szCs w:val="16"/>
                <w:lang w:eastAsia="en-US"/>
              </w:rPr>
              <w:t>subsidised biological therapy treatment</w:t>
            </w:r>
            <w:r>
              <w:rPr>
                <w:rFonts w:eastAsiaTheme="minorHAnsi"/>
                <w:szCs w:val="16"/>
                <w:lang w:eastAsia="en-US"/>
              </w:rPr>
              <w:noBreakHyphen/>
            </w:r>
            <w:r w:rsidRPr="00E106BD">
              <w:rPr>
                <w:rFonts w:eastAsiaTheme="minorHAnsi"/>
                <w:szCs w:val="16"/>
                <w:lang w:eastAsia="en-US"/>
              </w:rPr>
              <w:t>free period of at least 22 weeks, immediately following the second infusion, before swapping to an alternate biological medicine.</w:t>
            </w:r>
          </w:p>
        </w:tc>
        <w:tc>
          <w:tcPr>
            <w:tcW w:w="2552" w:type="dxa"/>
            <w:tcBorders>
              <w:bottom w:val="single" w:sz="4" w:space="0" w:color="auto"/>
            </w:tcBorders>
            <w:shd w:val="clear" w:color="auto" w:fill="auto"/>
            <w:tcMar>
              <w:top w:w="28" w:type="dxa"/>
              <w:left w:w="28" w:type="dxa"/>
              <w:right w:w="57" w:type="dxa"/>
            </w:tcMar>
          </w:tcPr>
          <w:p w:rsidR="005C4E1C" w:rsidRPr="00E106BD" w:rsidDel="006712FA" w:rsidRDefault="005C4E1C" w:rsidP="00881477">
            <w:pPr>
              <w:widowControl w:val="0"/>
              <w:spacing w:line="240" w:lineRule="auto"/>
              <w:rPr>
                <w:rFonts w:ascii="Arial" w:hAnsi="Arial" w:cs="Arial"/>
                <w:sz w:val="16"/>
                <w:szCs w:val="16"/>
              </w:rPr>
            </w:pPr>
            <w:r w:rsidRPr="00E106BD">
              <w:rPr>
                <w:rFonts w:ascii="Arial" w:eastAsia="Arial" w:hAnsi="Arial" w:cs="Arial"/>
                <w:sz w:val="16"/>
                <w:szCs w:val="22"/>
                <w:lang w:eastAsia="zh-CN"/>
              </w:rPr>
              <w:t>Compliance with Written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r w:rsidRPr="00E106BD">
              <w:rPr>
                <w:rFonts w:ascii="Arial" w:hAnsi="Arial" w:cs="Arial"/>
                <w:sz w:val="16"/>
                <w:szCs w:val="16"/>
                <w:lang w:eastAsia="en-AU"/>
              </w:rPr>
              <w:t>C8636</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Del="006712FA" w:rsidRDefault="005C4E1C"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3 (re</w:t>
            </w:r>
            <w:r>
              <w:rPr>
                <w:rFonts w:eastAsiaTheme="minorHAnsi"/>
                <w:szCs w:val="16"/>
                <w:lang w:eastAsia="en-US"/>
              </w:rPr>
              <w:noBreakHyphen/>
            </w:r>
            <w:r w:rsidRPr="00E106BD">
              <w:rPr>
                <w:rFonts w:eastAsiaTheme="minorHAnsi"/>
                <w:szCs w:val="16"/>
                <w:lang w:eastAsia="en-US"/>
              </w:rPr>
              <w:t>commencement of treatment after a break in biological medicine of more than 24 months)</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previously received PBS</w:t>
            </w:r>
            <w:r>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a break in treatment of 24 months or more from the most recent PBS</w:t>
            </w:r>
            <w:r>
              <w:rPr>
                <w:rFonts w:eastAsiaTheme="minorHAnsi"/>
                <w:szCs w:val="16"/>
                <w:lang w:eastAsia="en-US"/>
              </w:rPr>
              <w:noBreakHyphen/>
            </w:r>
            <w:r w:rsidRPr="00E106BD">
              <w:rPr>
                <w:rFonts w:eastAsiaTheme="minorHAnsi"/>
                <w:szCs w:val="16"/>
                <w:lang w:eastAsia="en-US"/>
              </w:rPr>
              <w:t>subsidised biological medicine for this condition; AND</w:t>
            </w:r>
            <w:r w:rsidRPr="00E106BD">
              <w:rPr>
                <w:rFonts w:eastAsiaTheme="minorHAnsi"/>
                <w:szCs w:val="16"/>
                <w:lang w:eastAsia="en-US"/>
              </w:rPr>
              <w:br/>
              <w:t>Patient must not have failed to respond to previous PBS</w:t>
            </w:r>
            <w:r>
              <w:rPr>
                <w:rFonts w:eastAsiaTheme="minorHAnsi"/>
                <w:szCs w:val="16"/>
                <w:lang w:eastAsia="en-US"/>
              </w:rPr>
              <w:noBreakHyphen/>
            </w:r>
            <w:r w:rsidRPr="00E106BD">
              <w:rPr>
                <w:rFonts w:eastAsiaTheme="minorHAnsi"/>
                <w:szCs w:val="16"/>
                <w:lang w:eastAsia="en-US"/>
              </w:rPr>
              <w:t>subsidised treatment with this drug for this condition; AND</w:t>
            </w:r>
            <w:r w:rsidRPr="00E106BD">
              <w:rPr>
                <w:rFonts w:eastAsiaTheme="minorHAnsi"/>
                <w:szCs w:val="16"/>
                <w:lang w:eastAsia="en-US"/>
              </w:rPr>
              <w:br/>
              <w:t>Patient must not have already failed , or ceased to respond to, PBS</w:t>
            </w:r>
            <w:r>
              <w:rPr>
                <w:rFonts w:eastAsiaTheme="minorHAnsi"/>
                <w:szCs w:val="16"/>
                <w:lang w:eastAsia="en-US"/>
              </w:rPr>
              <w:noBreakHyphen/>
            </w:r>
            <w:r w:rsidRPr="00E106BD">
              <w:rPr>
                <w:rFonts w:eastAsiaTheme="minorHAnsi"/>
                <w:szCs w:val="16"/>
                <w:lang w:eastAsia="en-US"/>
              </w:rPr>
              <w:t>subsidised biological medicine treatment for this condition 5 times; AND</w:t>
            </w:r>
            <w:r w:rsidRPr="00E106BD">
              <w:rPr>
                <w:rFonts w:eastAsiaTheme="minorHAnsi"/>
                <w:szCs w:val="16"/>
                <w:lang w:eastAsia="en-US"/>
              </w:rPr>
              <w:br/>
              <w:t>The condition must have an elevated erythrocyte sedimentation rate (ESR) greater than 25 mm per hour; OR</w:t>
            </w:r>
            <w:r w:rsidRPr="00E106BD">
              <w:rPr>
                <w:rFonts w:eastAsiaTheme="minorHAnsi"/>
                <w:szCs w:val="16"/>
                <w:lang w:eastAsia="en-US"/>
              </w:rPr>
              <w:br/>
              <w:t>The condition must have a C</w:t>
            </w:r>
            <w:r>
              <w:rPr>
                <w:rFonts w:eastAsiaTheme="minorHAnsi"/>
                <w:szCs w:val="16"/>
                <w:lang w:eastAsia="en-US"/>
              </w:rPr>
              <w:noBreakHyphen/>
            </w:r>
            <w:r w:rsidRPr="00E106BD">
              <w:rPr>
                <w:rFonts w:eastAsiaTheme="minorHAnsi"/>
                <w:szCs w:val="16"/>
                <w:lang w:eastAsia="en-US"/>
              </w:rPr>
              <w:t>reactive protein (CRP) level greater than 15 mg per L; AND</w:t>
            </w:r>
            <w:r w:rsidRPr="00E106BD">
              <w:rPr>
                <w:rFonts w:eastAsiaTheme="minorHAnsi"/>
                <w:szCs w:val="16"/>
                <w:lang w:eastAsia="en-US"/>
              </w:rPr>
              <w:br/>
              <w:t>The condition must have either (a) a total active joint count of at least 20 active (swollen and tender) joints; or (b) at least 4 active major joints;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All measures of joint count and ESR and/or CRP must be no more than one month old at the time of initial application.</w:t>
            </w:r>
            <w:r w:rsidRPr="00E106BD">
              <w:rPr>
                <w:rFonts w:eastAsiaTheme="minorHAnsi"/>
                <w:szCs w:val="16"/>
                <w:lang w:eastAsia="en-US"/>
              </w:rPr>
              <w:br/>
              <w:t>If the above requirement to demonstrate an elevated ESR or CRP cannot be met, the application must state the reasons why this criterion cannot be satisfied.</w:t>
            </w:r>
            <w:r w:rsidRPr="00E106BD">
              <w:rPr>
                <w:rFonts w:eastAsiaTheme="minorHAnsi"/>
                <w:szCs w:val="16"/>
                <w:lang w:eastAsia="en-US"/>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Theme="minorHAns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E106BD">
              <w:rPr>
                <w:rFonts w:eastAsiaTheme="minorHAnsi"/>
                <w:szCs w:val="16"/>
                <w:lang w:eastAsia="en-US"/>
              </w:rPr>
              <w:br/>
              <w:t>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a completed authority prescription form(s); and</w:t>
            </w:r>
            <w:r w:rsidRPr="00E106BD">
              <w:rPr>
                <w:rFonts w:eastAsiaTheme="minorHAnsi"/>
                <w:szCs w:val="16"/>
                <w:lang w:eastAsia="en-US"/>
              </w:rPr>
              <w:br/>
              <w:t xml:space="preserve">(2) a completed Rheumatoid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It is recommended that an assessment of a patient</w:t>
            </w:r>
            <w:r w:rsidR="00A653CA">
              <w:rPr>
                <w:rFonts w:eastAsiaTheme="minorHAnsi"/>
                <w:szCs w:val="16"/>
                <w:lang w:eastAsia="en-US"/>
              </w:rPr>
              <w:t>’</w:t>
            </w:r>
            <w:r w:rsidRPr="00E106BD">
              <w:rPr>
                <w:rFonts w:eastAsiaTheme="minorHAnsi"/>
                <w:szCs w:val="16"/>
                <w:lang w:eastAsia="en-US"/>
              </w:rPr>
              <w:t>s response is conducted following a minimum of 12 weeks of therapy and no later than 4 weeks from the completion of the most recent course of treatment.</w:t>
            </w:r>
            <w:r w:rsidRPr="00E106BD">
              <w:rPr>
                <w:rFonts w:eastAsiaTheme="minorHAnsi"/>
                <w:szCs w:val="16"/>
                <w:lang w:eastAsia="en-US"/>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Theme="minorHAnsi"/>
                <w:szCs w:val="16"/>
                <w:lang w:eastAsia="en-US"/>
              </w:rPr>
              <w:br/>
              <w:t>If a patient fails to demonstrate a response to treatment with this drug under this restriction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5C4E1C" w:rsidRPr="00E106BD" w:rsidDel="006712FA" w:rsidRDefault="005C4E1C" w:rsidP="00881477">
            <w:pPr>
              <w:widowControl w:val="0"/>
              <w:spacing w:line="240" w:lineRule="auto"/>
              <w:rPr>
                <w:rFonts w:ascii="Arial" w:hAnsi="Arial" w:cs="Arial"/>
                <w:sz w:val="16"/>
                <w:szCs w:val="16"/>
              </w:rPr>
            </w:pPr>
            <w:r w:rsidRPr="00E106BD">
              <w:rPr>
                <w:rFonts w:ascii="Arial" w:eastAsia="Arial" w:hAnsi="Arial" w:cs="Arial"/>
                <w:sz w:val="16"/>
                <w:szCs w:val="22"/>
                <w:lang w:eastAsia="zh-CN"/>
              </w:rPr>
              <w:t>Compliance with Written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r w:rsidRPr="00E106BD">
              <w:rPr>
                <w:rFonts w:ascii="Arial" w:hAnsi="Arial" w:cs="Arial"/>
                <w:sz w:val="16"/>
                <w:szCs w:val="16"/>
                <w:lang w:eastAsia="en-AU"/>
              </w:rPr>
              <w:t>C8637</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Del="006712FA" w:rsidRDefault="005C4E1C"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Continuing treatment</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this drug as their most recent course of PBS</w:t>
            </w:r>
            <w:r>
              <w:rPr>
                <w:rFonts w:eastAsiaTheme="minorHAnsi"/>
                <w:szCs w:val="16"/>
                <w:lang w:eastAsia="en-US"/>
              </w:rPr>
              <w:noBreakHyphen/>
            </w:r>
            <w:r w:rsidRPr="00E106BD">
              <w:rPr>
                <w:rFonts w:eastAsiaTheme="minorHAnsi"/>
                <w:szCs w:val="16"/>
                <w:lang w:eastAsia="en-US"/>
              </w:rPr>
              <w:t>subsidised biological medicine treatment for this condition; AND</w:t>
            </w:r>
            <w:r w:rsidRPr="00E106BD">
              <w:rPr>
                <w:rFonts w:eastAsiaTheme="minorHAnsi"/>
                <w:szCs w:val="16"/>
                <w:lang w:eastAsia="en-US"/>
              </w:rPr>
              <w:br/>
              <w:t>Patient must have demonstrated an adequate response to treatment with this drug; AND</w:t>
            </w:r>
            <w:r w:rsidRPr="00E106BD">
              <w:rPr>
                <w:rFonts w:eastAsiaTheme="minorHAnsi"/>
                <w:szCs w:val="16"/>
                <w:lang w:eastAsia="en-US"/>
              </w:rPr>
              <w:br/>
              <w:t>Patient must not receive more than 24 weeks of treatment per continuing treatment course authorised under this restriction.</w:t>
            </w:r>
            <w:r w:rsidRPr="00E106BD">
              <w:rPr>
                <w:rFonts w:eastAsiaTheme="minorHAnsi"/>
                <w:szCs w:val="16"/>
                <w:lang w:eastAsia="en-US"/>
              </w:rPr>
              <w:br/>
              <w:t>Patient must be aged 18 years or older.</w:t>
            </w:r>
            <w:r w:rsidRPr="00E106BD">
              <w:rPr>
                <w:rFonts w:eastAsiaTheme="minorHAnsi"/>
                <w:szCs w:val="16"/>
                <w:lang w:eastAsia="en-US"/>
              </w:rPr>
              <w:br/>
              <w:t>An adequate response to treatment is defined as:</w:t>
            </w:r>
            <w:r w:rsidRPr="00E106BD">
              <w:rPr>
                <w:rFonts w:eastAsiaTheme="minorHAnsi"/>
                <w:szCs w:val="16"/>
                <w:lang w:eastAsia="en-US"/>
              </w:rPr>
              <w:br/>
              <w:t>an ESR no greater than 25 mm per hour or a CRP level no greater than 15 mg per L or either marker reduced by at least 20% from baseline;</w:t>
            </w:r>
            <w:r w:rsidRPr="00E106BD">
              <w:rPr>
                <w:rFonts w:eastAsiaTheme="minorHAnsi"/>
                <w:szCs w:val="16"/>
                <w:lang w:eastAsia="en-US"/>
              </w:rPr>
              <w:br/>
              <w:t>AND either of the following:</w:t>
            </w:r>
            <w:r w:rsidRPr="00E106BD">
              <w:rPr>
                <w:rFonts w:eastAsiaTheme="minorHAnsi"/>
                <w:szCs w:val="16"/>
                <w:lang w:eastAsia="en-US"/>
              </w:rPr>
              <w:br/>
              <w:t>(a) a reduction in the total active (swollen and tender) joint count by at least 50% from baseline, where baseline is at least 20 active joints; or</w:t>
            </w:r>
            <w:r w:rsidRPr="00E106BD">
              <w:rPr>
                <w:rFonts w:eastAsiaTheme="minorHAnsi"/>
                <w:szCs w:val="16"/>
                <w:lang w:eastAsia="en-US"/>
              </w:rPr>
              <w:br/>
              <w:t>(b)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Theme="minorHAns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E106BD">
              <w:rPr>
                <w:rFonts w:eastAsiaTheme="minorHAnsi"/>
                <w:szCs w:val="16"/>
                <w:lang w:eastAsia="en-US"/>
              </w:rPr>
              <w:br/>
              <w:t>Up to a maximum of 5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a completed authority prescription form(s); and</w:t>
            </w:r>
            <w:r w:rsidRPr="00E106BD">
              <w:rPr>
                <w:rFonts w:eastAsiaTheme="minorHAnsi"/>
                <w:szCs w:val="16"/>
                <w:lang w:eastAsia="en-US"/>
              </w:rPr>
              <w:br/>
              <w:t xml:space="preserve">(2) a completed Rheumatoid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eastAsiaTheme="minorHAnsi"/>
                <w:szCs w:val="16"/>
                <w:lang w:eastAsia="en-US"/>
              </w:rPr>
              <w:br/>
              <w:t>If a patient has either failed or ceased to respond to a PBS</w:t>
            </w:r>
            <w:r>
              <w:rPr>
                <w:rFonts w:eastAsiaTheme="minorHAnsi"/>
                <w:szCs w:val="16"/>
                <w:lang w:eastAsia="en-US"/>
              </w:rPr>
              <w:noBreakHyphen/>
            </w:r>
            <w:r w:rsidRPr="00E106BD">
              <w:rPr>
                <w:rFonts w:eastAsiaTheme="minorHAnsi"/>
                <w:szCs w:val="16"/>
                <w:lang w:eastAsia="en-US"/>
              </w:rPr>
              <w:t>subsidised biological medicine for this condition 5 times, they will not be eligible to receive further PBS</w:t>
            </w:r>
            <w:r>
              <w:rPr>
                <w:rFonts w:eastAsiaTheme="minorHAnsi"/>
                <w:szCs w:val="16"/>
                <w:lang w:eastAsia="en-US"/>
              </w:rPr>
              <w:noBreakHyphen/>
            </w:r>
            <w:r w:rsidRPr="00E106BD">
              <w:rPr>
                <w:rFonts w:eastAsiaTheme="minorHAnsi"/>
                <w:szCs w:val="16"/>
                <w:lang w:eastAsia="en-US"/>
              </w:rPr>
              <w:t>subsidised treatment with a biological medicine for this condition.</w:t>
            </w:r>
            <w:r w:rsidRPr="00E106BD">
              <w:rPr>
                <w:rFonts w:eastAsiaTheme="minorHAnsi"/>
                <w:szCs w:val="16"/>
                <w:lang w:eastAsia="en-US"/>
              </w:rPr>
              <w:br/>
              <w:t>If a patient fails to demonstrate a response to treatment with this drug under this restriction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5C4E1C" w:rsidRPr="00E106BD" w:rsidDel="006712FA" w:rsidRDefault="005C4E1C" w:rsidP="00881477">
            <w:pPr>
              <w:widowControl w:val="0"/>
              <w:spacing w:line="240" w:lineRule="auto"/>
              <w:rPr>
                <w:rFonts w:ascii="Arial" w:hAnsi="Arial" w:cs="Arial"/>
                <w:sz w:val="16"/>
                <w:szCs w:val="16"/>
              </w:rPr>
            </w:pPr>
            <w:r w:rsidRPr="00E106BD">
              <w:rPr>
                <w:rFonts w:ascii="Arial" w:eastAsia="Arial" w:hAnsi="Arial" w:cs="Arial"/>
                <w:sz w:val="16"/>
                <w:szCs w:val="22"/>
                <w:lang w:eastAsia="zh-CN"/>
              </w:rPr>
              <w:t>Compliance with Written Authority Required procedures</w:t>
            </w:r>
          </w:p>
        </w:tc>
      </w:tr>
      <w:tr w:rsidR="005C4E1C" w:rsidRPr="00E106BD" w:rsidDel="00483757" w:rsidTr="008929EB">
        <w:tc>
          <w:tcPr>
            <w:tcW w:w="1729" w:type="dxa"/>
            <w:tcBorders>
              <w:bottom w:val="single" w:sz="4" w:space="0" w:color="auto"/>
            </w:tcBorders>
            <w:shd w:val="clear" w:color="auto" w:fill="auto"/>
            <w:tcMar>
              <w:top w:w="28" w:type="dxa"/>
              <w:left w:w="28" w:type="dxa"/>
            </w:tcMar>
          </w:tcPr>
          <w:p w:rsidR="005C4E1C" w:rsidRPr="00E106BD" w:rsidDel="00483757"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C8638</w:t>
            </w: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 xml:space="preserve">Initial 1 (new patient) or Initial 2 (change or recommencement of treatment after a break in biological medicine of less than 24 months) or Initial 3 (recommencement of treatment after a break in biological medicine of more than 24 months) </w:t>
            </w:r>
            <w:r>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insufficient therapy with this drug for this condition under the Initial 1 (new patient) restriction to complete 16 weeks treatment; OR</w:t>
            </w:r>
            <w:r w:rsidRPr="00E106BD">
              <w:rPr>
                <w:rFonts w:eastAsiaTheme="minorHAnsi"/>
                <w:szCs w:val="16"/>
                <w:lang w:eastAsia="en-US"/>
              </w:rPr>
              <w:br/>
              <w:t>Patient must have received insufficient therapy with this drug for this condition under the Initial 2 (change or recommencement of treatment after a break in biological medicine of less than 24 months) restriction to complete 16 weeks treatment; OR</w:t>
            </w:r>
            <w:r w:rsidRPr="00E106BD">
              <w:rPr>
                <w:rFonts w:eastAsiaTheme="minorHAnsi"/>
                <w:szCs w:val="16"/>
                <w:lang w:eastAsia="en-US"/>
              </w:rPr>
              <w:br/>
              <w:t>Patient must have received insufficient therapy with this drug for this condition under the Initial 3 (recommencement of treatment after a break in biological medicine of more than 24 months) to complete 16 weeks of treatment; AND</w:t>
            </w:r>
            <w:r w:rsidRPr="00E106BD">
              <w:rPr>
                <w:rFonts w:eastAsiaTheme="minorHAnsi"/>
                <w:szCs w:val="16"/>
                <w:lang w:eastAsia="en-US"/>
              </w:rPr>
              <w:br/>
              <w:t>The treatment must provide no more than the balance of up to 16 weeks treatment available under the above restrictions.</w:t>
            </w:r>
          </w:p>
        </w:tc>
        <w:tc>
          <w:tcPr>
            <w:tcW w:w="2552" w:type="dxa"/>
            <w:tcBorders>
              <w:bottom w:val="single" w:sz="4" w:space="0" w:color="auto"/>
            </w:tcBorders>
            <w:shd w:val="clear" w:color="auto" w:fill="auto"/>
            <w:tcMar>
              <w:top w:w="28" w:type="dxa"/>
              <w:left w:w="28" w:type="dxa"/>
              <w:right w:w="57"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r w:rsidRPr="00E106BD">
              <w:rPr>
                <w:rFonts w:ascii="Arial" w:hAnsi="Arial" w:cs="Arial"/>
                <w:sz w:val="16"/>
                <w:szCs w:val="16"/>
                <w:lang w:eastAsia="en-AU"/>
              </w:rPr>
              <w:t>C8709</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Del="006712FA" w:rsidRDefault="005C4E1C"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1 (new patient)</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not have received PBS</w:t>
            </w:r>
            <w:r>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disease modifying anti</w:t>
            </w:r>
            <w:r>
              <w:rPr>
                <w:rFonts w:eastAsiaTheme="minorHAnsi"/>
                <w:szCs w:val="16"/>
                <w:lang w:eastAsia="en-US"/>
              </w:rPr>
              <w:noBreakHyphen/>
            </w:r>
            <w:r w:rsidRPr="00E106BD">
              <w:rPr>
                <w:rFonts w:eastAsiaTheme="minorHAnsi"/>
                <w:szCs w:val="16"/>
                <w:lang w:eastAsia="en-US"/>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Pr>
                <w:rFonts w:eastAsiaTheme="minorHAnsi"/>
                <w:szCs w:val="16"/>
                <w:lang w:eastAsia="en-US"/>
              </w:rPr>
              <w:noBreakHyphen/>
            </w:r>
            <w:r w:rsidRPr="00E106BD">
              <w:rPr>
                <w:rFonts w:eastAsiaTheme="minorHAnsi"/>
                <w:szCs w:val="16"/>
                <w:lang w:eastAsia="en-US"/>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Pr>
                <w:rFonts w:eastAsiaTheme="minorHAnsi"/>
                <w:szCs w:val="16"/>
                <w:lang w:eastAsia="en-US"/>
              </w:rPr>
              <w:noBreakHyphen/>
            </w:r>
            <w:r w:rsidRPr="00E106BD">
              <w:rPr>
                <w:rFonts w:eastAsiaTheme="minorHAnsi"/>
                <w:szCs w:val="16"/>
                <w:lang w:eastAsia="en-US"/>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If methotrexate is contraindicated according to the TGA</w:t>
            </w:r>
            <w:r>
              <w:rPr>
                <w:rFonts w:eastAsiaTheme="minorHAnsi"/>
                <w:szCs w:val="16"/>
                <w:lang w:eastAsia="en-US"/>
              </w:rPr>
              <w:noBreakHyphen/>
            </w:r>
            <w:r w:rsidRPr="00E106BD">
              <w:rPr>
                <w:rFonts w:eastAsiaTheme="minorHAnsi"/>
                <w:szCs w:val="16"/>
                <w:lang w:eastAsia="en-US"/>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E106BD">
              <w:rPr>
                <w:rFonts w:eastAsiaTheme="minorHAnsi"/>
                <w:szCs w:val="16"/>
                <w:lang w:eastAsia="en-US"/>
              </w:rPr>
              <w:br/>
              <w:t>The application must include details of the DMARDs trialled, their doses and duration of treatment, and all relevant contraindications and/or intolerances including severity.</w:t>
            </w:r>
            <w:r w:rsidRPr="00E106BD">
              <w:rPr>
                <w:rFonts w:eastAsiaTheme="minorHAnsi"/>
                <w:szCs w:val="16"/>
                <w:lang w:eastAsia="en-US"/>
              </w:rPr>
              <w:br/>
              <w:t>The requirement to trial at least 2 DMARDs for periods of at least 3 months each can be met using single agents sequentially or by using one or more combinations of DMARDs.</w:t>
            </w:r>
            <w:r w:rsidRPr="00E106BD">
              <w:rPr>
                <w:rFonts w:eastAsiaTheme="minorHAnsi"/>
                <w:szCs w:val="16"/>
                <w:lang w:eastAsia="en-US"/>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E106BD">
              <w:rPr>
                <w:rFonts w:eastAsiaTheme="minorHAnsi"/>
                <w:szCs w:val="16"/>
                <w:lang w:eastAsia="en-US"/>
              </w:rPr>
              <w:br/>
              <w:t>The following criteria indicate failure to achieve an adequate response and must be demonstrated in all patients at the time of the initial application:</w:t>
            </w:r>
            <w:r w:rsidRPr="00E106BD">
              <w:rPr>
                <w:rFonts w:eastAsiaTheme="minorHAnsi"/>
                <w:szCs w:val="16"/>
                <w:lang w:eastAsia="en-US"/>
              </w:rPr>
              <w:br/>
              <w:t>an elevated erythrocyte sedimentation rate (ESR) greater than 25 mm per hour or a C</w:t>
            </w:r>
            <w:r>
              <w:rPr>
                <w:rFonts w:eastAsiaTheme="minorHAnsi"/>
                <w:szCs w:val="16"/>
                <w:lang w:eastAsia="en-US"/>
              </w:rPr>
              <w:noBreakHyphen/>
            </w:r>
            <w:r w:rsidRPr="00E106BD">
              <w:rPr>
                <w:rFonts w:eastAsiaTheme="minorHAnsi"/>
                <w:szCs w:val="16"/>
                <w:lang w:eastAsia="en-US"/>
              </w:rPr>
              <w:t>reactive protein (CRP) level greater than 15 mg per L; AND either</w:t>
            </w:r>
            <w:r w:rsidRPr="00E106BD">
              <w:rPr>
                <w:rFonts w:eastAsiaTheme="minorHAnsi"/>
                <w:szCs w:val="16"/>
                <w:lang w:eastAsia="en-US"/>
              </w:rPr>
              <w:br/>
              <w:t>(a) a total active joint count of at least 20 active (swollen and tender) joints; or</w:t>
            </w:r>
            <w:r w:rsidRPr="00E106BD">
              <w:rPr>
                <w:rFonts w:eastAsiaTheme="minorHAnsi"/>
                <w:szCs w:val="16"/>
                <w:lang w:eastAsia="en-US"/>
              </w:rPr>
              <w:br/>
              <w:t>(b) at least 4 active joints from the following list of major joints:</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The joint count and ESR and/or CRP must be determined at the completion of the 6 month intensive DMARD trial, but prior to ceasing DMARD therapy. All measures must be no more than one month old at the time of initial application.</w:t>
            </w:r>
            <w:r w:rsidRPr="00E106BD">
              <w:rPr>
                <w:rFonts w:eastAsiaTheme="minorHAnsi"/>
                <w:szCs w:val="16"/>
                <w:lang w:eastAsia="en-US"/>
              </w:rPr>
              <w:br/>
              <w:t>If the above requirement to demonstrate an elevated ESR or CRP cannot be met, the application must state the reasons why this criterion cannot be satisfied.</w:t>
            </w:r>
            <w:r w:rsidRPr="00E106BD">
              <w:rPr>
                <w:rFonts w:eastAsiaTheme="minorHAns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E106BD">
              <w:rPr>
                <w:rFonts w:eastAsiaTheme="minorHAnsi"/>
                <w:szCs w:val="16"/>
                <w:lang w:eastAsia="en-US"/>
              </w:rPr>
              <w:br/>
              <w:t>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a completed authority prescription form(s); and</w:t>
            </w:r>
            <w:r w:rsidRPr="00E106BD">
              <w:rPr>
                <w:rFonts w:eastAsiaTheme="minorHAnsi"/>
                <w:szCs w:val="16"/>
                <w:lang w:eastAsia="en-US"/>
              </w:rPr>
              <w:br/>
              <w:t xml:space="preserve">(2) a completed Rheumatoid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It is recommended that an assessment of a patient</w:t>
            </w:r>
            <w:r w:rsidR="00A653CA">
              <w:rPr>
                <w:rFonts w:eastAsiaTheme="minorHAnsi"/>
                <w:szCs w:val="16"/>
                <w:lang w:eastAsia="en-US"/>
              </w:rPr>
              <w:t>’</w:t>
            </w:r>
            <w:r w:rsidRPr="00E106BD">
              <w:rPr>
                <w:rFonts w:eastAsiaTheme="minorHAnsi"/>
                <w:szCs w:val="16"/>
                <w:lang w:eastAsia="en-US"/>
              </w:rPr>
              <w:t>s response is conducted following a minimum of 12 weeks of therapy and no later than 4 weeks from the completion of the most recent course of treatment.</w:t>
            </w:r>
            <w:r w:rsidRPr="00E106BD">
              <w:rPr>
                <w:rFonts w:eastAsiaTheme="minorHAnsi"/>
                <w:szCs w:val="16"/>
                <w:lang w:eastAsia="en-US"/>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Theme="minorHAnsi"/>
                <w:szCs w:val="16"/>
                <w:lang w:eastAsia="en-US"/>
              </w:rPr>
              <w:br/>
              <w:t>If a patient fails to demonstrate a response to treatment with this drug under this restriction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5C4E1C" w:rsidRPr="00E106BD" w:rsidDel="006712FA" w:rsidRDefault="005C4E1C" w:rsidP="00881477">
            <w:pPr>
              <w:widowControl w:val="0"/>
              <w:spacing w:line="240" w:lineRule="auto"/>
              <w:rPr>
                <w:rFonts w:ascii="Arial" w:hAnsi="Arial" w:cs="Arial"/>
                <w:sz w:val="16"/>
                <w:szCs w:val="16"/>
              </w:rPr>
            </w:pPr>
            <w:r w:rsidRPr="00E106BD">
              <w:rPr>
                <w:rFonts w:ascii="Arial" w:eastAsia="Arial" w:hAnsi="Arial" w:cs="Arial"/>
                <w:sz w:val="16"/>
                <w:szCs w:val="22"/>
                <w:lang w:eastAsia="zh-CN"/>
              </w:rPr>
              <w:t>Compliance with Written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C9380</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Continuing Treatment </w:t>
            </w:r>
            <w:r>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insufficient therapy with this drug for this condition under the continuing treatment restriction to complete 24 weeks treatment; AND</w:t>
            </w:r>
            <w:r w:rsidRPr="00E106BD">
              <w:rPr>
                <w:rFonts w:eastAsiaTheme="minorHAnsi"/>
                <w:szCs w:val="16"/>
                <w:lang w:eastAsia="en-US"/>
              </w:rPr>
              <w:br/>
              <w:t>The treatment must provide no more than the balance of up to 24 weeks treatment available under the above restriction.</w:t>
            </w:r>
          </w:p>
        </w:tc>
        <w:tc>
          <w:tcPr>
            <w:tcW w:w="2552" w:type="dxa"/>
            <w:tcBorders>
              <w:bottom w:val="single" w:sz="4" w:space="0" w:color="auto"/>
            </w:tcBorders>
            <w:shd w:val="clear" w:color="auto" w:fill="auto"/>
            <w:tcMar>
              <w:top w:w="28" w:type="dxa"/>
              <w:left w:w="28" w:type="dxa"/>
              <w:right w:w="57" w:type="dxa"/>
            </w:tcMar>
          </w:tcPr>
          <w:p w:rsidR="005C4E1C" w:rsidRPr="00E106BD" w:rsidRDefault="005C4E1C"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C9384</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Continuing treatment </w:t>
            </w:r>
            <w:r>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rheumatologist; OR</w:t>
            </w:r>
            <w:r w:rsidRPr="00E106BD">
              <w:rPr>
                <w:rFonts w:eastAsiaTheme="minorHAnsi"/>
                <w:szCs w:val="16"/>
                <w:lang w:eastAsia="en-US"/>
              </w:rPr>
              <w:br/>
              <w:t>Patient must be undergoing treatment under the supervision of a paediatric rheumatology treatment centre.</w:t>
            </w:r>
            <w:r w:rsidRPr="00E106BD">
              <w:rPr>
                <w:rFonts w:eastAsiaTheme="minorHAnsi"/>
                <w:szCs w:val="16"/>
                <w:lang w:eastAsia="en-US"/>
              </w:rPr>
              <w:br/>
              <w:t>Patient must have received insufficient therapy with this drug for this condition under the continuing treatment restriction to complete 24 weeks treatment; AND</w:t>
            </w:r>
            <w:r w:rsidRPr="00E106BD">
              <w:rPr>
                <w:rFonts w:eastAsiaTheme="minorHAnsi"/>
                <w:szCs w:val="16"/>
                <w:lang w:eastAsia="en-US"/>
              </w:rPr>
              <w:br/>
              <w:t>The treatment must provide no more than the balance of up to 24 weeks treatment available under the above restriction.</w:t>
            </w:r>
          </w:p>
        </w:tc>
        <w:tc>
          <w:tcPr>
            <w:tcW w:w="2552" w:type="dxa"/>
            <w:tcBorders>
              <w:bottom w:val="single" w:sz="4" w:space="0" w:color="auto"/>
            </w:tcBorders>
            <w:shd w:val="clear" w:color="auto" w:fill="auto"/>
            <w:tcMar>
              <w:top w:w="28" w:type="dxa"/>
              <w:left w:w="28" w:type="dxa"/>
              <w:right w:w="57" w:type="dxa"/>
            </w:tcMar>
          </w:tcPr>
          <w:p w:rsidR="005C4E1C" w:rsidRPr="00E106BD" w:rsidRDefault="005C4E1C"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C9386</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eastAsia="Arial" w:hAnsi="Arial" w:cs="Arial"/>
                <w:sz w:val="16"/>
                <w:szCs w:val="22"/>
                <w:lang w:eastAsia="zh-CN"/>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1 (new patient) or Initial 2 (change or recommencement of treatment after break of less than 24 months) or Initial 3 (recommencement of treatment after a break in biological medicine of more than 24 months) </w:t>
            </w:r>
            <w:r>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insufficient therapy with this drug for this condition under the Initial 1 (new patient) restriction to complete 16 weeks treatment; OR</w:t>
            </w:r>
            <w:r w:rsidRPr="00E106BD">
              <w:rPr>
                <w:rFonts w:eastAsiaTheme="minorHAnsi"/>
                <w:szCs w:val="16"/>
                <w:lang w:eastAsia="en-US"/>
              </w:rPr>
              <w:br/>
              <w:t>Patient must have received insufficient therapy with this drug for this condition under the Initial 2 (change or recommencement of treatment after a break in biological medicine of less than 24 months) restriction to complete 16 weeks treatment; OR</w:t>
            </w:r>
            <w:r w:rsidRPr="00E106BD">
              <w:rPr>
                <w:rFonts w:eastAsiaTheme="minorHAnsi"/>
                <w:szCs w:val="16"/>
                <w:lang w:eastAsia="en-US"/>
              </w:rPr>
              <w:br/>
              <w:t>Patient must have received insufficient therapy with this drug for this condition under the Initial 3 (recommencement of treatment after a break in biological medicine of more than 24 months) to complete 16 weeks of treatment; AND</w:t>
            </w:r>
            <w:r w:rsidRPr="00E106BD">
              <w:rPr>
                <w:rFonts w:eastAsiaTheme="minorHAnsi"/>
                <w:szCs w:val="16"/>
                <w:lang w:eastAsia="en-US"/>
              </w:rPr>
              <w:br/>
              <w:t>The treatment must provide no more than the balance of up to 16 weeks treatment available under the above restrictions.</w:t>
            </w:r>
          </w:p>
        </w:tc>
        <w:tc>
          <w:tcPr>
            <w:tcW w:w="2552" w:type="dxa"/>
            <w:tcBorders>
              <w:bottom w:val="single" w:sz="4" w:space="0" w:color="auto"/>
            </w:tcBorders>
            <w:shd w:val="clear" w:color="auto" w:fill="auto"/>
            <w:tcMar>
              <w:top w:w="28" w:type="dxa"/>
              <w:left w:w="28" w:type="dxa"/>
              <w:right w:w="57" w:type="dxa"/>
            </w:tcMar>
          </w:tcPr>
          <w:p w:rsidR="005C4E1C" w:rsidRPr="00E106BD" w:rsidRDefault="005C4E1C"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C9407</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3 (recommencement of treatment after a break in biological medicine of more than 24 months)</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previously received PBS</w:t>
            </w:r>
            <w:r>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a break in treatment of 24 months or more from the most recently approved PBS</w:t>
            </w:r>
            <w:r>
              <w:rPr>
                <w:rFonts w:eastAsiaTheme="minorHAnsi"/>
                <w:szCs w:val="16"/>
                <w:lang w:eastAsia="en-US"/>
              </w:rPr>
              <w:noBreakHyphen/>
            </w:r>
            <w:r w:rsidRPr="00E106BD">
              <w:rPr>
                <w:rFonts w:eastAsiaTheme="minorHAnsi"/>
                <w:szCs w:val="16"/>
                <w:lang w:eastAsia="en-US"/>
              </w:rPr>
              <w:t>subsidised biological medicine for this condition; OR</w:t>
            </w:r>
            <w:r w:rsidRPr="00E106BD">
              <w:rPr>
                <w:rFonts w:eastAsiaTheme="minorHAnsi"/>
                <w:szCs w:val="16"/>
                <w:lang w:eastAsia="en-US"/>
              </w:rPr>
              <w:br/>
              <w:t>Patient must not have received PBS</w:t>
            </w:r>
            <w:r>
              <w:rPr>
                <w:rFonts w:eastAsiaTheme="minorHAnsi"/>
                <w:szCs w:val="16"/>
                <w:lang w:eastAsia="en-US"/>
              </w:rPr>
              <w:noBreakHyphen/>
            </w:r>
            <w:r w:rsidRPr="00E106BD">
              <w:rPr>
                <w:rFonts w:eastAsiaTheme="minorHAnsi"/>
                <w:szCs w:val="16"/>
                <w:lang w:eastAsia="en-US"/>
              </w:rPr>
              <w:t>subsidised biological medicine for at least 5 years if they failed or ceased to respond to PBS</w:t>
            </w:r>
            <w:r>
              <w:rPr>
                <w:rFonts w:eastAsiaTheme="minorHAnsi"/>
                <w:szCs w:val="16"/>
                <w:lang w:eastAsia="en-US"/>
              </w:rPr>
              <w:noBreakHyphen/>
            </w:r>
            <w:r w:rsidRPr="00E106BD">
              <w:rPr>
                <w:rFonts w:eastAsiaTheme="minorHAnsi"/>
                <w:szCs w:val="16"/>
                <w:lang w:eastAsia="en-US"/>
              </w:rPr>
              <w:t>subsidised biological medicine treatment 3 times in their last treatment cycle; AND</w:t>
            </w:r>
            <w:r w:rsidRPr="00E106BD">
              <w:rPr>
                <w:rFonts w:eastAsiaTheme="minorHAnsi"/>
                <w:szCs w:val="16"/>
                <w:lang w:eastAsia="en-US"/>
              </w:rPr>
              <w:br/>
              <w:t>The condition must have an elevated erythrocyte sedimentation rate (ESR) greater than 25 mm per hour; OR</w:t>
            </w:r>
            <w:r w:rsidRPr="00E106BD">
              <w:rPr>
                <w:rFonts w:eastAsiaTheme="minorHAnsi"/>
                <w:szCs w:val="16"/>
                <w:lang w:eastAsia="en-US"/>
              </w:rPr>
              <w:br/>
              <w:t>The condition must have a C</w:t>
            </w:r>
            <w:r>
              <w:rPr>
                <w:rFonts w:eastAsiaTheme="minorHAnsi"/>
                <w:szCs w:val="16"/>
                <w:lang w:eastAsia="en-US"/>
              </w:rPr>
              <w:noBreakHyphen/>
            </w:r>
            <w:r w:rsidRPr="00E106BD">
              <w:rPr>
                <w:rFonts w:eastAsiaTheme="minorHAnsi"/>
                <w:szCs w:val="16"/>
                <w:lang w:eastAsia="en-US"/>
              </w:rPr>
              <w:t>reactive protein (CRP) level greater than 15 mg per L; AND</w:t>
            </w:r>
            <w:r w:rsidRPr="00E106BD">
              <w:rPr>
                <w:rFonts w:eastAsiaTheme="minorHAnsi"/>
                <w:szCs w:val="16"/>
                <w:lang w:eastAsia="en-US"/>
              </w:rPr>
              <w:br/>
              <w:t>The condition must have either (a) a total active joint count of at least 20 active (swollen and tender) joints; or (b) at least 4 active major joints;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Active joints are defined as:</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All measures of joint count must be no more than 4 weeks old at the time of this application.</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Where the most recent course of PBS</w:t>
            </w:r>
            <w:r>
              <w:rPr>
                <w:rFonts w:eastAsiaTheme="minorHAnsi"/>
                <w:szCs w:val="16"/>
                <w:lang w:eastAsia="en-US"/>
              </w:rPr>
              <w:noBreakHyphen/>
            </w:r>
            <w:r w:rsidRPr="00E106BD">
              <w:rPr>
                <w:rFonts w:eastAsiaTheme="minorHAnsi"/>
                <w:szCs w:val="16"/>
                <w:lang w:eastAsia="en-US"/>
              </w:rPr>
              <w:t>subsidised biological medicine treatment was approved under either Initial 1, Initial 2, Initial 3 or continuing treatment restrictions, an assessment of a patient</w:t>
            </w:r>
            <w:r w:rsidR="00A653CA">
              <w:rPr>
                <w:rFonts w:eastAsiaTheme="minorHAnsi"/>
                <w:szCs w:val="16"/>
                <w:lang w:eastAsia="en-US"/>
              </w:rPr>
              <w:t>’</w:t>
            </w:r>
            <w:r w:rsidRPr="00E106BD">
              <w:rPr>
                <w:rFonts w:eastAsiaTheme="minorHAnsi"/>
                <w:szCs w:val="16"/>
                <w:lang w:eastAsia="en-US"/>
              </w:rPr>
              <w:t>s response must have been conducted following a minimum of 12 weeks of therapy and submitted to the Department of Human Services no later than 4 weeks from the date of completion of treatment.</w:t>
            </w:r>
            <w:r w:rsidRPr="00E106BD">
              <w:rPr>
                <w:rFonts w:eastAsiaTheme="minorHAns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5C4E1C" w:rsidRPr="00E106BD" w:rsidRDefault="005C4E1C"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C9417</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1 (new patient) or Initial 2 (change or recommencement of treatment after a break in biological medicine of less than 12 months) or Initial 3 (recommencement of treatment after a break in biological medicine of more than 12 months) </w:t>
            </w:r>
            <w:r>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paediatric rheumatologist; OR</w:t>
            </w:r>
            <w:r w:rsidRPr="00E106BD">
              <w:rPr>
                <w:rFonts w:eastAsiaTheme="minorHAnsi"/>
                <w:szCs w:val="16"/>
                <w:lang w:eastAsia="en-US"/>
              </w:rPr>
              <w:br/>
              <w:t>Patient must be undergoing treatment under the supervision of a paediatric rheumatology treatment centre.</w:t>
            </w:r>
            <w:r w:rsidRPr="00E106BD">
              <w:rPr>
                <w:rFonts w:eastAsiaTheme="minorHAnsi"/>
                <w:szCs w:val="16"/>
                <w:lang w:eastAsia="en-US"/>
              </w:rPr>
              <w:br/>
              <w:t>Patient must have received insufficient therapy with this drug for this condition under the Initial 1 (new patient) restriction to complete 16 weeks treatment; OR</w:t>
            </w:r>
            <w:r w:rsidRPr="00E106BD">
              <w:rPr>
                <w:rFonts w:eastAsiaTheme="minorHAnsi"/>
                <w:szCs w:val="16"/>
                <w:lang w:eastAsia="en-US"/>
              </w:rPr>
              <w:br/>
              <w:t>Patient must have received insufficient therapy with this drug for this condition under the Initial 2 (change or recommencement of treatment after a break in biological medicine of less than 12 months) restriction to complete 16 weeks treatment; OR</w:t>
            </w:r>
            <w:r w:rsidRPr="00E106BD">
              <w:rPr>
                <w:rFonts w:eastAsiaTheme="minorHAnsi"/>
                <w:szCs w:val="16"/>
                <w:lang w:eastAsia="en-US"/>
              </w:rPr>
              <w:br/>
              <w:t>Patient must have received insufficient therapy with this drug for this condition under the Initial 3 (recommencement of treatment after a break in biological medicine of more than 12 months) restriction to complete 16 weeks treatment; AND</w:t>
            </w:r>
            <w:r w:rsidRPr="00E106BD">
              <w:rPr>
                <w:rFonts w:eastAsiaTheme="minorHAnsi"/>
                <w:szCs w:val="16"/>
                <w:lang w:eastAsia="en-US"/>
              </w:rPr>
              <w:br/>
              <w:t>The treatment must provide no more than the balance of up to 16 weeks treatment available under the above restrictions.</w:t>
            </w:r>
          </w:p>
        </w:tc>
        <w:tc>
          <w:tcPr>
            <w:tcW w:w="2552" w:type="dxa"/>
            <w:tcBorders>
              <w:bottom w:val="single" w:sz="4" w:space="0" w:color="auto"/>
            </w:tcBorders>
            <w:shd w:val="clear" w:color="auto" w:fill="auto"/>
            <w:tcMar>
              <w:top w:w="28" w:type="dxa"/>
              <w:left w:w="28" w:type="dxa"/>
              <w:right w:w="57" w:type="dxa"/>
            </w:tcMar>
          </w:tcPr>
          <w:p w:rsidR="005C4E1C" w:rsidRPr="00E106BD" w:rsidRDefault="005C4E1C"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keepNext/>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RDefault="005C4E1C" w:rsidP="00881477">
            <w:pPr>
              <w:keepNext/>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C9494</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keepNext/>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pStyle w:val="mps3-data"/>
              <w:keepNext/>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2 (change or recommencement of treatment after a break in biological medicine of less than 24 months)</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a documented history of severe active juvenile idiopathic arthritis with onset prior to the age of 18 years; AND</w:t>
            </w:r>
            <w:r w:rsidRPr="00E106BD">
              <w:rPr>
                <w:rFonts w:eastAsiaTheme="minorHAnsi"/>
                <w:szCs w:val="16"/>
                <w:lang w:eastAsia="en-US"/>
              </w:rPr>
              <w:br/>
              <w:t>Patient must have received prior PBS</w:t>
            </w:r>
            <w:r>
              <w:rPr>
                <w:rFonts w:eastAsiaTheme="minorHAnsi"/>
                <w:szCs w:val="16"/>
                <w:lang w:eastAsia="en-US"/>
              </w:rPr>
              <w:noBreakHyphen/>
            </w:r>
            <w:r w:rsidRPr="00E106BD">
              <w:rPr>
                <w:rFonts w:eastAsiaTheme="minorHAnsi"/>
                <w:szCs w:val="16"/>
                <w:lang w:eastAsia="en-US"/>
              </w:rPr>
              <w:t>subsidised treatment with a biological medicine for this condition in this treatment cycle; AND</w:t>
            </w:r>
            <w:r w:rsidRPr="00E106BD">
              <w:rPr>
                <w:rFonts w:eastAsiaTheme="minorHAnsi"/>
                <w:szCs w:val="16"/>
                <w:lang w:eastAsia="en-US"/>
              </w:rPr>
              <w:br/>
              <w:t>Patient must not have already failed, or ceased to respond to, PBS</w:t>
            </w:r>
            <w:r>
              <w:rPr>
                <w:rFonts w:eastAsiaTheme="minorHAnsi"/>
                <w:szCs w:val="16"/>
                <w:lang w:eastAsia="en-US"/>
              </w:rPr>
              <w:noBreakHyphen/>
            </w:r>
            <w:r w:rsidRPr="00E106BD">
              <w:rPr>
                <w:rFonts w:eastAsiaTheme="minorHAnsi"/>
                <w:szCs w:val="16"/>
                <w:lang w:eastAsia="en-US"/>
              </w:rPr>
              <w:t>subsidised treatment with this drug for this condition during the current treatment cycle;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An adequate response to treatment is defined as:</w:t>
            </w:r>
            <w:r w:rsidRPr="00E106BD">
              <w:rPr>
                <w:rFonts w:eastAsiaTheme="minorHAnsi"/>
                <w:szCs w:val="16"/>
                <w:lang w:eastAsia="en-US"/>
              </w:rPr>
              <w:br/>
              <w:t>an ESR no greater than 25 mm per hour or a CRP level no greater than 15 mg per L or either marker reduced by at least 20% from baseline;</w:t>
            </w:r>
            <w:r w:rsidRPr="00E106BD">
              <w:rPr>
                <w:rFonts w:eastAsiaTheme="minorHAnsi"/>
                <w:szCs w:val="16"/>
                <w:lang w:eastAsia="en-US"/>
              </w:rPr>
              <w:br/>
              <w:t>AND either of the following:</w:t>
            </w:r>
            <w:r w:rsidRPr="00E106BD">
              <w:rPr>
                <w:rFonts w:eastAsiaTheme="minorHAnsi"/>
                <w:szCs w:val="16"/>
                <w:lang w:eastAsia="en-US"/>
              </w:rPr>
              <w:br/>
              <w:t>(a) an active joint count of fewer than 10 active (swollen and tender) joints; or</w:t>
            </w:r>
            <w:r w:rsidRPr="00E106BD">
              <w:rPr>
                <w:rFonts w:eastAsiaTheme="minorHAnsi"/>
                <w:szCs w:val="16"/>
                <w:lang w:eastAsia="en-US"/>
              </w:rPr>
              <w:br/>
              <w:t>(b) a reduction in the active (swollen and tender) joint count by at least 50% from baseline; or</w:t>
            </w:r>
            <w:r w:rsidRPr="00E106BD">
              <w:rPr>
                <w:rFonts w:eastAsiaTheme="minorHAnsi"/>
                <w:szCs w:val="16"/>
                <w:lang w:eastAsia="en-US"/>
              </w:rPr>
              <w:br/>
              <w:t>(c)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An application for a patient who has received PBS</w:t>
            </w:r>
            <w:r>
              <w:rPr>
                <w:rFonts w:eastAsiaTheme="minorHAnsi"/>
                <w:szCs w:val="16"/>
                <w:lang w:eastAsia="en-US"/>
              </w:rPr>
              <w:noBreakHyphen/>
            </w:r>
            <w:r w:rsidRPr="00E106BD">
              <w:rPr>
                <w:rFonts w:eastAsiaTheme="minorHAnsi"/>
                <w:szCs w:val="16"/>
                <w:lang w:eastAsia="en-US"/>
              </w:rPr>
              <w:t>subsidised biological medicine treatment for this condition who wishes to change or recommence therapy with this drug, must be accompanied by evidence of a response to the patient</w:t>
            </w:r>
            <w:r w:rsidR="00A653CA">
              <w:rPr>
                <w:rFonts w:eastAsiaTheme="minorHAnsi"/>
                <w:szCs w:val="16"/>
                <w:lang w:eastAsia="en-US"/>
              </w:rPr>
              <w:t>’</w:t>
            </w:r>
            <w:r w:rsidRPr="00E106BD">
              <w:rPr>
                <w:rFonts w:eastAsiaTheme="minorHAnsi"/>
                <w:szCs w:val="16"/>
                <w:lang w:eastAsia="en-US"/>
              </w:rPr>
              <w:t>s most recent course of PBS</w:t>
            </w:r>
            <w:r>
              <w:rPr>
                <w:rFonts w:eastAsiaTheme="minorHAnsi"/>
                <w:szCs w:val="16"/>
                <w:lang w:eastAsia="en-US"/>
              </w:rPr>
              <w:noBreakHyphen/>
            </w:r>
            <w:r w:rsidRPr="00E106BD">
              <w:rPr>
                <w:rFonts w:eastAsiaTheme="minorHAnsi"/>
                <w:szCs w:val="16"/>
                <w:lang w:eastAsia="en-US"/>
              </w:rPr>
              <w:t>subsidised biological medicine treatment, within the timeframes specified below.</w:t>
            </w:r>
            <w:r w:rsidRPr="00E106BD">
              <w:rPr>
                <w:rFonts w:eastAsiaTheme="minorHAnsi"/>
                <w:szCs w:val="16"/>
                <w:lang w:eastAsia="en-US"/>
              </w:rPr>
              <w:br/>
              <w:t>Where the most recent course of PBS</w:t>
            </w:r>
            <w:r>
              <w:rPr>
                <w:rFonts w:eastAsiaTheme="minorHAnsi"/>
                <w:szCs w:val="16"/>
                <w:lang w:eastAsia="en-US"/>
              </w:rPr>
              <w:noBreakHyphen/>
            </w:r>
            <w:r w:rsidRPr="00E106BD">
              <w:rPr>
                <w:rFonts w:eastAsiaTheme="minorHAnsi"/>
                <w:szCs w:val="16"/>
                <w:lang w:eastAsia="en-US"/>
              </w:rPr>
              <w:t>subsidised biological medicine treatment was approved under either Initial 1, Initial 2, Initial 3 or continuing treatment restrictions, an assessment of a patient</w:t>
            </w:r>
            <w:r w:rsidR="00A653CA">
              <w:rPr>
                <w:rFonts w:eastAsiaTheme="minorHAnsi"/>
                <w:szCs w:val="16"/>
                <w:lang w:eastAsia="en-US"/>
              </w:rPr>
              <w:t>’</w:t>
            </w:r>
            <w:r w:rsidRPr="00E106BD">
              <w:rPr>
                <w:rFonts w:eastAsiaTheme="minorHAnsi"/>
                <w:szCs w:val="16"/>
                <w:lang w:eastAsia="en-US"/>
              </w:rPr>
              <w:t>s response must have been conducted following a minimum of 12 weeks of therapy and submitted to the Department of Human Services no later than 4 weeks from the date of completion of treatment.</w:t>
            </w:r>
            <w:r w:rsidRPr="00E106BD">
              <w:rPr>
                <w:rFonts w:eastAsiaTheme="minorHAns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r w:rsidRPr="00E106BD">
              <w:rPr>
                <w:rFonts w:eastAsiaTheme="minorHAnsi"/>
                <w:szCs w:val="16"/>
                <w:lang w:eastAsia="en-US"/>
              </w:rPr>
              <w:br/>
              <w:t>A patient who fails to demonstrate a response to treatment with this drug under this restriction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in this treatment cycle. A patient may re</w:t>
            </w:r>
            <w:r>
              <w:rPr>
                <w:rFonts w:eastAsiaTheme="minorHAnsi"/>
                <w:szCs w:val="16"/>
                <w:lang w:eastAsia="en-US"/>
              </w:rPr>
              <w:noBreakHyphen/>
            </w:r>
            <w:r w:rsidRPr="00E106BD">
              <w:rPr>
                <w:rFonts w:eastAsiaTheme="minorHAnsi"/>
                <w:szCs w:val="16"/>
                <w:lang w:eastAsia="en-US"/>
              </w:rPr>
              <w:t>trial this drug after a minimum of 5 years have elapsed between the date the last prescription for a PBS</w:t>
            </w:r>
            <w:r>
              <w:rPr>
                <w:rFonts w:eastAsiaTheme="minorHAnsi"/>
                <w:szCs w:val="16"/>
                <w:lang w:eastAsia="en-US"/>
              </w:rPr>
              <w:noBreakHyphen/>
            </w:r>
            <w:r w:rsidRPr="00E106BD">
              <w:rPr>
                <w:rFonts w:eastAsiaTheme="minorHAnsi"/>
                <w:szCs w:val="16"/>
                <w:lang w:eastAsia="en-US"/>
              </w:rPr>
              <w:t>subsidised biological medicine was approved in this cycle and the date of the first application under a new cycle under the initial 3 treatment restriction.</w:t>
            </w:r>
            <w:r w:rsidRPr="00E106BD">
              <w:rPr>
                <w:rFonts w:eastAsiaTheme="minorHAnsi"/>
                <w:szCs w:val="16"/>
                <w:lang w:eastAsia="en-US"/>
              </w:rPr>
              <w:br/>
              <w:t>If a patient fails to respond to PBS</w:t>
            </w:r>
            <w:r>
              <w:rPr>
                <w:rFonts w:eastAsiaTheme="minorHAnsi"/>
                <w:szCs w:val="16"/>
                <w:lang w:eastAsia="en-US"/>
              </w:rPr>
              <w:noBreakHyphen/>
            </w:r>
            <w:r w:rsidRPr="00E106BD">
              <w:rPr>
                <w:rFonts w:eastAsiaTheme="minorHAnsi"/>
                <w:szCs w:val="16"/>
                <w:lang w:eastAsia="en-US"/>
              </w:rPr>
              <w:t>subsidised biological medicine treatment 3 times (once with each agent) they will not be eligible to receive further PBS</w:t>
            </w:r>
            <w:r>
              <w:rPr>
                <w:rFonts w:eastAsiaTheme="minorHAnsi"/>
                <w:szCs w:val="16"/>
                <w:lang w:eastAsia="en-US"/>
              </w:rPr>
              <w:noBreakHyphen/>
            </w:r>
            <w:r w:rsidRPr="00E106BD">
              <w:rPr>
                <w:rFonts w:eastAsiaTheme="minorHAnsi"/>
                <w:szCs w:val="16"/>
                <w:lang w:eastAsia="en-US"/>
              </w:rPr>
              <w:t>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5C4E1C" w:rsidRPr="00E106BD" w:rsidRDefault="005C4E1C" w:rsidP="00881477">
            <w:pPr>
              <w:keepNext/>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C9495</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Continuing treatment</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this drug as their most recent course of PBS</w:t>
            </w:r>
            <w:r>
              <w:rPr>
                <w:rFonts w:eastAsiaTheme="minorHAnsi"/>
                <w:szCs w:val="16"/>
                <w:lang w:eastAsia="en-US"/>
              </w:rPr>
              <w:noBreakHyphen/>
            </w:r>
            <w:r w:rsidRPr="00E106BD">
              <w:rPr>
                <w:rFonts w:eastAsiaTheme="minorHAnsi"/>
                <w:szCs w:val="16"/>
                <w:lang w:eastAsia="en-US"/>
              </w:rPr>
              <w:t>subsidised biological medicine treatment for this condition; AND</w:t>
            </w:r>
            <w:r w:rsidRPr="00E106BD">
              <w:rPr>
                <w:rFonts w:eastAsiaTheme="minorHAnsi"/>
                <w:szCs w:val="16"/>
                <w:lang w:eastAsia="en-US"/>
              </w:rPr>
              <w:br/>
              <w:t>Patient must have demonstrated an adequate response to treatment with this drug; AND</w:t>
            </w:r>
            <w:r w:rsidRPr="00E106BD">
              <w:rPr>
                <w:rFonts w:eastAsiaTheme="minorHAnsi"/>
                <w:szCs w:val="16"/>
                <w:lang w:eastAsia="en-US"/>
              </w:rPr>
              <w:br/>
              <w:t>Patient must not receive more than 24 weeks of treatment per continuing treatment course authorised under this restriction.</w:t>
            </w:r>
            <w:r w:rsidRPr="00E106BD">
              <w:rPr>
                <w:rFonts w:eastAsiaTheme="minorHAnsi"/>
                <w:szCs w:val="16"/>
                <w:lang w:eastAsia="en-US"/>
              </w:rPr>
              <w:br/>
              <w:t>Patient must be aged 18 years or older.</w:t>
            </w:r>
            <w:r w:rsidRPr="00E106BD">
              <w:rPr>
                <w:rFonts w:eastAsiaTheme="minorHAnsi"/>
                <w:szCs w:val="16"/>
                <w:lang w:eastAsia="en-US"/>
              </w:rPr>
              <w:br/>
              <w:t>An adequate response to treatment is defined as:</w:t>
            </w:r>
            <w:r w:rsidRPr="00E106BD">
              <w:rPr>
                <w:rFonts w:eastAsiaTheme="minorHAnsi"/>
                <w:szCs w:val="16"/>
                <w:lang w:eastAsia="en-US"/>
              </w:rPr>
              <w:br/>
              <w:t>an ESR no greater than 25 mm per hour or a CRP level no greater than 15 mg per L or either marker reduced by at least 20% from baseline;</w:t>
            </w:r>
            <w:r w:rsidRPr="00E106BD">
              <w:rPr>
                <w:rFonts w:eastAsiaTheme="minorHAnsi"/>
                <w:szCs w:val="16"/>
                <w:lang w:eastAsia="en-US"/>
              </w:rPr>
              <w:br/>
              <w:t>AND either of the following:</w:t>
            </w:r>
            <w:r w:rsidRPr="00E106BD">
              <w:rPr>
                <w:rFonts w:eastAsiaTheme="minorHAnsi"/>
                <w:szCs w:val="16"/>
                <w:lang w:eastAsia="en-US"/>
              </w:rPr>
              <w:br/>
              <w:t>(a) an active joint count of fewer than 10 active (swollen and tender) joints; or</w:t>
            </w:r>
            <w:r w:rsidRPr="00E106BD">
              <w:rPr>
                <w:rFonts w:eastAsiaTheme="minorHAnsi"/>
                <w:szCs w:val="16"/>
                <w:lang w:eastAsia="en-US"/>
              </w:rPr>
              <w:br/>
              <w:t>(b) a reduction in the active (swollen and tender) joint count by at least 50% from baseline; or</w:t>
            </w:r>
            <w:r w:rsidRPr="00E106BD">
              <w:rPr>
                <w:rFonts w:eastAsiaTheme="minorHAnsi"/>
                <w:szCs w:val="16"/>
                <w:lang w:eastAsia="en-US"/>
              </w:rPr>
              <w:br/>
              <w:t>(c)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5 repeats will be authorised.</w:t>
            </w:r>
            <w:r w:rsidRPr="00E106BD">
              <w:rPr>
                <w:rFonts w:eastAsiaTheme="minorHAnsi"/>
                <w:szCs w:val="16"/>
                <w:lang w:eastAsia="en-US"/>
              </w:rPr>
              <w:br/>
              <w:t>Where the most recent course of PBS</w:t>
            </w:r>
            <w:r>
              <w:rPr>
                <w:rFonts w:eastAsiaTheme="minorHAnsi"/>
                <w:szCs w:val="16"/>
                <w:lang w:eastAsia="en-US"/>
              </w:rPr>
              <w:noBreakHyphen/>
            </w:r>
            <w:r w:rsidRPr="00E106BD">
              <w:rPr>
                <w:rFonts w:eastAsiaTheme="minorHAnsi"/>
                <w:szCs w:val="16"/>
                <w:lang w:eastAsia="en-US"/>
              </w:rPr>
              <w:t>subsidised treatment with this drug was approved under either Initial 1, Initial 2, or Initial 3 treatment restrictions, an assessment of a patient</w:t>
            </w:r>
            <w:r w:rsidR="00A653CA">
              <w:rPr>
                <w:rFonts w:eastAsiaTheme="minorHAnsi"/>
                <w:szCs w:val="16"/>
                <w:lang w:eastAsia="en-US"/>
              </w:rPr>
              <w:t>’</w:t>
            </w:r>
            <w:r w:rsidRPr="00E106BD">
              <w:rPr>
                <w:rFonts w:eastAsiaTheme="minorHAnsi"/>
                <w:szCs w:val="16"/>
                <w:lang w:eastAsia="en-US"/>
              </w:rPr>
              <w:t>s response must have been conducted following a minimum of 12 weeks of therapy and submitted to the Department of Human Services no later than 4 weeks from the date of completion of treatment.</w:t>
            </w:r>
            <w:r w:rsidRPr="00E106BD">
              <w:rPr>
                <w:rFonts w:eastAsiaTheme="minorHAns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r w:rsidRPr="00E106BD">
              <w:rPr>
                <w:rFonts w:eastAsiaTheme="minorHAnsi"/>
                <w:szCs w:val="16"/>
                <w:lang w:eastAsia="en-US"/>
              </w:rPr>
              <w:br/>
              <w:t>A patient may re</w:t>
            </w:r>
            <w:r>
              <w:rPr>
                <w:rFonts w:eastAsiaTheme="minorHAnsi"/>
                <w:szCs w:val="16"/>
                <w:lang w:eastAsia="en-US"/>
              </w:rPr>
              <w:noBreakHyphen/>
            </w:r>
            <w:r w:rsidRPr="00E106BD">
              <w:rPr>
                <w:rFonts w:eastAsiaTheme="minorHAnsi"/>
                <w:szCs w:val="16"/>
                <w:lang w:eastAsia="en-US"/>
              </w:rPr>
              <w:t>trial this drug after a minimum of 5 years have elapsed between the date the last prescription for a PBS</w:t>
            </w:r>
            <w:r>
              <w:rPr>
                <w:rFonts w:eastAsiaTheme="minorHAnsi"/>
                <w:szCs w:val="16"/>
                <w:lang w:eastAsia="en-US"/>
              </w:rPr>
              <w:noBreakHyphen/>
            </w:r>
            <w:r w:rsidRPr="00E106BD">
              <w:rPr>
                <w:rFonts w:eastAsiaTheme="minorHAnsi"/>
                <w:szCs w:val="16"/>
                <w:lang w:eastAsia="en-US"/>
              </w:rPr>
              <w:t>subsidised biological medicine was approved in this cycle and the date of the first application under a new cycle under the Initial 3 treatment restriction.</w:t>
            </w:r>
            <w:r w:rsidRPr="00E106BD">
              <w:rPr>
                <w:rFonts w:eastAsiaTheme="minorHAnsi"/>
                <w:szCs w:val="16"/>
                <w:lang w:eastAsia="en-US"/>
              </w:rPr>
              <w:br/>
              <w:t>If a patient fails to respond to PBS</w:t>
            </w:r>
            <w:r>
              <w:rPr>
                <w:rFonts w:eastAsiaTheme="minorHAnsi"/>
                <w:szCs w:val="16"/>
                <w:lang w:eastAsia="en-US"/>
              </w:rPr>
              <w:noBreakHyphen/>
            </w:r>
            <w:r w:rsidRPr="00E106BD">
              <w:rPr>
                <w:rFonts w:eastAsiaTheme="minorHAnsi"/>
                <w:szCs w:val="16"/>
                <w:lang w:eastAsia="en-US"/>
              </w:rPr>
              <w:t>subsidised biological medicine treatment 3 times (once with each agent) they will not be eligible to receive further PBS</w:t>
            </w:r>
            <w:r>
              <w:rPr>
                <w:rFonts w:eastAsiaTheme="minorHAnsi"/>
                <w:szCs w:val="16"/>
                <w:lang w:eastAsia="en-US"/>
              </w:rPr>
              <w:noBreakHyphen/>
            </w:r>
            <w:r w:rsidRPr="00E106BD">
              <w:rPr>
                <w:rFonts w:eastAsiaTheme="minorHAnsi"/>
                <w:szCs w:val="16"/>
                <w:lang w:eastAsia="en-US"/>
              </w:rPr>
              <w:t>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5C4E1C" w:rsidRPr="00E106BD" w:rsidRDefault="005C4E1C"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C9496</w:t>
            </w:r>
          </w:p>
        </w:tc>
        <w:tc>
          <w:tcPr>
            <w:tcW w:w="709" w:type="dxa"/>
            <w:tcBorders>
              <w:bottom w:val="single" w:sz="4" w:space="0" w:color="auto"/>
            </w:tcBorders>
            <w:shd w:val="clear" w:color="auto" w:fill="auto"/>
            <w:tcMar>
              <w:top w:w="28" w:type="dxa"/>
              <w:left w:w="28" w:type="dxa"/>
            </w:tcMar>
          </w:tcPr>
          <w:p w:rsidR="005C4E1C" w:rsidRPr="00E106BD" w:rsidDel="006712FA"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RDefault="005C4E1C"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1 (new patient)</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a documented history of severe active juvenile idiopathic arthritis with onset prior to the age of 18 years; AND</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disease modifying anti</w:t>
            </w:r>
            <w:r>
              <w:rPr>
                <w:rFonts w:eastAsiaTheme="minorHAnsi"/>
                <w:szCs w:val="16"/>
                <w:lang w:eastAsia="en-US"/>
              </w:rPr>
              <w:noBreakHyphen/>
            </w:r>
            <w:r w:rsidRPr="00E106BD">
              <w:rPr>
                <w:rFonts w:eastAsiaTheme="minorHAnsi"/>
                <w:szCs w:val="16"/>
                <w:lang w:eastAsia="en-US"/>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Pr>
                <w:rFonts w:eastAsiaTheme="minorHAnsi"/>
                <w:szCs w:val="16"/>
                <w:lang w:eastAsia="en-US"/>
              </w:rPr>
              <w:noBreakHyphen/>
            </w:r>
            <w:r w:rsidRPr="00E106BD">
              <w:rPr>
                <w:rFonts w:eastAsiaTheme="minorHAnsi"/>
                <w:szCs w:val="16"/>
                <w:lang w:eastAsia="en-US"/>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Pr>
                <w:rFonts w:eastAsiaTheme="minorHAnsi"/>
                <w:szCs w:val="16"/>
                <w:lang w:eastAsia="en-US"/>
              </w:rPr>
              <w:noBreakHyphen/>
            </w:r>
            <w:r w:rsidRPr="00E106BD">
              <w:rPr>
                <w:rFonts w:eastAsiaTheme="minorHAnsi"/>
                <w:szCs w:val="16"/>
                <w:lang w:eastAsia="en-US"/>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If methotrexate is contraindicated according to the TGA</w:t>
            </w:r>
            <w:r>
              <w:rPr>
                <w:rFonts w:eastAsiaTheme="minorHAnsi"/>
                <w:szCs w:val="16"/>
                <w:lang w:eastAsia="en-US"/>
              </w:rPr>
              <w:noBreakHyphen/>
            </w:r>
            <w:r w:rsidRPr="00E106BD">
              <w:rPr>
                <w:rFonts w:eastAsiaTheme="minorHAnsi"/>
                <w:szCs w:val="16"/>
                <w:lang w:eastAsia="en-US"/>
              </w:rPr>
              <w:t>approved Product Information or cannot be tolerated at a 20 mg weekly dose, the application must include details of the contraindication or intolerance to methotrexate. The maximum tolerated dose of methotrexate must be documented in the application, if applicable.</w:t>
            </w:r>
            <w:r w:rsidRPr="00E106BD">
              <w:rPr>
                <w:rFonts w:eastAsiaTheme="minorHAnsi"/>
                <w:szCs w:val="16"/>
                <w:lang w:eastAsia="en-US"/>
              </w:rPr>
              <w:br/>
              <w:t>The application must include details of the DMARDs trialled, their doses and duration of treatment, and all relevant contraindications and/or intolerances.</w:t>
            </w:r>
            <w:r w:rsidRPr="00E106BD">
              <w:rPr>
                <w:rFonts w:eastAsiaTheme="minorHAnsi"/>
                <w:szCs w:val="16"/>
                <w:lang w:eastAsia="en-US"/>
              </w:rPr>
              <w:br/>
              <w:t>The requirement to trial at least 2 DMARDs for periods of at least 3 months each can be met using single agents sequentially or by using one or more combinations of DMARDs.</w:t>
            </w:r>
            <w:r w:rsidRPr="00E106BD">
              <w:rPr>
                <w:rFonts w:eastAsiaTheme="minorHAnsi"/>
                <w:szCs w:val="16"/>
                <w:lang w:eastAsia="en-US"/>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and dose for each DMARD must be provided in the authority application.</w:t>
            </w:r>
            <w:r w:rsidRPr="00E106BD">
              <w:rPr>
                <w:rFonts w:eastAsiaTheme="minorHAnsi"/>
                <w:szCs w:val="16"/>
                <w:lang w:eastAsia="en-US"/>
              </w:rPr>
              <w:br/>
              <w:t>The following criteria indicate failure to achieve an adequate response and must be demonstrated in all patients at the time of the initial application:</w:t>
            </w:r>
            <w:r w:rsidRPr="00E106BD">
              <w:rPr>
                <w:rFonts w:eastAsiaTheme="minorHAnsi"/>
                <w:szCs w:val="16"/>
                <w:lang w:eastAsia="en-US"/>
              </w:rPr>
              <w:br/>
              <w:t>an elevated erythrocyte sedimentation rate (ESR) greater than 25 mm per hour or a C</w:t>
            </w:r>
            <w:r>
              <w:rPr>
                <w:rFonts w:eastAsiaTheme="minorHAnsi"/>
                <w:szCs w:val="16"/>
                <w:lang w:eastAsia="en-US"/>
              </w:rPr>
              <w:noBreakHyphen/>
            </w:r>
            <w:r w:rsidRPr="00E106BD">
              <w:rPr>
                <w:rFonts w:eastAsiaTheme="minorHAnsi"/>
                <w:szCs w:val="16"/>
                <w:lang w:eastAsia="en-US"/>
              </w:rPr>
              <w:t>reactive protein (CRP) level greater than 15 mg per L; AND either</w:t>
            </w:r>
            <w:r w:rsidRPr="00E106BD">
              <w:rPr>
                <w:rFonts w:eastAsiaTheme="minorHAnsi"/>
                <w:szCs w:val="16"/>
                <w:lang w:eastAsia="en-US"/>
              </w:rPr>
              <w:br/>
              <w:t>(a) an active joint count of at least 20 active (swollen and tender) joints; or</w:t>
            </w:r>
            <w:r w:rsidRPr="00E106BD">
              <w:rPr>
                <w:rFonts w:eastAsiaTheme="minorHAnsi"/>
                <w:szCs w:val="16"/>
                <w:lang w:eastAsia="en-US"/>
              </w:rPr>
              <w:br/>
              <w:t>(b) at least 4 active joints from the following list:</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The joint count and ESR and/or CRP must be determined at the completion of the 6 month intensive DMARD trial, but prior to ceasing DMARD therapy. All measures must be no more than one month old at the time of initial application.</w:t>
            </w:r>
            <w:r w:rsidRPr="00E106BD">
              <w:rPr>
                <w:rFonts w:eastAsiaTheme="minorHAnsi"/>
                <w:szCs w:val="16"/>
                <w:lang w:eastAsia="en-US"/>
              </w:rPr>
              <w:br/>
              <w:t>If the above requirement to demonstrate an elevated ESR or CRP cannot be met, the application must state the reasons why this criterion cannot be satisfied.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E106BD">
              <w:rPr>
                <w:rFonts w:eastAsiaTheme="minorHAnsi"/>
                <w:szCs w:val="16"/>
                <w:lang w:eastAsia="en-US"/>
              </w:rPr>
              <w:br/>
              <w:t>An assessment of a patient</w:t>
            </w:r>
            <w:r w:rsidR="00A653CA">
              <w:rPr>
                <w:rFonts w:eastAsiaTheme="minorHAnsi"/>
                <w:szCs w:val="16"/>
                <w:lang w:eastAsia="en-US"/>
              </w:rPr>
              <w:t>’</w:t>
            </w:r>
            <w:r w:rsidRPr="00E106BD">
              <w:rPr>
                <w:rFonts w:eastAsiaTheme="minorHAnsi"/>
                <w:szCs w:val="16"/>
                <w:lang w:eastAsia="en-US"/>
              </w:rPr>
              <w: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5C4E1C" w:rsidRPr="00E106BD" w:rsidRDefault="005C4E1C"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p>
        </w:tc>
        <w:tc>
          <w:tcPr>
            <w:tcW w:w="70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C10532</w:t>
            </w:r>
          </w:p>
        </w:tc>
        <w:tc>
          <w:tcPr>
            <w:tcW w:w="709" w:type="dxa"/>
            <w:tcBorders>
              <w:bottom w:val="single" w:sz="4" w:space="0" w:color="auto"/>
            </w:tcBorders>
            <w:shd w:val="clear" w:color="auto" w:fill="auto"/>
            <w:tcMar>
              <w:top w:w="28" w:type="dxa"/>
              <w:left w:w="28" w:type="dxa"/>
            </w:tcMar>
          </w:tcPr>
          <w:p w:rsidR="005C4E1C" w:rsidRPr="00640D4F" w:rsidDel="00E03489" w:rsidRDefault="005C4E1C" w:rsidP="004722CF">
            <w:pPr>
              <w:pStyle w:val="mps3-data"/>
              <w:rPr>
                <w:szCs w:val="16"/>
              </w:rPr>
            </w:pPr>
          </w:p>
        </w:tc>
        <w:tc>
          <w:tcPr>
            <w:tcW w:w="7654"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Systemic juvenile idiopathic arthritis</w:t>
            </w:r>
            <w:r w:rsidRPr="00640D4F">
              <w:rPr>
                <w:szCs w:val="16"/>
              </w:rPr>
              <w:br/>
              <w:t>Initial treatment - Initial 3 (recommencement of treatment after a break of more than 12 months)</w:t>
            </w:r>
            <w:r w:rsidRPr="00640D4F">
              <w:rPr>
                <w:szCs w:val="16"/>
              </w:rPr>
              <w:br/>
              <w:t>Patient must have previously received PBS-subsidised treatment with this drug for this condition; AND</w:t>
            </w:r>
            <w:r w:rsidRPr="00640D4F">
              <w:rPr>
                <w:szCs w:val="16"/>
              </w:rPr>
              <w:br/>
              <w:t>Patient must have had a break in treatment of 12 months or more from this drug for this condition; AND</w:t>
            </w:r>
            <w:r w:rsidRPr="00640D4F">
              <w:rPr>
                <w:szCs w:val="16"/>
              </w:rPr>
              <w:br/>
              <w:t>Patient must have polyarticular course disease and the condition must have (a) an active joint count of at least 20 active (swollen and tender) joints; or (b) at least 4 active joints from the following list of major joints: i) elbow, wrist, knee and/or ankle (assessed as swollen and tender); and/or (ii) shoulder, cervical spine and/or hip (assessed as pain in passive movement and restriction of passive movement, where pain and limitation of movement are due to active disease and not irreversible damage such as joint destruction or bony overgrowth); OR</w:t>
            </w:r>
            <w:r w:rsidRPr="00640D4F">
              <w:rPr>
                <w:szCs w:val="16"/>
              </w:rPr>
              <w:br/>
              <w:t>Patient must have refractory systemic symptoms and the condition must have (a) an active joint count of at least 2 active joints; and (b) persistent fever greater than 38 degrees Celsius for at least 5 out of 14 consecutive days; and/or (c) a C-reactive protein (CRP) level and platelet count above the upper limits of normal (ULN); AND</w:t>
            </w:r>
            <w:r w:rsidRPr="00640D4F">
              <w:rPr>
                <w:szCs w:val="16"/>
              </w:rPr>
              <w:br/>
              <w:t>Patient must not receive more than 16 weeks of treatment under this restriction.</w:t>
            </w:r>
            <w:r w:rsidRPr="00640D4F">
              <w:rPr>
                <w:szCs w:val="16"/>
              </w:rPr>
              <w:br/>
              <w:t>Must be treated by a rheumatologist; OR</w:t>
            </w:r>
            <w:r w:rsidRPr="00640D4F">
              <w:rPr>
                <w:szCs w:val="16"/>
              </w:rPr>
              <w:br/>
              <w:t>Patient must be undergoing treatment under the supervision of a paediatric rheumatology treatment centre.</w:t>
            </w:r>
            <w:r w:rsidRPr="00640D4F">
              <w:rPr>
                <w:szCs w:val="16"/>
              </w:rPr>
              <w:br/>
              <w:t>Patient must be under 18 years of age.</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Systemic Juvenile Idiopathic Arthritis PBS Authority Application - Supporting Information Form which includes the following:</w:t>
            </w:r>
            <w:r w:rsidRPr="00640D4F">
              <w:rPr>
                <w:szCs w:val="16"/>
              </w:rPr>
              <w:br/>
              <w:t>(i) the date of assessment of severe active systemic juvenile idiopathic arthritis;</w:t>
            </w:r>
            <w:r w:rsidRPr="00640D4F">
              <w:rPr>
                <w:szCs w:val="16"/>
              </w:rPr>
              <w:br/>
              <w:t>(ii) pathology reports detailing C-reactive protein (CRP) level and platelet count where appropriate.</w:t>
            </w:r>
            <w:r w:rsidRPr="00640D4F">
              <w:rPr>
                <w:szCs w:val="16"/>
              </w:rPr>
              <w:br/>
              <w:t>The most recent systemic juvenile idiopathic arthritis assessment must be no more than 4 weeks old at the time of application.</w:t>
            </w:r>
            <w:r w:rsidRPr="00640D4F">
              <w:rPr>
                <w:szCs w:val="16"/>
              </w:rPr>
              <w:br/>
              <w:t>At the time of authority application, the medical practitioner must request the appropriate number of vials of appropriate strength to provide sufficient drug, based on the weight of the patient, for two infusions (one month</w:t>
            </w:r>
            <w:r w:rsidR="00A653CA">
              <w:rPr>
                <w:szCs w:val="16"/>
              </w:rPr>
              <w:t>’</w:t>
            </w:r>
            <w:r w:rsidRPr="00640D4F">
              <w:rPr>
                <w:szCs w:val="16"/>
              </w:rPr>
              <w:t>s supply). A separate authority prescription form must be completed for each strength requested. Up to a maximum of 3 repeats will be authorised.</w:t>
            </w:r>
            <w:r w:rsidRPr="00640D4F">
              <w:rPr>
                <w:szCs w:val="16"/>
              </w:rPr>
              <w:br/>
              <w:t>An application for a patient who has received PBS-subsidised biological medicine treatment for this condition who wishes to recommence therapy with this drug, must be accompanied by evidence of a response to the patient</w:t>
            </w:r>
            <w:r w:rsidR="00A653CA">
              <w:rPr>
                <w:szCs w:val="16"/>
              </w:rPr>
              <w:t>’</w:t>
            </w:r>
            <w:r w:rsidRPr="00640D4F">
              <w:rPr>
                <w:szCs w:val="16"/>
              </w:rPr>
              <w:t>s most recent course of PBS-subsidised biological medicine treatment, within the timeframes specified below.</w:t>
            </w:r>
            <w:r w:rsidRPr="00640D4F">
              <w:rPr>
                <w:szCs w:val="16"/>
              </w:rPr>
              <w:br/>
              <w:t>The assessment of the patient</w:t>
            </w:r>
            <w:r w:rsidR="00A653CA">
              <w:rPr>
                <w:szCs w:val="16"/>
              </w:rPr>
              <w:t>’</w:t>
            </w:r>
            <w:r w:rsidRPr="00640D4F">
              <w:rPr>
                <w:szCs w:val="16"/>
              </w:rPr>
              <w:t>s response to the most recent course of biological medicine must be conducted following a minimum of 12 weeks of treatment and no later than 4 weeks from the cessation of that treatment course. If the response assessment is not conducted within these timeframes, the patient will be deemed to have failed that most recent course of treatment in this treatment cycle.</w:t>
            </w:r>
            <w:r w:rsidRPr="00640D4F">
              <w:rPr>
                <w:szCs w:val="16"/>
              </w:rPr>
              <w:br/>
              <w:t>If a patient fails to demonstrate a response to 2 courses of treatment with this drug they will not be eligible to receive further PBS-subsidised treatment with this drug for this condition in the current treatment cycle. A serious adverse reaction of a severity requiring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5C4E1C" w:rsidRPr="00640D4F" w:rsidRDefault="005C4E1C" w:rsidP="004722CF">
            <w:pPr>
              <w:pStyle w:val="mps3-data"/>
              <w:rPr>
                <w:szCs w:val="16"/>
              </w:rPr>
            </w:pPr>
            <w:r w:rsidRPr="00640D4F">
              <w:rPr>
                <w:szCs w:val="16"/>
              </w:rPr>
              <w:t>Compliance with Written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p>
        </w:tc>
        <w:tc>
          <w:tcPr>
            <w:tcW w:w="70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C10535</w:t>
            </w:r>
          </w:p>
        </w:tc>
        <w:tc>
          <w:tcPr>
            <w:tcW w:w="709" w:type="dxa"/>
            <w:tcBorders>
              <w:bottom w:val="single" w:sz="4" w:space="0" w:color="auto"/>
            </w:tcBorders>
            <w:shd w:val="clear" w:color="auto" w:fill="auto"/>
            <w:tcMar>
              <w:top w:w="28" w:type="dxa"/>
              <w:left w:w="28" w:type="dxa"/>
            </w:tcMar>
          </w:tcPr>
          <w:p w:rsidR="005C4E1C" w:rsidRPr="00640D4F" w:rsidDel="00E03489" w:rsidRDefault="005C4E1C" w:rsidP="004722CF">
            <w:pPr>
              <w:pStyle w:val="mps3-data"/>
              <w:rPr>
                <w:szCs w:val="16"/>
              </w:rPr>
            </w:pPr>
          </w:p>
        </w:tc>
        <w:tc>
          <w:tcPr>
            <w:tcW w:w="7654"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Systemic juvenile idiopathic arthritis</w:t>
            </w:r>
            <w:r w:rsidRPr="00640D4F">
              <w:rPr>
                <w:szCs w:val="16"/>
              </w:rPr>
              <w:br/>
              <w:t>Initial treatment - Initial 1 (new patient)</w:t>
            </w:r>
            <w:r w:rsidRPr="00640D4F">
              <w:rPr>
                <w:szCs w:val="16"/>
              </w:rPr>
              <w:br/>
              <w:t>Patient must not have received PBS-subsidised treatment with a biological medicine for this condition; AND</w:t>
            </w:r>
            <w:r w:rsidRPr="00640D4F">
              <w:rPr>
                <w:szCs w:val="16"/>
              </w:rPr>
              <w:br/>
              <w:t>Patient must have polyarticular course disease which has failed to respond adequately to oral or parenteral methotrexate at a dose of at least 15 mg per square metre weekly, alone or in combination with oral or intra-articular corticosteroids, for a minimum of 3 months; OR</w:t>
            </w:r>
            <w:r w:rsidRPr="00640D4F">
              <w:rPr>
                <w:szCs w:val="16"/>
              </w:rPr>
              <w:br/>
              <w:t>Patient must have polyarticular course disease and have demonstrated severe intolerance of, or toxicity due to, methotrexate; OR</w:t>
            </w:r>
            <w:r w:rsidRPr="00640D4F">
              <w:rPr>
                <w:szCs w:val="16"/>
              </w:rPr>
              <w:br/>
              <w:t>Patient must have refractory systemic symptoms, demonstrated by an inability to decrease and maintain the dose of prednisolone (or equivalent) below 0.5 mg per kg per day following a minimum of 2 months of therapy; AND</w:t>
            </w:r>
            <w:r w:rsidRPr="00640D4F">
              <w:rPr>
                <w:szCs w:val="16"/>
              </w:rPr>
              <w:br/>
              <w:t>Patient must not receive more than 16 weeks of treatment under this restriction.</w:t>
            </w:r>
            <w:r w:rsidRPr="00640D4F">
              <w:rPr>
                <w:szCs w:val="16"/>
              </w:rPr>
              <w:br/>
              <w:t>Patient must be under 18 years of age.</w:t>
            </w:r>
            <w:r w:rsidRPr="00640D4F">
              <w:rPr>
                <w:szCs w:val="16"/>
              </w:rPr>
              <w:br/>
              <w:t>Must be treated by a rheumatologist; OR</w:t>
            </w:r>
            <w:r w:rsidRPr="00640D4F">
              <w:rPr>
                <w:szCs w:val="16"/>
              </w:rPr>
              <w:br/>
              <w:t>Patient must be undergoing treatment under the supervision of a paediatric rheumatology treatment centre.</w:t>
            </w:r>
            <w:r w:rsidRPr="00640D4F">
              <w:rPr>
                <w:szCs w:val="16"/>
              </w:rPr>
              <w:br/>
              <w:t>The following criteria indicate failure to achieve an adequate response to prior methotrexate therapy in a patient with polyarticular course disease and must be demonstrated in the patient at the time of the initial application:</w:t>
            </w:r>
            <w:r w:rsidRPr="00640D4F">
              <w:rPr>
                <w:szCs w:val="16"/>
              </w:rPr>
              <w:br/>
              <w:t>(a) an active joint count of at least 20 active (swollen and tender) joints; or</w:t>
            </w:r>
            <w:r w:rsidRPr="00640D4F">
              <w:rPr>
                <w:szCs w:val="16"/>
              </w:rPr>
              <w:br/>
              <w:t>(b) at least 4 active joints from the following list of major joints:</w:t>
            </w:r>
            <w:r w:rsidRPr="00640D4F">
              <w:rPr>
                <w:szCs w:val="16"/>
              </w:rPr>
              <w:br/>
              <w:t>(i) elbow, wrist, knee and/or ankle (assessed as swollen and tender); and/or</w:t>
            </w:r>
            <w:r w:rsidRPr="00640D4F">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The following criteria indicate failure to achieve an adequate response to prior therapy in a patient with refractory systemic symptoms and must be demonstrated in the patient at the time of the initial application:</w:t>
            </w:r>
            <w:r w:rsidRPr="00640D4F">
              <w:rPr>
                <w:szCs w:val="16"/>
              </w:rPr>
              <w:br/>
              <w:t>(a) an active joint count of at least 2 active joints; and</w:t>
            </w:r>
            <w:r w:rsidRPr="00640D4F">
              <w:rPr>
                <w:szCs w:val="16"/>
              </w:rPr>
              <w:br/>
              <w:t>(b) persistent fever greater than 38 degrees Celsius for at least 5 out of 14 consecutive days; and/or</w:t>
            </w:r>
            <w:r w:rsidRPr="00640D4F">
              <w:rPr>
                <w:szCs w:val="16"/>
              </w:rPr>
              <w:br/>
              <w:t>(c) a C-reactive protein (CRP) level and platelet count above the upper limits of normal (ULN).</w:t>
            </w:r>
            <w:r w:rsidRPr="00640D4F">
              <w:rPr>
                <w:szCs w:val="16"/>
              </w:rPr>
              <w:br/>
              <w:t>The baseline measurements of joint count, fever and/or CRP level and platelet count must be performed preferably whilst on treatment, but no longer than 4 weeks following cessation of the most recent prior treatment.</w:t>
            </w:r>
            <w:r w:rsidRPr="00640D4F">
              <w:rPr>
                <w:szCs w:val="16"/>
              </w:rPr>
              <w:br/>
              <w:t>The same indices of disease severity used to establish baseline at the commencement of treatment with each initial treatment application must be used to determine response for all subsequent continuing treatments.</w:t>
            </w:r>
            <w:r w:rsidRPr="00640D4F">
              <w:rPr>
                <w:szCs w:val="16"/>
              </w:rPr>
              <w:br/>
              <w:t>Severe intolerance to methotrexate is defined as intractable nausea and vomiting and general malaise unresponsive to manoeuvres, including reducing or omitting concomitant non-steroidal anti-inflammatory drugs (NSAIDs) on the day of methotrexate administration, use of folic acid supplementation, or administering the dose of methotrexate in 2 divided doses over 24 hours.</w:t>
            </w:r>
            <w:r w:rsidRPr="00640D4F">
              <w:rPr>
                <w:szCs w:val="16"/>
              </w:rPr>
              <w:br/>
              <w:t>Toxicity due to methotrexate is defined as evidence of hepatotoxicity with repeated elevations of transaminases, bone marrow suppression temporally related to methotrexate use, pneumonitis, or serious sepsis.</w:t>
            </w:r>
            <w:r w:rsidRPr="00640D4F">
              <w:rPr>
                <w:szCs w:val="16"/>
              </w:rPr>
              <w:br/>
              <w:t>If treatment with methotrexate alone or in combination with other treatments is contraindicated according to the relevant TGA-approved Product Information, details must be provided at the time of application.</w:t>
            </w:r>
            <w:r w:rsidRPr="00640D4F">
              <w:rPr>
                <w:szCs w:val="16"/>
              </w:rPr>
              <w:br/>
              <w:t>If intolerance to treatment develops during the relevant period of use, which is of a severity necessitating permanent treatment withdrawal, details of this toxicity must be provided at the time of application.</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Systemic Juvenile Idiopathic Arthritis PBS Authority Application - Supporting Information Form which includes the following:</w:t>
            </w:r>
            <w:r w:rsidRPr="00640D4F">
              <w:rPr>
                <w:szCs w:val="16"/>
              </w:rPr>
              <w:br/>
              <w:t>(i) the date of assessment of severe active systemic juvenile idiopathic arthritis;</w:t>
            </w:r>
            <w:r w:rsidRPr="00640D4F">
              <w:rPr>
                <w:szCs w:val="16"/>
              </w:rPr>
              <w:br/>
              <w:t>(ii) details of prior treatment including dose and duration of treatment;</w:t>
            </w:r>
            <w:r w:rsidRPr="00640D4F">
              <w:rPr>
                <w:szCs w:val="16"/>
              </w:rPr>
              <w:br/>
              <w:t>(iii) pathology reports detailing CRP and platelet count where appropriate.</w:t>
            </w:r>
            <w:r w:rsidRPr="00640D4F">
              <w:rPr>
                <w:szCs w:val="16"/>
              </w:rPr>
              <w:br/>
              <w:t>At the time of authority application, the medical practitioner must request the appropriate number of vials of appropriate strength to provide sufficient drug, based on the weight of the patient, for two infusions (one month</w:t>
            </w:r>
            <w:r w:rsidR="00A653CA">
              <w:rPr>
                <w:szCs w:val="16"/>
              </w:rPr>
              <w:t>’</w:t>
            </w:r>
            <w:r w:rsidRPr="00640D4F">
              <w:rPr>
                <w:szCs w:val="16"/>
              </w:rPr>
              <w:t>s supply). A separate authority prescription form must be completed for each strength requested. Up to a maximum of 3 repeats will be authorised.</w:t>
            </w:r>
            <w:r w:rsidRPr="00640D4F">
              <w:rPr>
                <w:szCs w:val="16"/>
              </w:rPr>
              <w:br/>
              <w:t>The assessment of the patient</w:t>
            </w:r>
            <w:r w:rsidR="00A653CA">
              <w:rPr>
                <w:szCs w:val="16"/>
              </w:rPr>
              <w:t>’</w:t>
            </w:r>
            <w:r w:rsidRPr="00640D4F">
              <w:rPr>
                <w:szCs w:val="16"/>
              </w:rPr>
              <w:t>s response to the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 in this treatment cycle.</w:t>
            </w:r>
          </w:p>
        </w:tc>
        <w:tc>
          <w:tcPr>
            <w:tcW w:w="2552" w:type="dxa"/>
            <w:tcBorders>
              <w:bottom w:val="single" w:sz="4" w:space="0" w:color="auto"/>
            </w:tcBorders>
            <w:shd w:val="clear" w:color="auto" w:fill="auto"/>
            <w:tcMar>
              <w:top w:w="28" w:type="dxa"/>
              <w:left w:w="28" w:type="dxa"/>
              <w:right w:w="57" w:type="dxa"/>
            </w:tcMar>
          </w:tcPr>
          <w:p w:rsidR="005C4E1C" w:rsidRPr="00640D4F" w:rsidRDefault="005C4E1C" w:rsidP="004722CF">
            <w:pPr>
              <w:pStyle w:val="mps3-data"/>
              <w:rPr>
                <w:szCs w:val="16"/>
              </w:rPr>
            </w:pPr>
            <w:r w:rsidRPr="00640D4F">
              <w:rPr>
                <w:szCs w:val="16"/>
              </w:rPr>
              <w:t>Compliance with Written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p>
        </w:tc>
        <w:tc>
          <w:tcPr>
            <w:tcW w:w="70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C10536</w:t>
            </w:r>
          </w:p>
        </w:tc>
        <w:tc>
          <w:tcPr>
            <w:tcW w:w="709" w:type="dxa"/>
            <w:tcBorders>
              <w:bottom w:val="single" w:sz="4" w:space="0" w:color="auto"/>
            </w:tcBorders>
            <w:shd w:val="clear" w:color="auto" w:fill="auto"/>
            <w:tcMar>
              <w:top w:w="28" w:type="dxa"/>
              <w:left w:w="28" w:type="dxa"/>
            </w:tcMar>
          </w:tcPr>
          <w:p w:rsidR="005C4E1C" w:rsidRPr="00640D4F" w:rsidDel="00E03489" w:rsidRDefault="005C4E1C" w:rsidP="004722CF">
            <w:pPr>
              <w:pStyle w:val="mps3-data"/>
              <w:rPr>
                <w:szCs w:val="16"/>
              </w:rPr>
            </w:pPr>
          </w:p>
        </w:tc>
        <w:tc>
          <w:tcPr>
            <w:tcW w:w="7654"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Systemic juvenile idiopathic arthritis</w:t>
            </w:r>
            <w:r w:rsidRPr="00640D4F">
              <w:rPr>
                <w:szCs w:val="16"/>
              </w:rPr>
              <w:br/>
              <w:t>Continuing treatment</w:t>
            </w:r>
            <w:r w:rsidRPr="00640D4F">
              <w:rPr>
                <w:szCs w:val="16"/>
              </w:rPr>
              <w:br/>
              <w:t>Patient must have previously received PBS-subsidised treatment with this drug for this condition; AND</w:t>
            </w:r>
            <w:r w:rsidRPr="00640D4F">
              <w:rPr>
                <w:szCs w:val="16"/>
              </w:rPr>
              <w:br/>
              <w:t>Patient must have demonstrated an adequate response to treatment with this drug; AND</w:t>
            </w:r>
            <w:r w:rsidRPr="00640D4F">
              <w:rPr>
                <w:szCs w:val="16"/>
              </w:rPr>
              <w:br/>
              <w:t>Patient must not receive more than 24 weeks of treatment under this restriction.</w:t>
            </w:r>
            <w:r w:rsidRPr="00640D4F">
              <w:rPr>
                <w:szCs w:val="16"/>
              </w:rPr>
              <w:br/>
              <w:t>Must be treated by a rheumatologist; OR</w:t>
            </w:r>
            <w:r w:rsidRPr="00640D4F">
              <w:rPr>
                <w:szCs w:val="16"/>
              </w:rPr>
              <w:br/>
              <w:t>Patient must be undergoing treatment under the supervision of a paediatric rheumatology treatment centre.</w:t>
            </w:r>
            <w:r w:rsidRPr="00640D4F">
              <w:rPr>
                <w:szCs w:val="16"/>
              </w:rPr>
              <w:br/>
              <w:t>An adequate response to treatment is defined as:</w:t>
            </w:r>
            <w:r w:rsidRPr="00640D4F">
              <w:rPr>
                <w:szCs w:val="16"/>
              </w:rPr>
              <w:br/>
              <w:t>(a) in a patient with polyarticular course disease:</w:t>
            </w:r>
            <w:r w:rsidRPr="00640D4F">
              <w:rPr>
                <w:szCs w:val="16"/>
              </w:rPr>
              <w:br/>
              <w:t>(i) a reduction in the total active (swollen and tender) joint count by at least 50% from baseline, where baseline is at least 20 active joints; or</w:t>
            </w:r>
            <w:r w:rsidRPr="00640D4F">
              <w:rPr>
                <w:szCs w:val="16"/>
              </w:rPr>
              <w:br/>
              <w:t>(ii) a reduction in the number of the following major active joints, from at least 4, by at least 50%:</w:t>
            </w:r>
            <w:r w:rsidRPr="00640D4F">
              <w:rPr>
                <w:szCs w:val="16"/>
              </w:rPr>
              <w:br/>
              <w:t>- elbow, wrist, knee and/or ankle (assessed as swollen and tender); and/or</w:t>
            </w:r>
            <w:r w:rsidRPr="00640D4F">
              <w:rPr>
                <w:szCs w:val="16"/>
              </w:rPr>
              <w:br/>
              <w:t>-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(b) in a patient with refractory systemic symptoms:</w:t>
            </w:r>
            <w:r w:rsidRPr="00640D4F">
              <w:rPr>
                <w:szCs w:val="16"/>
              </w:rPr>
              <w:br/>
              <w:t>(i) absence of fever greater than 38 degrees Celsius in the preceding seven days; and/or</w:t>
            </w:r>
            <w:r w:rsidRPr="00640D4F">
              <w:rPr>
                <w:szCs w:val="16"/>
              </w:rPr>
              <w:br/>
              <w:t>(ii) a reduction in the C-reactive protein (CRP) level and platelet count by at least 30% from baseline; and/or</w:t>
            </w:r>
            <w:r w:rsidRPr="00640D4F">
              <w:rPr>
                <w:szCs w:val="16"/>
              </w:rPr>
              <w:br/>
              <w:t>(iii) a reduction in the dose of corticosteroid by at least 30% from baseline.</w:t>
            </w:r>
            <w:r w:rsidRPr="00640D4F">
              <w:rPr>
                <w:szCs w:val="16"/>
              </w:rPr>
              <w:br/>
              <w:t>Determination of whether a response has been demonstrated to initial and subsequent courses of treatment will be based on the baseline measurements of disease severity submitted with the initial treatment application.</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Systemic Juvenile Idiopathic Arthritis PBS Authority Application - Supporting Information Form which includes baseline and current pathology reports detailing CRP and platelet count where appropriate.</w:t>
            </w:r>
            <w:r w:rsidRPr="00640D4F">
              <w:rPr>
                <w:szCs w:val="16"/>
              </w:rPr>
              <w:br/>
              <w:t>The most recent systemic juvenile idiopathic arthritis assessment must be no more than 4 weeks old at the time of application.</w:t>
            </w:r>
            <w:r w:rsidRPr="00640D4F">
              <w:rPr>
                <w:szCs w:val="16"/>
              </w:rPr>
              <w:br/>
              <w:t>At the time of authority application, the medical practitioner must request the appropriate number of vials of appropriate strength to provide sufficient drug, based on the weight of the patient, for two infusions (one month</w:t>
            </w:r>
            <w:r w:rsidR="00A653CA">
              <w:rPr>
                <w:szCs w:val="16"/>
              </w:rPr>
              <w:t>’</w:t>
            </w:r>
            <w:r w:rsidRPr="00640D4F">
              <w:rPr>
                <w:szCs w:val="16"/>
              </w:rPr>
              <w:t>s supply). A separate authority prescription form must be completed for each strength requested. Up to a maximum of 5 repeats will be authorised.</w:t>
            </w:r>
            <w:r w:rsidRPr="00640D4F">
              <w:rPr>
                <w:szCs w:val="16"/>
              </w:rPr>
              <w:br/>
              <w:t>The assessment of the patient</w:t>
            </w:r>
            <w:r w:rsidR="00A653CA">
              <w:rPr>
                <w:szCs w:val="16"/>
              </w:rPr>
              <w:t>’</w:t>
            </w:r>
            <w:r w:rsidRPr="00640D4F">
              <w:rPr>
                <w:szCs w:val="16"/>
              </w:rPr>
              <w:t>s response to the most recent course of biological medicine must be conducted following a minimum of 12 weeks of treatment and no later than 4 weeks from the cessation of that treatment course. If the response assessment is not conducted within these timeframes, the patient will be deemed to have failed that most recent course of treatment in this treatment cycle.</w:t>
            </w:r>
            <w:r w:rsidRPr="00640D4F">
              <w:rPr>
                <w:szCs w:val="16"/>
              </w:rPr>
              <w:br/>
              <w:t>The patient remains eligible to receive continuing treatment with the same biological medicine in courses of up to 24 weeks providing they continue to sustain an adequate response. It is recommended that a patient be reviewed in the month prior to completing their current course of treatment.</w:t>
            </w:r>
            <w:r w:rsidRPr="00640D4F">
              <w:rPr>
                <w:szCs w:val="16"/>
              </w:rPr>
              <w:br/>
              <w:t>If a patient fails to demonstrate a response to 2 courses of treatment with this drug they will not be eligible to receive further PBS-subsidised treatment with this drug for this condition in the current treatment cycle. A serious adverse reaction of a severity requiring permanent withdrawal of treatment is not considered as a treatment failure.</w:t>
            </w:r>
            <w:r w:rsidRPr="00640D4F">
              <w:rPr>
                <w:szCs w:val="16"/>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p>
        </w:tc>
        <w:tc>
          <w:tcPr>
            <w:tcW w:w="2552" w:type="dxa"/>
            <w:tcBorders>
              <w:bottom w:val="single" w:sz="4" w:space="0" w:color="auto"/>
            </w:tcBorders>
            <w:shd w:val="clear" w:color="auto" w:fill="auto"/>
            <w:tcMar>
              <w:top w:w="28" w:type="dxa"/>
              <w:left w:w="28" w:type="dxa"/>
              <w:right w:w="57" w:type="dxa"/>
            </w:tcMar>
          </w:tcPr>
          <w:p w:rsidR="005C4E1C" w:rsidRPr="00640D4F" w:rsidRDefault="005C4E1C" w:rsidP="004722CF">
            <w:pPr>
              <w:pStyle w:val="mps3-data"/>
              <w:rPr>
                <w:szCs w:val="16"/>
              </w:rPr>
            </w:pPr>
            <w:r w:rsidRPr="00640D4F">
              <w:rPr>
                <w:szCs w:val="16"/>
              </w:rPr>
              <w:t>Compliance with Written Authority Required procedures</w:t>
            </w:r>
          </w:p>
        </w:tc>
      </w:tr>
      <w:tr w:rsidR="005C4E1C" w:rsidRPr="00E106BD" w:rsidDel="006712FA" w:rsidTr="008929EB">
        <w:tc>
          <w:tcPr>
            <w:tcW w:w="172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p>
        </w:tc>
        <w:tc>
          <w:tcPr>
            <w:tcW w:w="70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C10541</w:t>
            </w:r>
          </w:p>
        </w:tc>
        <w:tc>
          <w:tcPr>
            <w:tcW w:w="709" w:type="dxa"/>
            <w:tcBorders>
              <w:bottom w:val="single" w:sz="4" w:space="0" w:color="auto"/>
            </w:tcBorders>
            <w:shd w:val="clear" w:color="auto" w:fill="auto"/>
            <w:tcMar>
              <w:top w:w="28" w:type="dxa"/>
              <w:left w:w="28" w:type="dxa"/>
            </w:tcMar>
          </w:tcPr>
          <w:p w:rsidR="005C4E1C" w:rsidRPr="00640D4F" w:rsidDel="00E03489" w:rsidRDefault="005C4E1C" w:rsidP="004722CF">
            <w:pPr>
              <w:pStyle w:val="mps3-data"/>
              <w:rPr>
                <w:szCs w:val="16"/>
              </w:rPr>
            </w:pPr>
          </w:p>
        </w:tc>
        <w:tc>
          <w:tcPr>
            <w:tcW w:w="7654"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Severe active juvenile idiopathic arthritis</w:t>
            </w:r>
            <w:r w:rsidRPr="00640D4F">
              <w:rPr>
                <w:szCs w:val="16"/>
              </w:rPr>
              <w:br/>
              <w:t>Initial treatment - Initial 2 (change or recommencement of treatment after a break in biological medicine of less than 12 months)</w:t>
            </w:r>
            <w:r w:rsidRPr="00640D4F">
              <w:rPr>
                <w:szCs w:val="16"/>
              </w:rPr>
              <w:br/>
              <w:t>Must be treated by a paediatric rheumatologist; OR</w:t>
            </w:r>
            <w:r w:rsidRPr="00640D4F">
              <w:rPr>
                <w:szCs w:val="16"/>
              </w:rPr>
              <w:br/>
              <w:t>Patient must be undergoing treatment under the supervision of a paediatric rheumatology treatment centre.</w:t>
            </w:r>
            <w:r w:rsidRPr="00640D4F">
              <w:rPr>
                <w:szCs w:val="16"/>
              </w:rPr>
              <w:br/>
              <w:t>Patient must have received prior PBS-subsidised treatment with a biological medicine for this condition in this treatment cycle; AND</w:t>
            </w:r>
            <w:r w:rsidRPr="00640D4F">
              <w:rPr>
                <w:szCs w:val="16"/>
              </w:rPr>
              <w:br/>
              <w:t>Patient must not have already failed, or ceased to respond to, PBS-subsidised treatment with this drug for this condition during the current treatment cycle; AND</w:t>
            </w:r>
            <w:r w:rsidRPr="00640D4F">
              <w:rPr>
                <w:szCs w:val="16"/>
              </w:rPr>
              <w:br/>
              <w:t>Patient must not receive more than 16 weeks of treatment under this restriction.</w:t>
            </w:r>
            <w:r w:rsidRPr="00640D4F">
              <w:rPr>
                <w:szCs w:val="16"/>
              </w:rPr>
              <w:br/>
              <w:t>An adequate response to treatment is defined as:</w:t>
            </w:r>
            <w:r w:rsidRPr="00640D4F">
              <w:rPr>
                <w:szCs w:val="16"/>
              </w:rPr>
              <w:br/>
              <w:t>(a) a reduction in the total active (swollen and tender) joint count by at least 50% from baseline, where baseline is at least 20 active joints; or</w:t>
            </w:r>
            <w:r w:rsidRPr="00640D4F">
              <w:rPr>
                <w:szCs w:val="16"/>
              </w:rPr>
              <w:br/>
              <w:t>(b) a reduction in the number of the following active joints, from at least 4, by at least 50%:</w:t>
            </w:r>
            <w:r w:rsidRPr="00640D4F">
              <w:rPr>
                <w:szCs w:val="16"/>
              </w:rPr>
              <w:br/>
              <w:t>(i) elbow, wrist, knee and/or ankle (assessed as swollen and tender); and/or</w:t>
            </w:r>
            <w:r w:rsidRPr="00640D4F">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Juvenile Idiopathic Arthritis PBS Authority Application - Supporting Information Form.</w:t>
            </w:r>
            <w:r w:rsidRPr="00640D4F">
              <w:rPr>
                <w:szCs w:val="16"/>
              </w:rPr>
              <w:br/>
              <w:t>An application for a patient who has received PBS-subsidised biological medicine treatment for this condition who wishes to change or recommence therapy with this drug, must be accompanied by evidence of a response to the patient</w:t>
            </w:r>
            <w:r w:rsidR="00A653CA">
              <w:rPr>
                <w:szCs w:val="16"/>
              </w:rPr>
              <w:t>’</w:t>
            </w:r>
            <w:r w:rsidRPr="00640D4F">
              <w:rPr>
                <w:szCs w:val="16"/>
              </w:rPr>
              <w:t>s most recent course of PBS-subsidised biological medicine treatment, within the timeframes specified below.</w:t>
            </w:r>
            <w:r w:rsidRPr="00640D4F">
              <w:rPr>
                <w:szCs w:val="16"/>
              </w:rPr>
              <w:br/>
              <w:t>Where the most recent course of PBS-subsidised biological medicine treatment was approved under either Initial 1, Initial 2, Initial 3 or continuing treatment restrictions, an assessment of a patient</w:t>
            </w:r>
            <w:r w:rsidR="00A653CA">
              <w:rPr>
                <w:szCs w:val="16"/>
              </w:rPr>
              <w:t>’</w:t>
            </w:r>
            <w:r w:rsidRPr="00640D4F">
              <w:rPr>
                <w:szCs w:val="16"/>
              </w:rPr>
              <w:t>s response must have been conducted following a minimum of 12 weeks of therapy and submitted no later than 4 weeks from the date of completion of treatment.</w:t>
            </w:r>
            <w:r w:rsidRPr="00640D4F">
              <w:rPr>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640D4F">
              <w:rPr>
                <w:szCs w:val="16"/>
              </w:rPr>
              <w:br/>
              <w:t>Where the response assessment is not submitted within this timeframe, the patient will be deemed to have failed to respond to treatment with this drug.</w:t>
            </w:r>
            <w:r w:rsidRPr="00640D4F">
              <w:rPr>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640D4F">
              <w:rPr>
                <w:szCs w:val="16"/>
              </w:rPr>
              <w:br/>
              <w:t>A patient who fails to demonstrate a response to treatment with this drug under this restriction will not be eligible to receive further PBS-subsidised treatment with this drug in this treatment cycle. 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640D4F">
              <w:rPr>
                <w:szCs w:val="16"/>
              </w:rPr>
              <w:br/>
              <w:t>If a patient fails to respond to PBS-subsidised biological medicine treatment 3 times (once with each agent) they will not be eligible to receive further PBS-subsidised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5C4E1C" w:rsidRPr="00640D4F" w:rsidRDefault="005C4E1C" w:rsidP="004722CF">
            <w:pPr>
              <w:pStyle w:val="mps3-data"/>
              <w:rPr>
                <w:szCs w:val="16"/>
              </w:rPr>
            </w:pPr>
            <w:r w:rsidRPr="00640D4F">
              <w:rPr>
                <w:szCs w:val="16"/>
              </w:rPr>
              <w:t>Compliance with Written Authority Required procedures</w:t>
            </w:r>
          </w:p>
        </w:tc>
      </w:tr>
      <w:tr w:rsidR="005C4E1C" w:rsidRPr="007877C7" w:rsidDel="006712FA" w:rsidTr="008929EB">
        <w:tc>
          <w:tcPr>
            <w:tcW w:w="172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p>
        </w:tc>
        <w:tc>
          <w:tcPr>
            <w:tcW w:w="70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C10542</w:t>
            </w:r>
          </w:p>
        </w:tc>
        <w:tc>
          <w:tcPr>
            <w:tcW w:w="709" w:type="dxa"/>
            <w:tcBorders>
              <w:bottom w:val="single" w:sz="4" w:space="0" w:color="auto"/>
            </w:tcBorders>
            <w:shd w:val="clear" w:color="auto" w:fill="auto"/>
            <w:tcMar>
              <w:top w:w="28" w:type="dxa"/>
              <w:left w:w="28" w:type="dxa"/>
            </w:tcMar>
          </w:tcPr>
          <w:p w:rsidR="005C4E1C" w:rsidRPr="00640D4F" w:rsidDel="00E03489" w:rsidRDefault="005C4E1C" w:rsidP="004722CF">
            <w:pPr>
              <w:pStyle w:val="mps3-data"/>
              <w:rPr>
                <w:szCs w:val="16"/>
              </w:rPr>
            </w:pPr>
          </w:p>
        </w:tc>
        <w:tc>
          <w:tcPr>
            <w:tcW w:w="7654"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Severe active juvenile idiopathic arthritis</w:t>
            </w:r>
            <w:r w:rsidRPr="00640D4F">
              <w:rPr>
                <w:szCs w:val="16"/>
              </w:rPr>
              <w:br/>
              <w:t>Continuing treatment</w:t>
            </w:r>
            <w:r w:rsidRPr="00640D4F">
              <w:rPr>
                <w:szCs w:val="16"/>
              </w:rPr>
              <w:br/>
              <w:t>Must be treated by a rheumatologist; OR</w:t>
            </w:r>
            <w:r w:rsidRPr="00640D4F">
              <w:rPr>
                <w:szCs w:val="16"/>
              </w:rPr>
              <w:br/>
              <w:t>Patient must be undergoing treatment under the supervision of a paediatric rheumatology treatment centre.</w:t>
            </w:r>
            <w:r w:rsidRPr="00640D4F">
              <w:rPr>
                <w:szCs w:val="16"/>
              </w:rPr>
              <w:br/>
              <w:t>Patient must have received this drug as their most recent course of PBS-subsidised biological medicine treatment for this condition; AND</w:t>
            </w:r>
            <w:r w:rsidRPr="00640D4F">
              <w:rPr>
                <w:szCs w:val="16"/>
              </w:rPr>
              <w:br/>
              <w:t>Patient must have demonstrated an adequate response to treatment with this drug; AND</w:t>
            </w:r>
            <w:r w:rsidRPr="00640D4F">
              <w:rPr>
                <w:szCs w:val="16"/>
              </w:rPr>
              <w:br/>
              <w:t>Patient must not receive more than 24 weeks of treatment per continuing treatment course authorised under this restriction.</w:t>
            </w:r>
            <w:r w:rsidRPr="00640D4F">
              <w:rPr>
                <w:szCs w:val="16"/>
              </w:rPr>
              <w:br/>
              <w:t>An adequate response to treatment is defined as:</w:t>
            </w:r>
            <w:r w:rsidRPr="00640D4F">
              <w:rPr>
                <w:szCs w:val="16"/>
              </w:rPr>
              <w:br/>
              <w:t>(a) a reduction in the total active (swollen and tender) joint count by at least 50% from baseline, where baseline is at least 20 active joints; or</w:t>
            </w:r>
            <w:r w:rsidRPr="00640D4F">
              <w:rPr>
                <w:szCs w:val="16"/>
              </w:rPr>
              <w:br/>
              <w:t>(b) a reduction in the number of the following active joints, from at least 4, by at least 50%:</w:t>
            </w:r>
            <w:r w:rsidRPr="00640D4F">
              <w:rPr>
                <w:szCs w:val="16"/>
              </w:rPr>
              <w:br/>
              <w:t>(i) elbow, wrist, knee and/or ankle (assessed as swollen and tender); and/or</w:t>
            </w:r>
            <w:r w:rsidRPr="00640D4F">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Determination of whether a response has been demonstrated to initial and subsequent courses of treatment will be based on the baseline measurement of joint count submitted with the initial treatment application.</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Juvenile Idiopathic Arthritis PBS Authority Application - Supporting Information Form.</w:t>
            </w:r>
            <w:r w:rsidRPr="00640D4F">
              <w:rPr>
                <w:szCs w:val="16"/>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5 repeats will be authorised.</w:t>
            </w:r>
            <w:r w:rsidRPr="00640D4F">
              <w:rPr>
                <w:szCs w:val="16"/>
              </w:rPr>
              <w:br/>
              <w:t>Where the most recent course of PBS-subsidised treatment with this drug was approved under either Initial 1, Initial 2, or Initial 3 treatment restrictions, an assessment of a patient</w:t>
            </w:r>
            <w:r w:rsidR="00A653CA">
              <w:rPr>
                <w:szCs w:val="16"/>
              </w:rPr>
              <w:t>’</w:t>
            </w:r>
            <w:r w:rsidRPr="00640D4F">
              <w:rPr>
                <w:szCs w:val="16"/>
              </w:rPr>
              <w:t>s response must have been conducted following a minimum of 12 weeks of therapy and submitted no later than 4 weeks from the date of completion of treatment.</w:t>
            </w:r>
            <w:r w:rsidRPr="00640D4F">
              <w:rPr>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640D4F">
              <w:rPr>
                <w:szCs w:val="16"/>
              </w:rPr>
              <w:br/>
              <w:t>Where the response assessment is not submitted within this timeframe, the patient will be deemed to have failed to respond to treatment with this drug.</w:t>
            </w:r>
            <w:r w:rsidRPr="00640D4F">
              <w:rPr>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640D4F">
              <w:rPr>
                <w:szCs w:val="16"/>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640D4F">
              <w:rPr>
                <w:szCs w:val="16"/>
              </w:rPr>
              <w:br/>
              <w:t>If a patient fails to respond to PBS-subsidised biological medicine treatment 3 times (once with each agent) they will not be eligible to receive further PBS-subsidised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5C4E1C" w:rsidRPr="00640D4F" w:rsidRDefault="005C4E1C" w:rsidP="004722CF">
            <w:pPr>
              <w:pStyle w:val="mps3-data"/>
              <w:rPr>
                <w:szCs w:val="16"/>
              </w:rPr>
            </w:pPr>
            <w:r w:rsidRPr="00640D4F">
              <w:rPr>
                <w:szCs w:val="16"/>
              </w:rPr>
              <w:t>Compliance with Written Authority Required procedures</w:t>
            </w:r>
          </w:p>
        </w:tc>
      </w:tr>
      <w:tr w:rsidR="005C4E1C" w:rsidRPr="007877C7" w:rsidDel="006712FA" w:rsidTr="008929EB">
        <w:tc>
          <w:tcPr>
            <w:tcW w:w="172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p>
        </w:tc>
        <w:tc>
          <w:tcPr>
            <w:tcW w:w="70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C10545</w:t>
            </w:r>
          </w:p>
        </w:tc>
        <w:tc>
          <w:tcPr>
            <w:tcW w:w="709" w:type="dxa"/>
            <w:tcBorders>
              <w:bottom w:val="single" w:sz="4" w:space="0" w:color="auto"/>
            </w:tcBorders>
            <w:shd w:val="clear" w:color="auto" w:fill="auto"/>
            <w:tcMar>
              <w:top w:w="28" w:type="dxa"/>
              <w:left w:w="28" w:type="dxa"/>
            </w:tcMar>
          </w:tcPr>
          <w:p w:rsidR="005C4E1C" w:rsidRPr="00640D4F" w:rsidDel="00E03489" w:rsidRDefault="005C4E1C" w:rsidP="004722CF">
            <w:pPr>
              <w:pStyle w:val="mps3-data"/>
              <w:rPr>
                <w:szCs w:val="16"/>
              </w:rPr>
            </w:pPr>
          </w:p>
        </w:tc>
        <w:tc>
          <w:tcPr>
            <w:tcW w:w="7654"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Severe active juvenile idiopathic arthritis</w:t>
            </w:r>
            <w:r w:rsidRPr="00640D4F">
              <w:rPr>
                <w:szCs w:val="16"/>
              </w:rPr>
              <w:br/>
              <w:t>Initial treatment - Initial 3 (recommencement of treatment after a break in biological medicine of more than 12 months)</w:t>
            </w:r>
            <w:r w:rsidRPr="00640D4F">
              <w:rPr>
                <w:szCs w:val="16"/>
              </w:rPr>
              <w:br/>
              <w:t>Must be treated by a paediatric rheumatologist; OR</w:t>
            </w:r>
            <w:r w:rsidRPr="00640D4F">
              <w:rPr>
                <w:szCs w:val="16"/>
              </w:rPr>
              <w:br/>
              <w:t>Patient must be undergoing treatment under the supervision of a paediatric rheumatology treatment centre.</w:t>
            </w:r>
            <w:r w:rsidRPr="00640D4F">
              <w:rPr>
                <w:szCs w:val="16"/>
              </w:rPr>
              <w:br/>
              <w:t>Patient must have previously received PBS-subsidised treatment with a biological medicine for this condition; AND</w:t>
            </w:r>
            <w:r w:rsidRPr="00640D4F">
              <w:rPr>
                <w:szCs w:val="16"/>
              </w:rPr>
              <w:br/>
              <w:t>Patient must have had a break in treatment of 12 months or more from the most recently approved PBS-subsidised biological medicine for this condition; AND</w:t>
            </w:r>
            <w:r w:rsidRPr="00640D4F">
              <w:rPr>
                <w:szCs w:val="16"/>
              </w:rPr>
              <w:br/>
              <w:t>The condition must have either (a) a total active joint count of at least 20 active (swollen and tender) joints; or (b) at least 4 active major joints; AND</w:t>
            </w:r>
            <w:r w:rsidRPr="00640D4F">
              <w:rPr>
                <w:szCs w:val="16"/>
              </w:rPr>
              <w:br/>
              <w:t>Patient must not receive more than 16 weeks of treatment under this restriction.</w:t>
            </w:r>
            <w:r w:rsidRPr="00640D4F">
              <w:rPr>
                <w:szCs w:val="16"/>
              </w:rPr>
              <w:br/>
              <w:t>Active joints are defined as:</w:t>
            </w:r>
            <w:r w:rsidRPr="00640D4F">
              <w:rPr>
                <w:szCs w:val="16"/>
              </w:rPr>
              <w:br/>
              <w:t>(i) elbow, wrist, knee and/or ankle (assessed as swollen and tender); and/or</w:t>
            </w:r>
            <w:r w:rsidRPr="00640D4F">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All measures of joint count must be no more than 4 weeks old at the time of this application.</w:t>
            </w:r>
            <w:r w:rsidRPr="00640D4F">
              <w:rPr>
                <w:szCs w:val="16"/>
              </w:rPr>
              <w:br/>
              <w:t>Where the baseline active joint count is based on total active joints (i.e. more than 20 active joints), response will be determined according to the reduction in the total number of active joints. Where the baseline is determined on total number of active joints, the response must be demonstrated on the total number of active joints.</w:t>
            </w:r>
            <w:r w:rsidRPr="00640D4F">
              <w:rPr>
                <w:szCs w:val="16"/>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Juvenile Idiopathic Arthritis PBS Authority Application - Supporting Information Form.</w:t>
            </w:r>
            <w:r w:rsidRPr="00640D4F">
              <w:rPr>
                <w:szCs w:val="16"/>
              </w:rPr>
              <w:br/>
              <w:t>An application for a patient who has received PBS-subsidised biological medicine treatment for this condition who wishes to recommence therapy with this drug, must be accompanied by evidence of a response to the patient</w:t>
            </w:r>
            <w:r w:rsidR="00A653CA">
              <w:rPr>
                <w:szCs w:val="16"/>
              </w:rPr>
              <w:t>’</w:t>
            </w:r>
            <w:r w:rsidRPr="00640D4F">
              <w:rPr>
                <w:szCs w:val="16"/>
              </w:rPr>
              <w:t>s most recent course of PBS-subsidised biological medicine treatment, within the timeframes specified below.</w:t>
            </w:r>
            <w:r w:rsidRPr="00640D4F">
              <w:rPr>
                <w:szCs w:val="16"/>
              </w:rPr>
              <w:br/>
              <w:t>Where the most recent course of PBS-subsidised biological medicine treatment was approved under either Initial 1, Initial 2, Initial 3 or continuing treatment restrictions, an assessment of a patient</w:t>
            </w:r>
            <w:r w:rsidR="00A653CA">
              <w:rPr>
                <w:szCs w:val="16"/>
              </w:rPr>
              <w:t>’</w:t>
            </w:r>
            <w:r w:rsidRPr="00640D4F">
              <w:rPr>
                <w:szCs w:val="16"/>
              </w:rPr>
              <w:t>s response must have been conducted following a minimum of 12 weeks of therapy and submitted no later than 4 weeks from the date of completion of treatment.</w:t>
            </w:r>
            <w:r w:rsidRPr="00640D4F">
              <w:rPr>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640D4F">
              <w:rPr>
                <w:szCs w:val="16"/>
              </w:rPr>
              <w:br/>
              <w:t>Where the response assessment is not submitted within this timeframe, the patient will be deemed to have failed to respond to treatment with this drug.</w:t>
            </w:r>
            <w:r w:rsidRPr="00640D4F">
              <w:rPr>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5C4E1C" w:rsidRPr="00640D4F" w:rsidRDefault="005C4E1C" w:rsidP="004722CF">
            <w:pPr>
              <w:pStyle w:val="mps3-data"/>
              <w:rPr>
                <w:szCs w:val="16"/>
              </w:rPr>
            </w:pPr>
            <w:r w:rsidRPr="00640D4F">
              <w:rPr>
                <w:szCs w:val="16"/>
              </w:rPr>
              <w:t>Compliance with Written Authority Required procedures</w:t>
            </w:r>
          </w:p>
        </w:tc>
      </w:tr>
      <w:tr w:rsidR="005C4E1C" w:rsidRPr="009543FA" w:rsidDel="006712FA" w:rsidTr="008929EB">
        <w:tc>
          <w:tcPr>
            <w:tcW w:w="172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p>
        </w:tc>
        <w:tc>
          <w:tcPr>
            <w:tcW w:w="70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C10567</w:t>
            </w:r>
          </w:p>
        </w:tc>
        <w:tc>
          <w:tcPr>
            <w:tcW w:w="709" w:type="dxa"/>
            <w:tcBorders>
              <w:bottom w:val="single" w:sz="4" w:space="0" w:color="auto"/>
            </w:tcBorders>
            <w:shd w:val="clear" w:color="auto" w:fill="auto"/>
            <w:tcMar>
              <w:top w:w="28" w:type="dxa"/>
              <w:left w:w="28" w:type="dxa"/>
            </w:tcMar>
          </w:tcPr>
          <w:p w:rsidR="005C4E1C" w:rsidRPr="00640D4F" w:rsidDel="00E03489" w:rsidRDefault="005C4E1C" w:rsidP="004722CF">
            <w:pPr>
              <w:pStyle w:val="mps3-data"/>
              <w:rPr>
                <w:szCs w:val="16"/>
              </w:rPr>
            </w:pPr>
          </w:p>
        </w:tc>
        <w:tc>
          <w:tcPr>
            <w:tcW w:w="7654"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Systemic juvenile idiopathic arthritis</w:t>
            </w:r>
            <w:r w:rsidRPr="00640D4F">
              <w:rPr>
                <w:szCs w:val="16"/>
              </w:rPr>
              <w:br/>
              <w:t>Initial treatment - Initial 2 (retrial or recommencement of treatment after a break of less than 12 months)</w:t>
            </w:r>
            <w:r w:rsidRPr="00640D4F">
              <w:rPr>
                <w:szCs w:val="16"/>
              </w:rPr>
              <w:br/>
              <w:t>Patient must have received prior PBS-subsidised treatment with this drug for this condition in the previous 12 months; AND</w:t>
            </w:r>
            <w:r w:rsidRPr="00640D4F">
              <w:rPr>
                <w:szCs w:val="16"/>
              </w:rPr>
              <w:br/>
              <w:t>Patient must not have already failed, or ceased to respond to, PBS-subsidised treatment with this drug more than once during the current treatment cycle; AND</w:t>
            </w:r>
            <w:r w:rsidRPr="00640D4F">
              <w:rPr>
                <w:szCs w:val="16"/>
              </w:rPr>
              <w:br/>
              <w:t>Patient must not receive more than 16 weeks of treatment under this restriction.</w:t>
            </w:r>
            <w:r w:rsidRPr="00640D4F">
              <w:rPr>
                <w:szCs w:val="16"/>
              </w:rPr>
              <w:br/>
              <w:t>Patient must be under 18 years of age.</w:t>
            </w:r>
            <w:r w:rsidRPr="00640D4F">
              <w:rPr>
                <w:szCs w:val="16"/>
              </w:rPr>
              <w:br/>
              <w:t>Must be treated by a rheumatologist; OR</w:t>
            </w:r>
            <w:r w:rsidRPr="00640D4F">
              <w:rPr>
                <w:szCs w:val="16"/>
              </w:rPr>
              <w:br/>
              <w:t>Patient must be undergoing treatment under the supervision of a paediatric rheumatology treatment centre.</w:t>
            </w:r>
            <w:r w:rsidRPr="00640D4F">
              <w:rPr>
                <w:szCs w:val="16"/>
              </w:rPr>
              <w:br/>
              <w:t>An adequate response to treatment is defined as:</w:t>
            </w:r>
            <w:r w:rsidRPr="00640D4F">
              <w:rPr>
                <w:szCs w:val="16"/>
              </w:rPr>
              <w:br/>
              <w:t>(a) in a patient with polyarticular course disease:</w:t>
            </w:r>
            <w:r w:rsidRPr="00640D4F">
              <w:rPr>
                <w:szCs w:val="16"/>
              </w:rPr>
              <w:br/>
              <w:t>(i) a reduction in the total active (swollen and tender) joint count by at least 50% from baseline, where baseline is at least 20 active joints; or</w:t>
            </w:r>
            <w:r w:rsidRPr="00640D4F">
              <w:rPr>
                <w:szCs w:val="16"/>
              </w:rPr>
              <w:br/>
              <w:t>(ii) a reduction in the number of the following major active joints, from at least 4, by at least 50%:</w:t>
            </w:r>
            <w:r w:rsidRPr="00640D4F">
              <w:rPr>
                <w:szCs w:val="16"/>
              </w:rPr>
              <w:br/>
              <w:t>- elbow, wrist, knee and/or ankle (assessed as swollen and tender); and/or</w:t>
            </w:r>
            <w:r w:rsidRPr="00640D4F">
              <w:rPr>
                <w:szCs w:val="16"/>
              </w:rPr>
              <w:br/>
              <w:t>-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(b) in a patient with refractory systemic symptoms:</w:t>
            </w:r>
            <w:r w:rsidRPr="00640D4F">
              <w:rPr>
                <w:szCs w:val="16"/>
              </w:rPr>
              <w:br/>
              <w:t>(i) absence of fever greater than 38 degrees Celsius in the preceding seven days; and/or</w:t>
            </w:r>
            <w:r w:rsidRPr="00640D4F">
              <w:rPr>
                <w:szCs w:val="16"/>
              </w:rPr>
              <w:br/>
              <w:t>(ii) a reduction in the C-reactive protein (CRP) level and platelet count by at least 30% from baseline; and/or</w:t>
            </w:r>
            <w:r w:rsidRPr="00640D4F">
              <w:rPr>
                <w:szCs w:val="16"/>
              </w:rPr>
              <w:br/>
              <w:t>(iii) a reduction in the dose of corticosteroid by at least 30% from baseline.</w:t>
            </w:r>
            <w:r w:rsidRPr="00640D4F">
              <w:rPr>
                <w:szCs w:val="16"/>
              </w:rPr>
              <w:br/>
              <w:t>At the time of authority application, the medical practitioner must request the appropriate number of vials of appropriate strength to provide sufficient drug, based on the weight of the patient, for two infusions (one month</w:t>
            </w:r>
            <w:r w:rsidR="00A653CA">
              <w:rPr>
                <w:szCs w:val="16"/>
              </w:rPr>
              <w:t>’</w:t>
            </w:r>
            <w:r w:rsidRPr="00640D4F">
              <w:rPr>
                <w:szCs w:val="16"/>
              </w:rPr>
              <w:t>s supply). A separate authority prescription form must be completed for each strength requested. Up to a maximum of 3 repeats will be authorised.</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Systemic Juvenile Idiopathic Arthritis PBS Authority Application - Supporting Information Form which includes pathology reports detailing C-reactive protein (CRP) level and platelet count where appropriate.</w:t>
            </w:r>
            <w:r w:rsidRPr="00640D4F">
              <w:rPr>
                <w:szCs w:val="16"/>
              </w:rPr>
              <w:br/>
              <w:t>An application for a patient who has received PBS-subsidised biological medicine treatment for this condition who wishes to retrial or recommence therapy with this drug, must be accompanied by evidence of a response to the patient</w:t>
            </w:r>
            <w:r w:rsidR="00A653CA">
              <w:rPr>
                <w:szCs w:val="16"/>
              </w:rPr>
              <w:t>’</w:t>
            </w:r>
            <w:r w:rsidRPr="00640D4F">
              <w:rPr>
                <w:szCs w:val="16"/>
              </w:rPr>
              <w:t>s most recent course of PBS-subsidised biological medicine treatment, within the timeframes specified below.</w:t>
            </w:r>
            <w:r w:rsidRPr="00640D4F">
              <w:rPr>
                <w:szCs w:val="16"/>
              </w:rPr>
              <w:br/>
              <w:t>The assessment of the patient</w:t>
            </w:r>
            <w:r w:rsidR="00A653CA">
              <w:rPr>
                <w:szCs w:val="16"/>
              </w:rPr>
              <w:t>’</w:t>
            </w:r>
            <w:r w:rsidRPr="00640D4F">
              <w:rPr>
                <w:szCs w:val="16"/>
              </w:rPr>
              <w:t>s response to the most recent course of biological medicine must be conducted following a minimum of 12 weeks of treatment and no later than 4 weeks from the cessation of that treatment course. If the response assessment is not conducted within these timeframes, the patient will be deemed to have failed that most recent course of treatment in this treatment cycle.</w:t>
            </w:r>
            <w:r w:rsidRPr="00640D4F">
              <w:rPr>
                <w:szCs w:val="16"/>
              </w:rPr>
              <w:br/>
              <w:t>If a patient fails to demonstrate a response to 2 courses of treatment with this drug they will not be eligible to receive further PBS-subsidised treatment with this drug for this condition in the current treatment cycle. A serious adverse reaction of a severity requiring permanent withdrawal of treatment is not considered as a treatment failure.</w:t>
            </w:r>
            <w:r w:rsidRPr="00640D4F">
              <w:rPr>
                <w:szCs w:val="16"/>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p>
        </w:tc>
        <w:tc>
          <w:tcPr>
            <w:tcW w:w="2552" w:type="dxa"/>
            <w:tcBorders>
              <w:bottom w:val="single" w:sz="4" w:space="0" w:color="auto"/>
            </w:tcBorders>
            <w:shd w:val="clear" w:color="auto" w:fill="auto"/>
            <w:tcMar>
              <w:top w:w="28" w:type="dxa"/>
              <w:left w:w="28" w:type="dxa"/>
              <w:right w:w="57" w:type="dxa"/>
            </w:tcMar>
          </w:tcPr>
          <w:p w:rsidR="005C4E1C" w:rsidRPr="00640D4F" w:rsidRDefault="005C4E1C" w:rsidP="004722CF">
            <w:pPr>
              <w:pStyle w:val="mps3-data"/>
              <w:rPr>
                <w:szCs w:val="16"/>
              </w:rPr>
            </w:pPr>
            <w:r w:rsidRPr="00640D4F">
              <w:rPr>
                <w:szCs w:val="16"/>
              </w:rPr>
              <w:t>Compliance with Written Authority Required procedures</w:t>
            </w:r>
          </w:p>
        </w:tc>
      </w:tr>
      <w:tr w:rsidR="005C4E1C" w:rsidRPr="007877C7" w:rsidDel="006712FA" w:rsidTr="008929EB">
        <w:tc>
          <w:tcPr>
            <w:tcW w:w="172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p>
        </w:tc>
        <w:tc>
          <w:tcPr>
            <w:tcW w:w="70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C10570</w:t>
            </w:r>
          </w:p>
        </w:tc>
        <w:tc>
          <w:tcPr>
            <w:tcW w:w="709" w:type="dxa"/>
            <w:tcBorders>
              <w:bottom w:val="single" w:sz="4" w:space="0" w:color="auto"/>
            </w:tcBorders>
            <w:shd w:val="clear" w:color="auto" w:fill="auto"/>
            <w:tcMar>
              <w:top w:w="28" w:type="dxa"/>
              <w:left w:w="28" w:type="dxa"/>
            </w:tcMar>
          </w:tcPr>
          <w:p w:rsidR="005C4E1C" w:rsidRPr="00640D4F" w:rsidDel="00E03489" w:rsidRDefault="005C4E1C" w:rsidP="004722CF">
            <w:pPr>
              <w:pStyle w:val="mps3-data"/>
              <w:rPr>
                <w:szCs w:val="16"/>
              </w:rPr>
            </w:pPr>
          </w:p>
        </w:tc>
        <w:tc>
          <w:tcPr>
            <w:tcW w:w="7654"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Systemic juvenile idiopathic arthritis</w:t>
            </w:r>
            <w:r w:rsidRPr="00640D4F">
              <w:rPr>
                <w:szCs w:val="16"/>
              </w:rPr>
              <w:br/>
              <w:t>Balance of supply for Initial treatment - Initial 1 (new patient) or Initial 2 (retrial or recommencement of treatment after a break of less than 12 months) or Initial 3 (recommencement of treatment after a break of more than 12 months)</w:t>
            </w:r>
            <w:r w:rsidRPr="00640D4F">
              <w:rPr>
                <w:szCs w:val="16"/>
              </w:rPr>
              <w:br/>
              <w:t>Patient must have received insufficient therapy with this drug for this condition under the Initial 1 (new patient) restriction to complete 16 weeks treatment; OR</w:t>
            </w:r>
            <w:r w:rsidRPr="00640D4F">
              <w:rPr>
                <w:szCs w:val="16"/>
              </w:rPr>
              <w:br/>
              <w:t>Patient must have received insufficient therapy with this drug for this condition under the Initial 2 (retrial or recommencement of treatment after a break of less than 12 months) restriction to complete 16 weeks treatment; OR</w:t>
            </w:r>
            <w:r w:rsidRPr="00640D4F">
              <w:rPr>
                <w:szCs w:val="16"/>
              </w:rPr>
              <w:br/>
              <w:t>Patient must have received insufficient therapy with this drug for this condition under Initial 3 (recommencement of treatment after a break of more than 12 months) restriction to complete 16 weeks treatment; AND</w:t>
            </w:r>
            <w:r w:rsidRPr="00640D4F">
              <w:rPr>
                <w:szCs w:val="16"/>
              </w:rPr>
              <w:br/>
              <w:t>The treatment must provide no more than the balance of up to 16 weeks therapy available under Initial 1, 2 or 3 treatment.</w:t>
            </w:r>
            <w:r w:rsidRPr="00640D4F">
              <w:rPr>
                <w:szCs w:val="16"/>
              </w:rPr>
              <w:br/>
              <w:t>Must be treated by a rheumatologist; OR</w:t>
            </w:r>
            <w:r w:rsidRPr="00640D4F">
              <w:rPr>
                <w:szCs w:val="16"/>
              </w:rPr>
              <w:br/>
              <w:t>Patient must be undergoing treatment under the supervision of a paediatric rheumatology treatment centre.</w:t>
            </w:r>
          </w:p>
        </w:tc>
        <w:tc>
          <w:tcPr>
            <w:tcW w:w="2552" w:type="dxa"/>
            <w:tcBorders>
              <w:bottom w:val="single" w:sz="4" w:space="0" w:color="auto"/>
            </w:tcBorders>
            <w:shd w:val="clear" w:color="auto" w:fill="auto"/>
            <w:tcMar>
              <w:top w:w="28" w:type="dxa"/>
              <w:left w:w="28" w:type="dxa"/>
              <w:right w:w="57" w:type="dxa"/>
            </w:tcMar>
          </w:tcPr>
          <w:p w:rsidR="005C4E1C" w:rsidRPr="00640D4F" w:rsidRDefault="005C4E1C" w:rsidP="004722CF">
            <w:pPr>
              <w:pStyle w:val="mps3-data"/>
              <w:rPr>
                <w:szCs w:val="16"/>
              </w:rPr>
            </w:pPr>
            <w:r w:rsidRPr="00640D4F">
              <w:rPr>
                <w:szCs w:val="16"/>
              </w:rPr>
              <w:t>Compliance with Authority Required procedures</w:t>
            </w:r>
          </w:p>
        </w:tc>
      </w:tr>
      <w:tr w:rsidR="005C4E1C" w:rsidRPr="007877C7" w:rsidDel="006712FA" w:rsidTr="008929EB">
        <w:tc>
          <w:tcPr>
            <w:tcW w:w="172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p>
        </w:tc>
        <w:tc>
          <w:tcPr>
            <w:tcW w:w="70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C10571</w:t>
            </w:r>
          </w:p>
        </w:tc>
        <w:tc>
          <w:tcPr>
            <w:tcW w:w="709" w:type="dxa"/>
            <w:tcBorders>
              <w:bottom w:val="single" w:sz="4" w:space="0" w:color="auto"/>
            </w:tcBorders>
            <w:shd w:val="clear" w:color="auto" w:fill="auto"/>
            <w:tcMar>
              <w:top w:w="28" w:type="dxa"/>
              <w:left w:w="28" w:type="dxa"/>
            </w:tcMar>
          </w:tcPr>
          <w:p w:rsidR="005C4E1C" w:rsidRPr="00640D4F" w:rsidDel="00E03489" w:rsidRDefault="005C4E1C" w:rsidP="004722CF">
            <w:pPr>
              <w:pStyle w:val="mps3-data"/>
              <w:rPr>
                <w:szCs w:val="16"/>
              </w:rPr>
            </w:pPr>
          </w:p>
        </w:tc>
        <w:tc>
          <w:tcPr>
            <w:tcW w:w="7654"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Systemic juvenile idiopathic arthritis</w:t>
            </w:r>
            <w:r w:rsidRPr="00640D4F">
              <w:rPr>
                <w:szCs w:val="16"/>
              </w:rPr>
              <w:br/>
              <w:t>Balance of supply - Continuing treatment</w:t>
            </w:r>
            <w:r w:rsidRPr="00640D4F">
              <w:rPr>
                <w:szCs w:val="16"/>
              </w:rPr>
              <w:br/>
              <w:t>Patient must have received insufficient therapy with this drug for this condition under the continuing treatment restriction to complete 24 weeks treatment; AND</w:t>
            </w:r>
            <w:r w:rsidRPr="00640D4F">
              <w:rPr>
                <w:szCs w:val="16"/>
              </w:rPr>
              <w:br/>
              <w:t>The treatment must provide no more than the balance of up to 24 weeks therapy available under Continuing treatment.</w:t>
            </w:r>
            <w:r w:rsidRPr="00640D4F">
              <w:rPr>
                <w:szCs w:val="16"/>
              </w:rPr>
              <w:br/>
              <w:t>Must be treated by a rheumatologist; OR</w:t>
            </w:r>
            <w:r w:rsidRPr="00640D4F">
              <w:rPr>
                <w:szCs w:val="16"/>
              </w:rPr>
              <w:br/>
              <w:t>Patient must be undergoing treatment under the supervision of a paediatric rheumatology treatment centre.</w:t>
            </w:r>
          </w:p>
        </w:tc>
        <w:tc>
          <w:tcPr>
            <w:tcW w:w="2552" w:type="dxa"/>
            <w:tcBorders>
              <w:bottom w:val="single" w:sz="4" w:space="0" w:color="auto"/>
            </w:tcBorders>
            <w:shd w:val="clear" w:color="auto" w:fill="auto"/>
            <w:tcMar>
              <w:top w:w="28" w:type="dxa"/>
              <w:left w:w="28" w:type="dxa"/>
              <w:right w:w="57" w:type="dxa"/>
            </w:tcMar>
          </w:tcPr>
          <w:p w:rsidR="005C4E1C" w:rsidRPr="00640D4F" w:rsidRDefault="005C4E1C" w:rsidP="004722CF">
            <w:pPr>
              <w:pStyle w:val="mps3-data"/>
              <w:rPr>
                <w:szCs w:val="16"/>
              </w:rPr>
            </w:pPr>
            <w:r w:rsidRPr="00640D4F">
              <w:rPr>
                <w:szCs w:val="16"/>
              </w:rPr>
              <w:t>Compliance with Authority Required procedures</w:t>
            </w:r>
          </w:p>
        </w:tc>
      </w:tr>
      <w:tr w:rsidR="005C4E1C" w:rsidRPr="007877C7" w:rsidDel="006712FA" w:rsidTr="008929EB">
        <w:tc>
          <w:tcPr>
            <w:tcW w:w="172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p>
        </w:tc>
        <w:tc>
          <w:tcPr>
            <w:tcW w:w="709"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C10616</w:t>
            </w:r>
          </w:p>
        </w:tc>
        <w:tc>
          <w:tcPr>
            <w:tcW w:w="709" w:type="dxa"/>
            <w:tcBorders>
              <w:bottom w:val="single" w:sz="4" w:space="0" w:color="auto"/>
            </w:tcBorders>
            <w:shd w:val="clear" w:color="auto" w:fill="auto"/>
            <w:tcMar>
              <w:top w:w="28" w:type="dxa"/>
              <w:left w:w="28" w:type="dxa"/>
            </w:tcMar>
          </w:tcPr>
          <w:p w:rsidR="005C4E1C" w:rsidRPr="00640D4F" w:rsidDel="00E03489" w:rsidRDefault="005C4E1C" w:rsidP="004722CF">
            <w:pPr>
              <w:pStyle w:val="mps3-data"/>
              <w:rPr>
                <w:szCs w:val="16"/>
              </w:rPr>
            </w:pPr>
          </w:p>
        </w:tc>
        <w:tc>
          <w:tcPr>
            <w:tcW w:w="7654" w:type="dxa"/>
            <w:tcBorders>
              <w:bottom w:val="single" w:sz="4" w:space="0" w:color="auto"/>
            </w:tcBorders>
            <w:shd w:val="clear" w:color="auto" w:fill="auto"/>
            <w:tcMar>
              <w:top w:w="28" w:type="dxa"/>
              <w:left w:w="28" w:type="dxa"/>
            </w:tcMar>
          </w:tcPr>
          <w:p w:rsidR="005C4E1C" w:rsidRPr="00640D4F" w:rsidRDefault="005C4E1C" w:rsidP="004722CF">
            <w:pPr>
              <w:pStyle w:val="mps3-data"/>
              <w:rPr>
                <w:szCs w:val="16"/>
              </w:rPr>
            </w:pPr>
            <w:r w:rsidRPr="00640D4F">
              <w:rPr>
                <w:szCs w:val="16"/>
              </w:rPr>
              <w:t>Severe active juvenile idiopathic arthritis</w:t>
            </w:r>
            <w:r w:rsidRPr="00640D4F">
              <w:rPr>
                <w:szCs w:val="16"/>
              </w:rPr>
              <w:br/>
              <w:t>Initial treatment - Initial 1 (new patient)</w:t>
            </w:r>
            <w:r w:rsidRPr="00640D4F">
              <w:rPr>
                <w:szCs w:val="16"/>
              </w:rPr>
              <w:br/>
              <w:t>Must be treated by a paediatric rheumatologist; OR</w:t>
            </w:r>
            <w:r w:rsidRPr="00640D4F">
              <w:rPr>
                <w:szCs w:val="16"/>
              </w:rPr>
              <w:br/>
              <w:t>Patient must be undergoing treatment under the supervision of a paediatric rheumatology treatment centre.</w:t>
            </w:r>
            <w:r w:rsidRPr="00640D4F">
              <w:rPr>
                <w:szCs w:val="16"/>
              </w:rPr>
              <w:br/>
              <w:t>Patient must not have received PBS-subsidised treatment with a biological medicine for this condition; AND</w:t>
            </w:r>
            <w:r w:rsidRPr="00640D4F">
              <w:rPr>
                <w:szCs w:val="16"/>
              </w:rPr>
              <w:br/>
              <w:t>Patient must have demonstrated severe intolerance of, or toxicity due to, methotrexate; OR</w:t>
            </w:r>
            <w:r w:rsidRPr="00640D4F">
              <w:rPr>
                <w:szCs w:val="16"/>
              </w:rPr>
              <w:br/>
              <w:t>Patient must have demonstrated failure to achieve an adequate response to 1 or more of the following treatment regimens: (i) oral or parenteral methotrexate at a dose of at least 20 mg per square metre weekly, alone or in combination with oral or intra-articular corticosteroids, for a minimum of 3 months; or (ii) oral methotrexate at a dose of at least 10 mg per square metre weekly together with at least 1 other disease modifying anti-rheumatic drug (DMARD), alone or in combination with corticosteroids, for a minimum of 3 months; AND</w:t>
            </w:r>
            <w:r w:rsidRPr="00640D4F">
              <w:rPr>
                <w:szCs w:val="16"/>
              </w:rPr>
              <w:br/>
              <w:t>Patient must not receive more than 16 weeks of treatment under this restriction.</w:t>
            </w:r>
            <w:r w:rsidRPr="00640D4F">
              <w:rPr>
                <w:szCs w:val="16"/>
              </w:rPr>
              <w:br/>
              <w:t>Patient must be under 18 years of age.</w:t>
            </w:r>
            <w:r w:rsidRPr="00640D4F">
              <w:rPr>
                <w:szCs w:val="16"/>
              </w:rPr>
              <w:br/>
              <w:t>Severe intolerance to methotrexate is defined as intractable nausea and vomiting and general malaise unresponsive to manoeuvres, including reducing or omitting concomitant non-steroidal anti-inflammatory drugs (NSAIDs) on the day of methotrexate administration, use of folic acid supplementation, or administering the dose of methotrexate in 2 divided doses over 24 hours.</w:t>
            </w:r>
            <w:r w:rsidRPr="00640D4F">
              <w:rPr>
                <w:szCs w:val="16"/>
              </w:rPr>
              <w:br/>
              <w:t>Toxicity due to methotrexate is defined as evidence of hepatotoxicity with repeated elevations of transaminases, bone marrow suppression temporally related to methotrexate use, pneumonitis, or serious sepsis.</w:t>
            </w:r>
            <w:r w:rsidRPr="00640D4F">
              <w:rPr>
                <w:szCs w:val="16"/>
              </w:rPr>
              <w:br/>
              <w:t>If treatment with methotrexate alone or in combination with another DMARD is contraindicated according to the relevant TGA-approved Product Information, details must be provided at the time of application.</w:t>
            </w:r>
            <w:r w:rsidRPr="00640D4F">
              <w:rPr>
                <w:szCs w:val="16"/>
              </w:rPr>
              <w:br/>
              <w:t>If intolerance to treatment develops during the relevant period of use, which is of a severity necessitating permanent treatment withdrawal, details of this toxicity must be provided at the time of application.</w:t>
            </w:r>
            <w:r w:rsidRPr="00640D4F">
              <w:rPr>
                <w:szCs w:val="16"/>
              </w:rPr>
              <w:br/>
              <w:t>The following criteria indicate failure to achieve an adequate response and must be demonstrated in all patients at the time of the initial application:</w:t>
            </w:r>
            <w:r w:rsidRPr="00640D4F">
              <w:rPr>
                <w:szCs w:val="16"/>
              </w:rPr>
              <w:br/>
              <w:t>(a) an active joint count of at least 20 active (swollen and tender) joints; OR</w:t>
            </w:r>
            <w:r w:rsidRPr="00640D4F">
              <w:rPr>
                <w:szCs w:val="16"/>
              </w:rPr>
              <w:br/>
              <w:t>(b) at least 4 active joints from the following list:</w:t>
            </w:r>
            <w:r w:rsidRPr="00640D4F">
              <w:rPr>
                <w:szCs w:val="16"/>
              </w:rPr>
              <w:br/>
              <w:t>(i) elbow, wrist, knee and/or ankle (assessed as swollen and tender); and/or</w:t>
            </w:r>
            <w:r w:rsidRPr="00640D4F">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The joint count assessment must be performed preferably whilst still on DMARD treatment, but no longer than 4 weeks following cessation of the most recent prior treatment.</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Juvenile Idiopathic Arthritis PBS Authority Application - Supporting Information Form.</w:t>
            </w:r>
            <w:r w:rsidRPr="00640D4F">
              <w:rPr>
                <w:szCs w:val="16"/>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640D4F">
              <w:rPr>
                <w:szCs w:val="16"/>
              </w:rPr>
              <w:br/>
              <w:t>An assessment of a patient</w:t>
            </w:r>
            <w:r w:rsidR="00A653CA">
              <w:rPr>
                <w:szCs w:val="16"/>
              </w:rPr>
              <w:t>’</w:t>
            </w:r>
            <w:r w:rsidRPr="00640D4F">
              <w:rPr>
                <w:szCs w:val="16"/>
              </w:rPr>
              <w: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r w:rsidRPr="00640D4F">
              <w:rPr>
                <w:szCs w:val="16"/>
              </w:rPr>
              <w:br/>
              <w:t>Where the response assessment is not submitted within this timeframe, the patient will be deemed to have failed to respond to treatment with this drug.</w:t>
            </w:r>
            <w:r w:rsidRPr="00640D4F">
              <w:rPr>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5C4E1C" w:rsidRPr="006406D1" w:rsidRDefault="005C4E1C" w:rsidP="004722CF">
            <w:pPr>
              <w:pStyle w:val="mps3-data"/>
              <w:rPr>
                <w:szCs w:val="16"/>
              </w:rPr>
            </w:pPr>
            <w:r w:rsidRPr="00640D4F">
              <w:rPr>
                <w:szCs w:val="16"/>
              </w:rPr>
              <w:t>Compliance with Written Authority Required procedures</w:t>
            </w:r>
          </w:p>
        </w:tc>
      </w:tr>
      <w:tr w:rsidR="005C4E1C" w:rsidRPr="00E106BD" w:rsidDel="00F51209" w:rsidTr="008929EB">
        <w:tc>
          <w:tcPr>
            <w:tcW w:w="1729" w:type="dxa"/>
            <w:tcBorders>
              <w:bottom w:val="single" w:sz="4" w:space="0" w:color="auto"/>
            </w:tcBorders>
            <w:shd w:val="clear" w:color="auto" w:fill="auto"/>
            <w:tcMar>
              <w:top w:w="28" w:type="dxa"/>
              <w:left w:w="28" w:type="dxa"/>
            </w:tcMar>
          </w:tcPr>
          <w:p w:rsidR="005C4E1C" w:rsidRPr="00E106BD" w:rsidDel="00F51209" w:rsidRDefault="005C4E1C" w:rsidP="00881477">
            <w:pPr>
              <w:widowControl w:val="0"/>
              <w:spacing w:line="240" w:lineRule="auto"/>
              <w:rPr>
                <w:rFonts w:ascii="Arial" w:hAnsi="Arial" w:cs="Arial"/>
                <w:sz w:val="16"/>
                <w:szCs w:val="16"/>
              </w:rPr>
            </w:pPr>
            <w:r w:rsidRPr="00E106BD">
              <w:rPr>
                <w:rFonts w:ascii="Arial" w:hAnsi="Arial" w:cs="Arial"/>
                <w:sz w:val="16"/>
                <w:szCs w:val="16"/>
              </w:rPr>
              <w:t>Ustekinumab</w:t>
            </w:r>
          </w:p>
        </w:tc>
        <w:tc>
          <w:tcPr>
            <w:tcW w:w="709" w:type="dxa"/>
            <w:tcBorders>
              <w:bottom w:val="single" w:sz="4" w:space="0" w:color="auto"/>
            </w:tcBorders>
            <w:shd w:val="clear" w:color="auto" w:fill="auto"/>
            <w:tcMar>
              <w:top w:w="28" w:type="dxa"/>
              <w:left w:w="28" w:type="dxa"/>
            </w:tcMar>
          </w:tcPr>
          <w:p w:rsidR="005C4E1C" w:rsidRPr="00E106BD" w:rsidDel="00F51209" w:rsidRDefault="005C4E1C" w:rsidP="00881477">
            <w:pPr>
              <w:widowControl w:val="0"/>
              <w:spacing w:line="240" w:lineRule="auto"/>
              <w:rPr>
                <w:rFonts w:ascii="Arial" w:hAnsi="Arial" w:cs="Arial"/>
                <w:sz w:val="16"/>
                <w:szCs w:val="16"/>
              </w:rPr>
            </w:pPr>
            <w:r w:rsidRPr="00E106BD">
              <w:rPr>
                <w:rFonts w:ascii="Arial" w:hAnsi="Arial" w:cs="Arial"/>
                <w:sz w:val="16"/>
                <w:szCs w:val="16"/>
              </w:rPr>
              <w:t>C9655</w:t>
            </w:r>
          </w:p>
        </w:tc>
        <w:tc>
          <w:tcPr>
            <w:tcW w:w="709" w:type="dxa"/>
            <w:tcBorders>
              <w:bottom w:val="single" w:sz="4" w:space="0" w:color="auto"/>
            </w:tcBorders>
            <w:shd w:val="clear" w:color="auto" w:fill="auto"/>
            <w:tcMar>
              <w:top w:w="28" w:type="dxa"/>
              <w:left w:w="28" w:type="dxa"/>
            </w:tcMar>
          </w:tcPr>
          <w:p w:rsidR="005C4E1C" w:rsidRPr="00E106BD" w:rsidDel="00F51209"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Del="00F51209" w:rsidRDefault="005C4E1C" w:rsidP="00881477">
            <w:pPr>
              <w:pStyle w:val="mps3-data"/>
              <w:spacing w:before="0" w:after="0"/>
              <w:rPr>
                <w:rFonts w:eastAsiaTheme="minorHAnsi"/>
                <w:szCs w:val="16"/>
                <w:lang w:eastAsia="en-US"/>
              </w:rPr>
            </w:pPr>
            <w:r w:rsidRPr="00E106BD">
              <w:rPr>
                <w:rFonts w:eastAsiaTheme="minorHAnsi"/>
                <w:szCs w:val="16"/>
                <w:lang w:eastAsia="en-US"/>
              </w:rPr>
              <w:t>Severe Crohn disease</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2 (change or recommencement of treatment after a break in biological medicine of less than 5 years)</w:t>
            </w:r>
            <w:r w:rsidRPr="00E106BD">
              <w:rPr>
                <w:rFonts w:eastAsiaTheme="minorHAnsi"/>
                <w:szCs w:val="16"/>
                <w:lang w:eastAsia="en-US"/>
              </w:rPr>
              <w:br/>
              <w:t>Must be treated by a gastroenterologist (code 87); OR</w:t>
            </w:r>
            <w:r w:rsidRPr="00E106BD">
              <w:rPr>
                <w:rFonts w:eastAsiaTheme="minorHAnsi"/>
                <w:szCs w:val="16"/>
                <w:lang w:eastAsia="en-US"/>
              </w:rPr>
              <w:br/>
              <w:t>Must be treated by a consultant physician [internal medicine specialising in gastroenterology (code 81)]; OR</w:t>
            </w:r>
            <w:r w:rsidRPr="00E106BD">
              <w:rPr>
                <w:rFonts w:eastAsiaTheme="minorHAnsi"/>
                <w:szCs w:val="16"/>
                <w:lang w:eastAsia="en-US"/>
              </w:rPr>
              <w:br/>
              <w:t>Must be treated by a consultant physician [general medicine specialising in gastroenterology (code 82)].</w:t>
            </w:r>
            <w:r w:rsidRPr="00E106BD">
              <w:rPr>
                <w:rFonts w:eastAsiaTheme="minorHAnsi"/>
                <w:szCs w:val="16"/>
                <w:lang w:eastAsia="en-US"/>
              </w:rPr>
              <w:br/>
              <w:t>Patient must have received prior PBS</w:t>
            </w:r>
            <w:r>
              <w:rPr>
                <w:rFonts w:eastAsiaTheme="minorHAnsi"/>
                <w:szCs w:val="16"/>
                <w:lang w:eastAsia="en-US"/>
              </w:rPr>
              <w:noBreakHyphen/>
            </w:r>
            <w:r w:rsidRPr="00E106BD">
              <w:rPr>
                <w:rFonts w:eastAsiaTheme="minorHAnsi"/>
                <w:szCs w:val="16"/>
                <w:lang w:eastAsia="en-US"/>
              </w:rPr>
              <w:t>subsidised treatment with a biological medicine for this condition in this treatment cycle; AND</w:t>
            </w:r>
            <w:r w:rsidRPr="00E106BD">
              <w:rPr>
                <w:rFonts w:eastAsiaTheme="minorHAnsi"/>
                <w:szCs w:val="16"/>
                <w:lang w:eastAsia="en-US"/>
              </w:rPr>
              <w:br/>
              <w:t>Patient must not have failed, or ceased to respond to, PBS</w:t>
            </w:r>
            <w:r>
              <w:rPr>
                <w:rFonts w:eastAsiaTheme="minorHAnsi"/>
                <w:szCs w:val="16"/>
                <w:lang w:eastAsia="en-US"/>
              </w:rPr>
              <w:noBreakHyphen/>
            </w:r>
            <w:r w:rsidRPr="00E106BD">
              <w:rPr>
                <w:rFonts w:eastAsiaTheme="minorHAnsi"/>
                <w:szCs w:val="16"/>
                <w:lang w:eastAsia="en-US"/>
              </w:rPr>
              <w:t>subsidised treatment with this drug for this condition during the current treatment cycle; AND</w:t>
            </w:r>
            <w:r w:rsidRPr="00E106BD">
              <w:rPr>
                <w:rFonts w:eastAsiaTheme="minorHAnsi"/>
                <w:szCs w:val="16"/>
                <w:lang w:eastAsia="en-US"/>
              </w:rPr>
              <w:br/>
              <w:t>The treatment must not exceed a total of 2 doses to be administered at weeks 0 and 8 under this restriction.</w:t>
            </w:r>
            <w:r w:rsidRPr="00E106BD">
              <w:rPr>
                <w:rFonts w:eastAsiaTheme="minorHAnsi"/>
                <w:szCs w:val="16"/>
                <w:lang w:eastAsia="en-US"/>
              </w:rPr>
              <w:br/>
              <w:t>Patient must be aged 18 years or older.</w:t>
            </w:r>
            <w:r w:rsidRPr="00E106BD">
              <w:rPr>
                <w:rFonts w:eastAsiaTheme="minorHAnsi"/>
                <w:szCs w:val="16"/>
                <w:lang w:eastAsia="en-US"/>
              </w:rPr>
              <w:br/>
              <w:t>Applications for authorisation must be made in writing and must include:</w:t>
            </w:r>
            <w:r w:rsidRPr="00E106BD">
              <w:rPr>
                <w:rFonts w:eastAsiaTheme="minorHAnsi"/>
                <w:szCs w:val="16"/>
                <w:lang w:eastAsia="en-US"/>
              </w:rPr>
              <w:br/>
              <w:t>(a) two completed authority prescription forms; and</w:t>
            </w:r>
            <w:r w:rsidRPr="00E106BD">
              <w:rPr>
                <w:rFonts w:eastAsiaTheme="minorHAnsi"/>
                <w:szCs w:val="16"/>
                <w:lang w:eastAsia="en-US"/>
              </w:rPr>
              <w:br/>
              <w:t xml:space="preserve">(b) a completed Crohn Disease PBS Authority Application </w:t>
            </w:r>
            <w:r>
              <w:rPr>
                <w:rFonts w:eastAsiaTheme="minorHAnsi"/>
                <w:szCs w:val="16"/>
                <w:lang w:eastAsia="en-US"/>
              </w:rPr>
              <w:noBreakHyphen/>
            </w:r>
            <w:r w:rsidRPr="00E106BD">
              <w:rPr>
                <w:rFonts w:eastAsiaTheme="minorHAnsi"/>
                <w:szCs w:val="16"/>
                <w:lang w:eastAsia="en-US"/>
              </w:rPr>
              <w:t xml:space="preserve"> Supporting Information Form, which includes the following:</w:t>
            </w:r>
            <w:r w:rsidRPr="00E106BD">
              <w:rPr>
                <w:rFonts w:eastAsiaTheme="minorHAnsi"/>
                <w:szCs w:val="16"/>
                <w:lang w:eastAsia="en-US"/>
              </w:rPr>
              <w:br/>
              <w:t>(i) the completed Crohn Disease Activity Index (CDAI) Score calculation sheet including the date of the assessment of the patient</w:t>
            </w:r>
            <w:r w:rsidR="00A653CA">
              <w:rPr>
                <w:rFonts w:eastAsiaTheme="minorHAnsi"/>
                <w:szCs w:val="16"/>
                <w:lang w:eastAsia="en-US"/>
              </w:rPr>
              <w:t>’</w:t>
            </w:r>
            <w:r w:rsidRPr="00E106BD">
              <w:rPr>
                <w:rFonts w:eastAsiaTheme="minorHAnsi"/>
                <w:szCs w:val="16"/>
                <w:lang w:eastAsia="en-US"/>
              </w:rPr>
              <w:t>s condition, if relevant; or</w:t>
            </w:r>
            <w:r w:rsidRPr="00E106BD">
              <w:rPr>
                <w:rFonts w:eastAsiaTheme="minorHAnsi"/>
                <w:szCs w:val="16"/>
                <w:lang w:eastAsia="en-US"/>
              </w:rPr>
              <w:br/>
              <w:t>(ii) the reports and dates of the pathology or diagnostic imaging test(s) used to assess response to therapy for patients with short gut syndrome, extensive small intestine disease or an ostomy, if relevant; and</w:t>
            </w:r>
            <w:r w:rsidRPr="00E106BD">
              <w:rPr>
                <w:rFonts w:eastAsiaTheme="minorHAnsi"/>
                <w:szCs w:val="16"/>
                <w:lang w:eastAsia="en-US"/>
              </w:rPr>
              <w:br/>
              <w:t>(iii) the date of clinical assessment; and</w:t>
            </w:r>
            <w:r w:rsidRPr="00E106BD">
              <w:rPr>
                <w:rFonts w:eastAsiaTheme="minorHAnsi"/>
                <w:szCs w:val="16"/>
                <w:lang w:eastAsia="en-US"/>
              </w:rPr>
              <w:br/>
              <w:t>(iv) the details of prior biological medicine treatment including the details of date and duration of treatment.</w:t>
            </w:r>
            <w:r w:rsidRPr="00E106BD">
              <w:rPr>
                <w:rFonts w:eastAsiaTheme="minorHAnsi"/>
                <w:szCs w:val="16"/>
                <w:lang w:eastAsia="en-US"/>
              </w:rPr>
              <w:br/>
              <w:t>Two completed authority prescriptions should be submitted with every initial application for this drug. One prescription should be written under S100 (Highly Specialised Drugs) for a weight</w:t>
            </w:r>
            <w:r>
              <w:rPr>
                <w:rFonts w:eastAsiaTheme="minorHAnsi"/>
                <w:szCs w:val="16"/>
                <w:lang w:eastAsia="en-US"/>
              </w:rPr>
              <w:noBreakHyphen/>
            </w:r>
            <w:r w:rsidRPr="00E106BD">
              <w:rPr>
                <w:rFonts w:eastAsiaTheme="minorHAnsi"/>
                <w:szCs w:val="16"/>
                <w:lang w:eastAsia="en-US"/>
              </w:rPr>
              <w:t>based loading dose, containing a quantity of up to 4 vials of 130 mg and no repeats. The second prescription should be written under S85 (General) for 2 vials of 45 mg and no repeats.</w:t>
            </w:r>
            <w:r w:rsidRPr="00E106BD">
              <w:rPr>
                <w:rFonts w:eastAsiaTheme="minorHAnsi"/>
                <w:szCs w:val="16"/>
                <w:lang w:eastAsia="en-US"/>
              </w:rPr>
              <w:br/>
              <w:t>A maximum quantity of a weight based loading dose is up to 4 vials with no repeats and the subsequent first dose of 90 mg (2 vials of 45 mg) with no repeats provide for an initial 16 week course of this drug will be authorised.</w:t>
            </w:r>
            <w:r w:rsidRPr="00E106BD">
              <w:rPr>
                <w:rFonts w:eastAsiaTheme="minorHAnsi"/>
                <w:szCs w:val="16"/>
                <w:lang w:eastAsia="en-US"/>
              </w:rPr>
              <w:br/>
              <w:t>Where fewer than 6 vials in total are requested at the time of the application, authority approvals for a sufficient number of vials based on the patient</w:t>
            </w:r>
            <w:r w:rsidR="00A653CA">
              <w:rPr>
                <w:rFonts w:eastAsiaTheme="minorHAnsi"/>
                <w:szCs w:val="16"/>
                <w:lang w:eastAsia="en-US"/>
              </w:rPr>
              <w:t>’</w:t>
            </w:r>
            <w:r w:rsidRPr="00E106BD">
              <w:rPr>
                <w:rFonts w:eastAsiaTheme="minorHAnsi"/>
                <w:szCs w:val="16"/>
                <w:lang w:eastAsia="en-US"/>
              </w:rPr>
              <w:t>s weight to complete dosing at weeks 0 and 8 may be requested by telephone through the balance of supply restriction.</w:t>
            </w:r>
            <w:r w:rsidRPr="00E106BD">
              <w:rPr>
                <w:rFonts w:eastAsiaTheme="minorHAnsi"/>
                <w:szCs w:val="16"/>
                <w:lang w:eastAsia="en-US"/>
              </w:rPr>
              <w:br/>
              <w:t>Under no circumstances will telephone approvals be granted for initial authority applications, or for treatment that would otherwise extend the initial treatment period.</w:t>
            </w:r>
            <w:r w:rsidRPr="00E106BD">
              <w:rPr>
                <w:rFonts w:eastAsiaTheme="minorHAnsi"/>
                <w:szCs w:val="16"/>
                <w:lang w:eastAsia="en-US"/>
              </w:rPr>
              <w:br/>
              <w:t>To demonstrate a response to treatment the application must be accompanied by the results of the most recent course of biological medicine therapy within the timeframes specified in the relevant restriction.</w:t>
            </w:r>
            <w:r w:rsidRPr="00E106BD">
              <w:rPr>
                <w:rFonts w:eastAsiaTheme="minorHAnsi"/>
                <w:szCs w:val="16"/>
                <w:lang w:eastAsia="en-US"/>
              </w:rPr>
              <w:br/>
              <w:t>Where the most recent course of PBS</w:t>
            </w:r>
            <w:r>
              <w:rPr>
                <w:rFonts w:eastAsiaTheme="minorHAnsi"/>
                <w:szCs w:val="16"/>
                <w:lang w:eastAsia="en-US"/>
              </w:rPr>
              <w:noBreakHyphen/>
            </w:r>
            <w:r w:rsidRPr="00E106BD">
              <w:rPr>
                <w:rFonts w:eastAsiaTheme="minorHAnsi"/>
                <w:szCs w:val="16"/>
                <w:lang w:eastAsia="en-US"/>
              </w:rPr>
              <w:t>subsidised biological medicine treatment was approved under either Initial 1, Initial 2, Initial 3 or continuing treatment restrictions, an assessment of a patient</w:t>
            </w:r>
            <w:r w:rsidR="00A653CA">
              <w:rPr>
                <w:rFonts w:eastAsiaTheme="minorHAnsi"/>
                <w:szCs w:val="16"/>
                <w:lang w:eastAsia="en-US"/>
              </w:rPr>
              <w:t>’</w:t>
            </w:r>
            <w:r w:rsidRPr="00E106BD">
              <w:rPr>
                <w:rFonts w:eastAsiaTheme="minorHAnsi"/>
                <w:szCs w:val="16"/>
                <w:lang w:eastAsia="en-US"/>
              </w:rPr>
              <w:t>s response must have been conducted following a minimum of 12 weeks of therapy for adalimumab or ustekinumab and up to 12 weeks after the first dose (6 weeks following the third dose) for infliximab and vedolizumab and submitted to the Department of Human Services no later than 4 weeks from the date of completion of treatment.</w:t>
            </w:r>
            <w:r w:rsidRPr="00E106BD">
              <w:rPr>
                <w:rFonts w:eastAsiaTheme="minorHAnsi"/>
                <w:szCs w:val="16"/>
                <w:lang w:eastAsia="en-US"/>
              </w:rPr>
              <w:br/>
              <w:t>An assessment of a patient</w:t>
            </w:r>
            <w:r w:rsidR="00A653CA">
              <w:rPr>
                <w:rFonts w:eastAsiaTheme="minorHAnsi"/>
                <w:szCs w:val="16"/>
                <w:lang w:eastAsia="en-US"/>
              </w:rPr>
              <w:t>’</w:t>
            </w:r>
            <w:r w:rsidRPr="00E106BD">
              <w:rPr>
                <w:rFonts w:eastAsiaTheme="minorHAnsi"/>
                <w:szCs w:val="16"/>
                <w:lang w:eastAsia="en-US"/>
              </w:rPr>
              <w: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5C4E1C" w:rsidRPr="00E106BD" w:rsidDel="00F51209" w:rsidRDefault="005C4E1C" w:rsidP="00881477">
            <w:pPr>
              <w:widowControl w:val="0"/>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5C4E1C" w:rsidRPr="00E106BD" w:rsidDel="00F51209" w:rsidTr="008929EB">
        <w:tc>
          <w:tcPr>
            <w:tcW w:w="1729" w:type="dxa"/>
            <w:tcBorders>
              <w:bottom w:val="single" w:sz="4" w:space="0" w:color="auto"/>
            </w:tcBorders>
            <w:shd w:val="clear" w:color="auto" w:fill="auto"/>
            <w:tcMar>
              <w:top w:w="28" w:type="dxa"/>
              <w:left w:w="28" w:type="dxa"/>
            </w:tcMar>
          </w:tcPr>
          <w:p w:rsidR="005C4E1C" w:rsidRPr="00E106BD" w:rsidDel="00F51209"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Del="00F51209" w:rsidRDefault="005C4E1C" w:rsidP="00881477">
            <w:pPr>
              <w:widowControl w:val="0"/>
              <w:spacing w:line="240" w:lineRule="auto"/>
              <w:rPr>
                <w:rFonts w:ascii="Arial" w:hAnsi="Arial" w:cs="Arial"/>
                <w:sz w:val="16"/>
                <w:szCs w:val="16"/>
              </w:rPr>
            </w:pPr>
            <w:r w:rsidRPr="00E106BD">
              <w:rPr>
                <w:rFonts w:ascii="Arial" w:hAnsi="Arial" w:cs="Arial"/>
                <w:sz w:val="16"/>
                <w:szCs w:val="16"/>
              </w:rPr>
              <w:t>C9656</w:t>
            </w:r>
          </w:p>
        </w:tc>
        <w:tc>
          <w:tcPr>
            <w:tcW w:w="709" w:type="dxa"/>
            <w:tcBorders>
              <w:bottom w:val="single" w:sz="4" w:space="0" w:color="auto"/>
            </w:tcBorders>
            <w:shd w:val="clear" w:color="auto" w:fill="auto"/>
            <w:tcMar>
              <w:top w:w="28" w:type="dxa"/>
              <w:left w:w="28" w:type="dxa"/>
            </w:tcMar>
          </w:tcPr>
          <w:p w:rsidR="005C4E1C" w:rsidRPr="00E106BD" w:rsidDel="00F51209"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Del="00F51209" w:rsidRDefault="005C4E1C" w:rsidP="00881477">
            <w:pPr>
              <w:pStyle w:val="mps3-data"/>
              <w:spacing w:before="0" w:after="0"/>
              <w:rPr>
                <w:rFonts w:eastAsiaTheme="minorHAnsi"/>
                <w:szCs w:val="16"/>
                <w:lang w:eastAsia="en-US"/>
              </w:rPr>
            </w:pPr>
            <w:r w:rsidRPr="00E106BD">
              <w:rPr>
                <w:rFonts w:eastAsiaTheme="minorHAnsi"/>
                <w:szCs w:val="16"/>
                <w:lang w:eastAsia="en-US"/>
              </w:rPr>
              <w:t>Severe Crohn disease</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3 (recommencement of treatment after a break in biological medicine of more than 5 years)</w:t>
            </w:r>
            <w:r w:rsidRPr="00E106BD">
              <w:rPr>
                <w:rFonts w:eastAsiaTheme="minorHAnsi"/>
                <w:szCs w:val="16"/>
                <w:lang w:eastAsia="en-US"/>
              </w:rPr>
              <w:br/>
              <w:t>Must be treated by a gastroenterologist (code 87); OR</w:t>
            </w:r>
            <w:r w:rsidRPr="00E106BD">
              <w:rPr>
                <w:rFonts w:eastAsiaTheme="minorHAnsi"/>
                <w:szCs w:val="16"/>
                <w:lang w:eastAsia="en-US"/>
              </w:rPr>
              <w:br/>
              <w:t>Must be treated by a consultant physician [internal medicine specialising in gastroenterology (code 81)]; OR</w:t>
            </w:r>
            <w:r w:rsidRPr="00E106BD">
              <w:rPr>
                <w:rFonts w:eastAsiaTheme="minorHAnsi"/>
                <w:szCs w:val="16"/>
                <w:lang w:eastAsia="en-US"/>
              </w:rPr>
              <w:br/>
              <w:t>Must be treated by a consultant physician [general medicine specialising in gastroenterology (code 82)].</w:t>
            </w:r>
            <w:r w:rsidRPr="00E106BD">
              <w:rPr>
                <w:rFonts w:eastAsiaTheme="minorHAnsi"/>
                <w:szCs w:val="16"/>
                <w:lang w:eastAsia="en-US"/>
              </w:rPr>
              <w:br/>
              <w:t>Patient must have received prior PBS</w:t>
            </w:r>
            <w:r>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a break in treatment of 5 years or more from the most recently approved PBS</w:t>
            </w:r>
            <w:r>
              <w:rPr>
                <w:rFonts w:eastAsiaTheme="minorHAnsi"/>
                <w:szCs w:val="16"/>
                <w:lang w:eastAsia="en-US"/>
              </w:rPr>
              <w:noBreakHyphen/>
            </w:r>
            <w:r w:rsidRPr="00E106BD">
              <w:rPr>
                <w:rFonts w:eastAsiaTheme="minorHAnsi"/>
                <w:szCs w:val="16"/>
                <w:lang w:eastAsia="en-US"/>
              </w:rPr>
              <w:t>subsidised biological medicine for this condition; AND</w:t>
            </w:r>
            <w:r w:rsidRPr="00E106BD">
              <w:rPr>
                <w:rFonts w:eastAsiaTheme="minorHAnsi"/>
                <w:szCs w:val="16"/>
                <w:lang w:eastAsia="en-US"/>
              </w:rPr>
              <w:br/>
              <w:t>Patient must have confirmed severe Crohn disease, defined by standard clinical, endoscopic and/or imaging features, including histological evidence, with the diagnosis confirmed by a gastroenterologist or a consultant physician; AND</w:t>
            </w:r>
            <w:r w:rsidRPr="00E106BD">
              <w:rPr>
                <w:rFonts w:eastAsiaTheme="minorHAnsi"/>
                <w:szCs w:val="16"/>
                <w:lang w:eastAsia="en-US"/>
              </w:rPr>
              <w:br/>
              <w:t>Patient must have a Crohn Disease Activity Index (CDAI) Score of greater than or equal to 300 that is no more than 4 weeks old at the time of application; OR</w:t>
            </w:r>
            <w:r w:rsidRPr="00E106BD">
              <w:rPr>
                <w:rFonts w:eastAsiaTheme="minorHAnsi"/>
                <w:szCs w:val="16"/>
                <w:lang w:eastAsia="en-US"/>
              </w:rPr>
              <w:br/>
              <w:t>Patient must have a documented history of intestinal inflammation and have diagnostic imaging or surgical evidence of short gut syndrome if affected by the syndrome or has an ileostomy or colostomy; OR</w:t>
            </w:r>
            <w:r w:rsidRPr="00E106BD">
              <w:rPr>
                <w:rFonts w:eastAsiaTheme="minorHAnsi"/>
                <w:szCs w:val="16"/>
                <w:lang w:eastAsia="en-US"/>
              </w:rPr>
              <w:b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 AND</w:t>
            </w:r>
            <w:r w:rsidRPr="00E106BD">
              <w:rPr>
                <w:rFonts w:eastAsiaTheme="minorHAnsi"/>
                <w:szCs w:val="16"/>
                <w:lang w:eastAsia="en-US"/>
              </w:rPr>
              <w:br/>
              <w:t>Patient must have evidence of intestinal inflammation; OR</w:t>
            </w:r>
            <w:r w:rsidRPr="00E106BD">
              <w:rPr>
                <w:rFonts w:eastAsiaTheme="minorHAnsi"/>
                <w:szCs w:val="16"/>
                <w:lang w:eastAsia="en-US"/>
              </w:rPr>
              <w:br/>
              <w:t>Patient must be assessed clinically as being in a high faecal output state; OR</w:t>
            </w:r>
            <w:r w:rsidRPr="00E106BD">
              <w:rPr>
                <w:rFonts w:eastAsiaTheme="minorHAnsi"/>
                <w:szCs w:val="16"/>
                <w:lang w:eastAsia="en-US"/>
              </w:rPr>
              <w:br/>
              <w:t>Patient must be assessed clinically as requiring surgery or total parenteral nutrition (TPN) as the next therapeutic option, in the absence of this drug, if affected by short gut syndrome, extensive small intestine disease or is an ostomy patient; AND</w:t>
            </w:r>
            <w:r w:rsidRPr="00E106BD">
              <w:rPr>
                <w:rFonts w:eastAsiaTheme="minorHAnsi"/>
                <w:szCs w:val="16"/>
                <w:lang w:eastAsia="en-US"/>
              </w:rPr>
              <w:br/>
              <w:t>The treatment must not exceed a total of 2 doses to be administered at weeks 0 and 8 under this restriction.</w:t>
            </w:r>
            <w:r w:rsidRPr="00E106BD">
              <w:rPr>
                <w:rFonts w:eastAsiaTheme="minorHAnsi"/>
                <w:szCs w:val="16"/>
                <w:lang w:eastAsia="en-US"/>
              </w:rPr>
              <w:br/>
              <w:t>Patient must be aged 18 years or older.</w:t>
            </w:r>
            <w:r w:rsidRPr="00E106BD">
              <w:rPr>
                <w:rFonts w:eastAsiaTheme="minorHAnsi"/>
                <w:szCs w:val="16"/>
                <w:lang w:eastAsia="en-US"/>
              </w:rPr>
              <w:br/>
              <w:t>Applications for authorisation must be made in writing and must include:</w:t>
            </w:r>
            <w:r w:rsidRPr="00E106BD">
              <w:rPr>
                <w:rFonts w:eastAsiaTheme="minorHAnsi"/>
                <w:szCs w:val="16"/>
                <w:lang w:eastAsia="en-US"/>
              </w:rPr>
              <w:br/>
              <w:t>(a) two completed authority prescription forms; and</w:t>
            </w:r>
            <w:r w:rsidRPr="00E106BD">
              <w:rPr>
                <w:rFonts w:eastAsiaTheme="minorHAnsi"/>
                <w:szCs w:val="16"/>
                <w:lang w:eastAsia="en-US"/>
              </w:rPr>
              <w:br/>
              <w:t xml:space="preserve">(b) a completed Crohn Disease PBS Authority Application </w:t>
            </w:r>
            <w:r>
              <w:rPr>
                <w:rFonts w:eastAsiaTheme="minorHAnsi"/>
                <w:szCs w:val="16"/>
                <w:lang w:eastAsia="en-US"/>
              </w:rPr>
              <w:noBreakHyphen/>
            </w:r>
            <w:r w:rsidRPr="00E106BD">
              <w:rPr>
                <w:rFonts w:eastAsiaTheme="minorHAnsi"/>
                <w:szCs w:val="16"/>
                <w:lang w:eastAsia="en-US"/>
              </w:rPr>
              <w:t xml:space="preserve"> Supporting Information Form which includes the following:</w:t>
            </w:r>
            <w:r w:rsidRPr="00E106BD">
              <w:rPr>
                <w:rFonts w:eastAsiaTheme="minorHAnsi"/>
                <w:szCs w:val="16"/>
                <w:lang w:eastAsia="en-US"/>
              </w:rPr>
              <w:br/>
              <w:t>(i) the completed current Crohn Disease Activity Index (CDAI) calculation sheet including the date of assessment of the patient</w:t>
            </w:r>
            <w:r w:rsidR="00A653CA">
              <w:rPr>
                <w:rFonts w:eastAsiaTheme="minorHAnsi"/>
                <w:szCs w:val="16"/>
                <w:lang w:eastAsia="en-US"/>
              </w:rPr>
              <w:t>’</w:t>
            </w:r>
            <w:r w:rsidRPr="00E106BD">
              <w:rPr>
                <w:rFonts w:eastAsiaTheme="minorHAnsi"/>
                <w:szCs w:val="16"/>
                <w:lang w:eastAsia="en-US"/>
              </w:rPr>
              <w:t>s condition if relevant; and</w:t>
            </w:r>
            <w:r w:rsidRPr="00E106BD">
              <w:rPr>
                <w:rFonts w:eastAsiaTheme="minorHAnsi"/>
                <w:szCs w:val="16"/>
                <w:lang w:eastAsia="en-US"/>
              </w:rPr>
              <w:br/>
              <w:t>(ii) the reports and dates of the pathology or diagnostic imaging test(s) nominated as the response criterion, if relevant; and</w:t>
            </w:r>
            <w:r w:rsidRPr="00E106BD">
              <w:rPr>
                <w:rFonts w:eastAsiaTheme="minorHAnsi"/>
                <w:szCs w:val="16"/>
                <w:lang w:eastAsia="en-US"/>
              </w:rPr>
              <w:br/>
              <w:t>(iii) the date of the most recent clinical assessment.</w:t>
            </w:r>
            <w:r w:rsidRPr="00E106BD">
              <w:rPr>
                <w:rFonts w:eastAsiaTheme="minorHAnsi"/>
                <w:szCs w:val="16"/>
                <w:lang w:eastAsia="en-US"/>
              </w:rPr>
              <w:br/>
              <w:t>Evidence of intestinal inflammation includes:</w:t>
            </w:r>
            <w:r w:rsidRPr="00E106BD">
              <w:rPr>
                <w:rFonts w:eastAsiaTheme="minorHAnsi"/>
                <w:szCs w:val="16"/>
                <w:lang w:eastAsia="en-US"/>
              </w:rPr>
              <w:br/>
              <w:t>(i) blood: higher than normal platelet count, or, an elevated erythrocyte sedimentation rate (ESR) greater than 25 mm per hour, or, a C</w:t>
            </w:r>
            <w:r>
              <w:rPr>
                <w:rFonts w:eastAsiaTheme="minorHAnsi"/>
                <w:szCs w:val="16"/>
                <w:lang w:eastAsia="en-US"/>
              </w:rPr>
              <w:noBreakHyphen/>
            </w:r>
            <w:r w:rsidRPr="00E106BD">
              <w:rPr>
                <w:rFonts w:eastAsiaTheme="minorHAnsi"/>
                <w:szCs w:val="16"/>
                <w:lang w:eastAsia="en-US"/>
              </w:rPr>
              <w:t>reactive protein (CRP) level greater than 15 mg per L; or</w:t>
            </w:r>
            <w:r w:rsidRPr="00E106BD">
              <w:rPr>
                <w:rFonts w:eastAsiaTheme="minorHAnsi"/>
                <w:szCs w:val="16"/>
                <w:lang w:eastAsia="en-US"/>
              </w:rPr>
              <w:br/>
              <w:t>(ii) faeces: higher than normal lactoferrin or calprotectin level; or</w:t>
            </w:r>
            <w:r w:rsidRPr="00E106BD">
              <w:rPr>
                <w:rFonts w:eastAsiaTheme="minorHAnsi"/>
                <w:szCs w:val="16"/>
                <w:lang w:eastAsia="en-US"/>
              </w:rPr>
              <w:br/>
              <w:t>(iii) diagnostic imaging: demonstration of increased uptake of intravenous contrast with thickening of the bowel wall or mesenteric lymphadenopathy or fat streaking in the mesentery.</w:t>
            </w:r>
            <w:r w:rsidRPr="00E106BD">
              <w:rPr>
                <w:rFonts w:eastAsiaTheme="minorHAnsi"/>
                <w:szCs w:val="16"/>
                <w:lang w:eastAsia="en-US"/>
              </w:rPr>
              <w:br/>
              <w:t>Two completed authority prescriptions should be submitted with every initial application for this drug. One prescription should be written under S100 (Highly Specialised Drugs) for a weight</w:t>
            </w:r>
            <w:r>
              <w:rPr>
                <w:rFonts w:eastAsiaTheme="minorHAnsi"/>
                <w:szCs w:val="16"/>
                <w:lang w:eastAsia="en-US"/>
              </w:rPr>
              <w:noBreakHyphen/>
            </w:r>
            <w:r w:rsidRPr="00E106BD">
              <w:rPr>
                <w:rFonts w:eastAsiaTheme="minorHAnsi"/>
                <w:szCs w:val="16"/>
                <w:lang w:eastAsia="en-US"/>
              </w:rPr>
              <w:t>based loading dose, containing a quantity of up to 4 vials of 130 mg and no repeats. The second prescription should be written under S85 (General) for 2 vials of 45 mg and no repeats.</w:t>
            </w:r>
            <w:r w:rsidRPr="00E106BD">
              <w:rPr>
                <w:rFonts w:eastAsiaTheme="minorHAnsi"/>
                <w:szCs w:val="16"/>
                <w:lang w:eastAsia="en-US"/>
              </w:rPr>
              <w:br/>
              <w:t>A maximum quantity of a weight based loading dose is up to 4 vials with no repeats and the subsequent first dose of 90 mg (2 vials of 45 mg) with no repeats provide for an initial 16 week course of this drug will be authorised.</w:t>
            </w:r>
            <w:r w:rsidRPr="00E106BD">
              <w:rPr>
                <w:rFonts w:eastAsiaTheme="minorHAnsi"/>
                <w:szCs w:val="16"/>
                <w:lang w:eastAsia="en-US"/>
              </w:rPr>
              <w:br/>
              <w:t>Where fewer than 6 vials in total are requested at the time of the application, authority approvals for a sufficient number of vials based on the patient</w:t>
            </w:r>
            <w:r w:rsidR="00A653CA">
              <w:rPr>
                <w:rFonts w:eastAsiaTheme="minorHAnsi"/>
                <w:szCs w:val="16"/>
                <w:lang w:eastAsia="en-US"/>
              </w:rPr>
              <w:t>’</w:t>
            </w:r>
            <w:r w:rsidRPr="00E106BD">
              <w:rPr>
                <w:rFonts w:eastAsiaTheme="minorHAnsi"/>
                <w:szCs w:val="16"/>
                <w:lang w:eastAsia="en-US"/>
              </w:rPr>
              <w:t>s weight to complete dosing at weeks 0 and 8 may be requested by telephone through the balance of supply restriction.</w:t>
            </w:r>
            <w:r w:rsidRPr="00E106BD">
              <w:rPr>
                <w:rFonts w:eastAsiaTheme="minorHAnsi"/>
                <w:szCs w:val="16"/>
                <w:lang w:eastAsia="en-US"/>
              </w:rPr>
              <w:br/>
              <w:t>Under no circumstances will telephone approvals be granted for initial authority applications, or for treatment that would otherwise extend the initial treatment period.</w:t>
            </w:r>
            <w:r w:rsidRPr="00E106BD">
              <w:rPr>
                <w:rFonts w:eastAsiaTheme="minorHAnsi"/>
                <w:szCs w:val="16"/>
                <w:lang w:eastAsia="en-US"/>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Pr>
                <w:rFonts w:eastAsiaTheme="minorHAnsi"/>
                <w:szCs w:val="16"/>
                <w:lang w:eastAsia="en-US"/>
              </w:rPr>
              <w:noBreakHyphen/>
            </w:r>
            <w:r w:rsidRPr="00E106BD">
              <w:rPr>
                <w:rFonts w:eastAsiaTheme="minorHAnsi"/>
                <w:szCs w:val="16"/>
                <w:lang w:eastAsia="en-US"/>
              </w:rPr>
              <w:t>subsidised therapy.</w:t>
            </w:r>
            <w:r w:rsidRPr="00E106BD">
              <w:rPr>
                <w:rFonts w:eastAsiaTheme="minorHAnsi"/>
                <w:szCs w:val="16"/>
                <w:lang w:eastAsia="en-US"/>
              </w:rPr>
              <w:br/>
              <w:t>An assessment of a patient</w:t>
            </w:r>
            <w:r w:rsidR="00A653CA">
              <w:rPr>
                <w:rFonts w:eastAsiaTheme="minorHAnsi"/>
                <w:szCs w:val="16"/>
                <w:lang w:eastAsia="en-US"/>
              </w:rPr>
              <w:t>’</w:t>
            </w:r>
            <w:r w:rsidRPr="00E106BD">
              <w:rPr>
                <w:rFonts w:eastAsiaTheme="minorHAnsi"/>
                <w:szCs w:val="16"/>
                <w:lang w:eastAsia="en-US"/>
              </w:rPr>
              <w: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r w:rsidRPr="00E106BD">
              <w:rPr>
                <w:rFonts w:eastAsiaTheme="minorHAnsi"/>
                <w:szCs w:val="16"/>
                <w:lang w:eastAsia="en-US"/>
              </w:rPr>
              <w:br/>
              <w:t>A patient may re</w:t>
            </w:r>
            <w:r>
              <w:rPr>
                <w:rFonts w:eastAsiaTheme="minorHAnsi"/>
                <w:szCs w:val="16"/>
                <w:lang w:eastAsia="en-US"/>
              </w:rPr>
              <w:noBreakHyphen/>
            </w:r>
            <w:r w:rsidRPr="00E106BD">
              <w:rPr>
                <w:rFonts w:eastAsiaTheme="minorHAnsi"/>
                <w:szCs w:val="16"/>
                <w:lang w:eastAsia="en-US"/>
              </w:rPr>
              <w:t>trial this drug after a minimum of 5 years have elapsed between the date the last prescription for a PBS</w:t>
            </w:r>
            <w:r>
              <w:rPr>
                <w:rFonts w:eastAsiaTheme="minorHAnsi"/>
                <w:szCs w:val="16"/>
                <w:lang w:eastAsia="en-US"/>
              </w:rPr>
              <w:noBreakHyphen/>
            </w:r>
            <w:r w:rsidRPr="00E106BD">
              <w:rPr>
                <w:rFonts w:eastAsiaTheme="minorHAnsi"/>
                <w:szCs w:val="16"/>
                <w:lang w:eastAsia="en-US"/>
              </w:rPr>
              <w:t>subsidised biological medicine was approved in this cycle and the date of the first application under a new cycle under the Initial 3 treatment restriction.</w:t>
            </w:r>
          </w:p>
        </w:tc>
        <w:tc>
          <w:tcPr>
            <w:tcW w:w="2552" w:type="dxa"/>
            <w:tcBorders>
              <w:bottom w:val="single" w:sz="4" w:space="0" w:color="auto"/>
            </w:tcBorders>
            <w:shd w:val="clear" w:color="auto" w:fill="auto"/>
            <w:tcMar>
              <w:top w:w="28" w:type="dxa"/>
              <w:left w:w="28" w:type="dxa"/>
              <w:right w:w="57" w:type="dxa"/>
            </w:tcMar>
          </w:tcPr>
          <w:p w:rsidR="005C4E1C" w:rsidRPr="00E106BD" w:rsidDel="00F51209" w:rsidRDefault="005C4E1C" w:rsidP="00881477">
            <w:pPr>
              <w:widowControl w:val="0"/>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5C4E1C" w:rsidRPr="00E106BD" w:rsidDel="00F51209" w:rsidTr="008929EB">
        <w:tc>
          <w:tcPr>
            <w:tcW w:w="1729" w:type="dxa"/>
            <w:tcBorders>
              <w:bottom w:val="single" w:sz="4" w:space="0" w:color="auto"/>
            </w:tcBorders>
            <w:shd w:val="clear" w:color="auto" w:fill="auto"/>
            <w:tcMar>
              <w:top w:w="28" w:type="dxa"/>
              <w:left w:w="28" w:type="dxa"/>
            </w:tcMar>
          </w:tcPr>
          <w:p w:rsidR="005C4E1C" w:rsidRPr="00E106BD" w:rsidDel="00F51209" w:rsidRDefault="005C4E1C"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5C4E1C" w:rsidRPr="00E106BD" w:rsidDel="00F51209" w:rsidRDefault="005C4E1C" w:rsidP="00881477">
            <w:pPr>
              <w:widowControl w:val="0"/>
              <w:spacing w:line="240" w:lineRule="auto"/>
              <w:rPr>
                <w:rFonts w:ascii="Arial" w:hAnsi="Arial" w:cs="Arial"/>
                <w:sz w:val="16"/>
                <w:szCs w:val="16"/>
              </w:rPr>
            </w:pPr>
            <w:r w:rsidRPr="00E106BD">
              <w:rPr>
                <w:rFonts w:ascii="Arial" w:hAnsi="Arial" w:cs="Arial"/>
                <w:sz w:val="16"/>
                <w:szCs w:val="16"/>
              </w:rPr>
              <w:t>C9710</w:t>
            </w:r>
          </w:p>
        </w:tc>
        <w:tc>
          <w:tcPr>
            <w:tcW w:w="709" w:type="dxa"/>
            <w:tcBorders>
              <w:bottom w:val="single" w:sz="4" w:space="0" w:color="auto"/>
            </w:tcBorders>
            <w:shd w:val="clear" w:color="auto" w:fill="auto"/>
            <w:tcMar>
              <w:top w:w="28" w:type="dxa"/>
              <w:left w:w="28" w:type="dxa"/>
            </w:tcMar>
          </w:tcPr>
          <w:p w:rsidR="005C4E1C" w:rsidRPr="00E106BD" w:rsidDel="00F51209" w:rsidRDefault="005C4E1C"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5C4E1C" w:rsidRPr="00E106BD" w:rsidDel="00F51209" w:rsidRDefault="005C4E1C" w:rsidP="00881477">
            <w:pPr>
              <w:pStyle w:val="mps3-data"/>
              <w:spacing w:before="0" w:after="0"/>
              <w:rPr>
                <w:rFonts w:eastAsiaTheme="minorHAnsi"/>
                <w:szCs w:val="16"/>
                <w:lang w:eastAsia="en-US"/>
              </w:rPr>
            </w:pPr>
            <w:r w:rsidRPr="00E106BD">
              <w:rPr>
                <w:rFonts w:eastAsiaTheme="minorHAnsi"/>
                <w:szCs w:val="16"/>
                <w:lang w:eastAsia="en-US"/>
              </w:rPr>
              <w:t>Severe Crohn disease</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1 (new patient)</w:t>
            </w:r>
            <w:r w:rsidRPr="00E106BD">
              <w:rPr>
                <w:rFonts w:eastAsiaTheme="minorHAnsi"/>
                <w:szCs w:val="16"/>
                <w:lang w:eastAsia="en-US"/>
              </w:rPr>
              <w:br/>
              <w:t>Must be treated by a gastroenterologist (code 87); OR</w:t>
            </w:r>
            <w:r w:rsidRPr="00E106BD">
              <w:rPr>
                <w:rFonts w:eastAsiaTheme="minorHAnsi"/>
                <w:szCs w:val="16"/>
                <w:lang w:eastAsia="en-US"/>
              </w:rPr>
              <w:br/>
              <w:t>Must be treated by a consultant physician [internal medicine specialising in gastroenterology (code 81)]; OR</w:t>
            </w:r>
            <w:r w:rsidRPr="00E106BD">
              <w:rPr>
                <w:rFonts w:eastAsiaTheme="minorHAnsi"/>
                <w:szCs w:val="16"/>
                <w:lang w:eastAsia="en-US"/>
              </w:rPr>
              <w:br/>
              <w:t>Must be treated by a consultant physician [general medicine specialising in gastroenterology (code 82)].</w:t>
            </w:r>
            <w:r w:rsidRPr="00E106BD">
              <w:rPr>
                <w:rFonts w:eastAsiaTheme="minorHAnsi"/>
                <w:szCs w:val="16"/>
                <w:lang w:eastAsia="en-US"/>
              </w:rPr>
              <w:br/>
              <w:t>Patient must be aged 18 years or older.</w:t>
            </w:r>
            <w:r w:rsidRPr="00E106BD">
              <w:rPr>
                <w:rFonts w:eastAsiaTheme="minorHAnsi"/>
                <w:szCs w:val="16"/>
                <w:lang w:eastAsia="en-US"/>
              </w:rPr>
              <w:br/>
              <w:t>Patient must have confirmed severe Crohn disease, defined by standard clinical, endoscopic and/or imaging features, including histological evidence, with the diagnosis confirmed by a gastroenterologist or a consultant physician; AND</w:t>
            </w:r>
            <w:r w:rsidRPr="00E106BD">
              <w:rPr>
                <w:rFonts w:eastAsiaTheme="minorHAnsi"/>
                <w:szCs w:val="16"/>
                <w:lang w:eastAsia="en-US"/>
              </w:rPr>
              <w:br/>
              <w:t>Patient must have failed to achieve an adequate response to prior systemic therapy with a tapered course of steroids, starting at a dose of at least 40 mg prednisolone (or equivalent), over a 6 week period; AND</w:t>
            </w:r>
            <w:r w:rsidRPr="00E106BD">
              <w:rPr>
                <w:rFonts w:eastAsiaTheme="minorHAnsi"/>
                <w:szCs w:val="16"/>
                <w:lang w:eastAsia="en-US"/>
              </w:rPr>
              <w:br/>
              <w:t>Patient must have failed to achieve adequate response to prior systemic immunosuppressive therapy with azathioprine at a dose of at least 2 mg per kg daily for 3 or more consecutive months; OR</w:t>
            </w:r>
            <w:r w:rsidRPr="00E106BD">
              <w:rPr>
                <w:rFonts w:eastAsiaTheme="minorHAnsi"/>
                <w:szCs w:val="16"/>
                <w:lang w:eastAsia="en-US"/>
              </w:rPr>
              <w:br/>
              <w:t>Patient must have failed to achieve adequate response to prior systemic immunosuppressive therapy with 6</w:t>
            </w:r>
            <w:r>
              <w:rPr>
                <w:rFonts w:eastAsiaTheme="minorHAnsi"/>
                <w:szCs w:val="16"/>
                <w:lang w:eastAsia="en-US"/>
              </w:rPr>
              <w:noBreakHyphen/>
            </w:r>
            <w:r w:rsidRPr="00E106BD">
              <w:rPr>
                <w:rFonts w:eastAsiaTheme="minorHAnsi"/>
                <w:szCs w:val="16"/>
                <w:lang w:eastAsia="en-US"/>
              </w:rPr>
              <w:t>mercaptopurine at a dose of at least 1 mg per kg daily for 3 or more consecutive months; OR</w:t>
            </w:r>
            <w:r w:rsidRPr="00E106BD">
              <w:rPr>
                <w:rFonts w:eastAsiaTheme="minorHAnsi"/>
                <w:szCs w:val="16"/>
                <w:lang w:eastAsia="en-US"/>
              </w:rPr>
              <w:br/>
              <w:t>Patient must have failed to achieve adequate response to prior systemic immunosuppressive therapy with methotrexate at a dose of at least 15 mg weekly for 3 or more consecutive months; AND</w:t>
            </w:r>
            <w:r w:rsidRPr="00E106BD">
              <w:rPr>
                <w:rFonts w:eastAsiaTheme="minorHAnsi"/>
                <w:szCs w:val="16"/>
                <w:lang w:eastAsia="en-US"/>
              </w:rPr>
              <w:br/>
              <w:t>The treatment must not exceed a total of 2 doses to be administered at weeks 0 and 8 under this restriction; AND</w:t>
            </w:r>
            <w:r w:rsidRPr="00E106BD">
              <w:rPr>
                <w:rFonts w:eastAsiaTheme="minorHAnsi"/>
                <w:szCs w:val="16"/>
                <w:lang w:eastAsia="en-US"/>
              </w:rPr>
              <w:br/>
              <w:t>Patient must have a Crohn Disease Activity Index (CDAI) Score greater than or equal to 300 as evidence of failure to achieve an adequate response to prior systemic therapy; OR</w:t>
            </w:r>
            <w:r w:rsidRPr="00E106BD">
              <w:rPr>
                <w:rFonts w:eastAsiaTheme="minorHAnsi"/>
                <w:szCs w:val="16"/>
                <w:lang w:eastAsia="en-US"/>
              </w:rPr>
              <w:b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r w:rsidRPr="00E106BD">
              <w:rPr>
                <w:rFonts w:eastAsiaTheme="minorHAnsi"/>
                <w:szCs w:val="16"/>
                <w:lang w:eastAsia="en-US"/>
              </w:rPr>
              <w:br/>
              <w:t>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therapy as specified below.</w:t>
            </w:r>
            <w:r w:rsidRPr="00E106BD">
              <w:rPr>
                <w:rFonts w:eastAsiaTheme="minorHAnsi"/>
                <w:szCs w:val="16"/>
                <w:lang w:eastAsia="en-US"/>
              </w:rPr>
              <w:br/>
              <w:t>Applications for authorisation must be made in writing and must include:</w:t>
            </w:r>
            <w:r w:rsidRPr="00E106BD">
              <w:rPr>
                <w:rFonts w:eastAsiaTheme="minorHAnsi"/>
                <w:szCs w:val="16"/>
                <w:lang w:eastAsia="en-US"/>
              </w:rPr>
              <w:br/>
              <w:t>(a) two completed authority prescription forms; and</w:t>
            </w:r>
            <w:r w:rsidRPr="00E106BD">
              <w:rPr>
                <w:rFonts w:eastAsiaTheme="minorHAnsi"/>
                <w:szCs w:val="16"/>
                <w:lang w:eastAsia="en-US"/>
              </w:rPr>
              <w:br/>
              <w:t xml:space="preserve">(b) a completed Crohn Disease PBS Authority Application </w:t>
            </w:r>
            <w:r>
              <w:rPr>
                <w:rFonts w:eastAsiaTheme="minorHAnsi"/>
                <w:szCs w:val="16"/>
                <w:lang w:eastAsia="en-US"/>
              </w:rPr>
              <w:noBreakHyphen/>
            </w:r>
            <w:r w:rsidRPr="00E106BD">
              <w:rPr>
                <w:rFonts w:eastAsiaTheme="minorHAnsi"/>
                <w:szCs w:val="16"/>
                <w:lang w:eastAsia="en-US"/>
              </w:rPr>
              <w:t xml:space="preserve"> Supporting Information Form which includes the following:</w:t>
            </w:r>
            <w:r w:rsidRPr="00E106BD">
              <w:rPr>
                <w:rFonts w:eastAsiaTheme="minorHAnsi"/>
                <w:szCs w:val="16"/>
                <w:lang w:eastAsia="en-US"/>
              </w:rPr>
              <w:br/>
              <w:t>(i) the completed current Crohn Disease Activity Index (CDAI) calculation sheet including the date of assessment of the patient</w:t>
            </w:r>
            <w:r w:rsidR="00A653CA">
              <w:rPr>
                <w:rFonts w:eastAsiaTheme="minorHAnsi"/>
                <w:szCs w:val="16"/>
                <w:lang w:eastAsia="en-US"/>
              </w:rPr>
              <w:t>’</w:t>
            </w:r>
            <w:r w:rsidRPr="00E106BD">
              <w:rPr>
                <w:rFonts w:eastAsiaTheme="minorHAnsi"/>
                <w:szCs w:val="16"/>
                <w:lang w:eastAsia="en-US"/>
              </w:rPr>
              <w:t>s condition if relevant; and</w:t>
            </w:r>
            <w:r w:rsidRPr="00E106BD">
              <w:rPr>
                <w:rFonts w:eastAsiaTheme="minorHAnsi"/>
                <w:szCs w:val="16"/>
                <w:lang w:eastAsia="en-US"/>
              </w:rPr>
              <w:br/>
              <w:t>(ii) details of prior systemic drug therapy [dosage, date of commencement and duration of therapy]; and</w:t>
            </w:r>
            <w:r w:rsidRPr="00E106BD">
              <w:rPr>
                <w:rFonts w:eastAsiaTheme="minorHAnsi"/>
                <w:szCs w:val="16"/>
                <w:lang w:eastAsia="en-US"/>
              </w:rPr>
              <w:br/>
              <w:t>(iii) the reports and dates of the pathology or diagnostic imaging test(s) nominated as the response criterion, if relevant; and</w:t>
            </w:r>
            <w:r w:rsidRPr="00E106BD">
              <w:rPr>
                <w:rFonts w:eastAsiaTheme="minorHAnsi"/>
                <w:szCs w:val="16"/>
                <w:lang w:eastAsia="en-US"/>
              </w:rPr>
              <w:br/>
              <w:t>(iv) the date of the most recent clinical assessment.</w:t>
            </w:r>
            <w:r w:rsidRPr="00E106BD">
              <w:rPr>
                <w:rFonts w:eastAsiaTheme="minorHAnsi"/>
                <w:szCs w:val="16"/>
                <w:lang w:eastAsia="en-US"/>
              </w:rPr>
              <w:br/>
              <w:t>Evidence of failure to achieve an adequate response to prior therapy must include at least one of the following:</w:t>
            </w:r>
            <w:r w:rsidRPr="00E106BD">
              <w:rPr>
                <w:rFonts w:eastAsiaTheme="minorHAnsi"/>
                <w:szCs w:val="16"/>
                <w:lang w:eastAsia="en-US"/>
              </w:rPr>
              <w:br/>
              <w:t>(a) patient must have evidence of intestinal inflammation;</w:t>
            </w:r>
            <w:r w:rsidRPr="00E106BD">
              <w:rPr>
                <w:rFonts w:eastAsiaTheme="minorHAnsi"/>
                <w:szCs w:val="16"/>
                <w:lang w:eastAsia="en-US"/>
              </w:rPr>
              <w:br/>
              <w:t>(b) patient must be assessed clinically as being in a high faecal output state;</w:t>
            </w:r>
            <w:r w:rsidRPr="00E106BD">
              <w:rPr>
                <w:rFonts w:eastAsiaTheme="minorHAnsi"/>
                <w:szCs w:val="16"/>
                <w:lang w:eastAsia="en-US"/>
              </w:rPr>
              <w:br/>
              <w:t>(c) patient must be assessed clinically as requiring surgery or total parenteral nutrition (TPN) as the next therapeutic option, in the absence of this drug, if affected by short gut syndrome, extensive small intestine disease or is an ostomy patient.</w:t>
            </w:r>
            <w:r w:rsidRPr="00E106BD">
              <w:rPr>
                <w:rFonts w:eastAsiaTheme="minorHAnsi"/>
                <w:szCs w:val="16"/>
                <w:lang w:eastAsia="en-US"/>
              </w:rPr>
              <w:br/>
              <w:t>Evidence of intestinal inflammation includes:</w:t>
            </w:r>
            <w:r w:rsidRPr="00E106BD">
              <w:rPr>
                <w:rFonts w:eastAsiaTheme="minorHAnsi"/>
                <w:szCs w:val="16"/>
                <w:lang w:eastAsia="en-US"/>
              </w:rPr>
              <w:br/>
              <w:t>(i) blood: higher than normal platelet count, or, an elevated erythrocyte sedimentation rate (ESR) greater than 25 mm per hour, or, a C</w:t>
            </w:r>
            <w:r>
              <w:rPr>
                <w:rFonts w:eastAsiaTheme="minorHAnsi"/>
                <w:szCs w:val="16"/>
                <w:lang w:eastAsia="en-US"/>
              </w:rPr>
              <w:noBreakHyphen/>
            </w:r>
            <w:r w:rsidRPr="00E106BD">
              <w:rPr>
                <w:rFonts w:eastAsiaTheme="minorHAnsi"/>
                <w:szCs w:val="16"/>
                <w:lang w:eastAsia="en-US"/>
              </w:rPr>
              <w:t>reactive protein (CRP) level greater than 15 mg per L; or</w:t>
            </w:r>
            <w:r w:rsidRPr="00E106BD">
              <w:rPr>
                <w:rFonts w:eastAsiaTheme="minorHAnsi"/>
                <w:szCs w:val="16"/>
                <w:lang w:eastAsia="en-US"/>
              </w:rPr>
              <w:br/>
              <w:t>(ii) faeces: higher than normal lactoferrin or calprotectin level; or</w:t>
            </w:r>
            <w:r w:rsidRPr="00E106BD">
              <w:rPr>
                <w:rFonts w:eastAsiaTheme="minorHAnsi"/>
                <w:szCs w:val="16"/>
                <w:lang w:eastAsia="en-US"/>
              </w:rPr>
              <w:br/>
              <w:t>(iii) diagnostic imaging: demonstration of increased uptake of intravenous contrast with thickening of the bowel wall or mesenteric lymphadenopathy or fat streaking in the mesentery.</w:t>
            </w:r>
            <w:r w:rsidRPr="00E106BD">
              <w:rPr>
                <w:rFonts w:eastAsiaTheme="minorHAnsi"/>
                <w:szCs w:val="16"/>
                <w:lang w:eastAsia="en-US"/>
              </w:rPr>
              <w:br/>
              <w:t>Two completed authority prescriptions should be submitted with every initial application for this drug. One prescription should be written under S100 (Highly Specialised Drugs) for a weight</w:t>
            </w:r>
            <w:r>
              <w:rPr>
                <w:rFonts w:eastAsiaTheme="minorHAnsi"/>
                <w:szCs w:val="16"/>
                <w:lang w:eastAsia="en-US"/>
              </w:rPr>
              <w:noBreakHyphen/>
            </w:r>
            <w:r w:rsidRPr="00E106BD">
              <w:rPr>
                <w:rFonts w:eastAsiaTheme="minorHAnsi"/>
                <w:szCs w:val="16"/>
                <w:lang w:eastAsia="en-US"/>
              </w:rPr>
              <w:t>based loading dose, containing a quantity of up to 4 vials of 130 mg and no repeats. The second prescription should be written under S85 (General) for 2 vials of 45 mg and no repeats.</w:t>
            </w:r>
            <w:r w:rsidRPr="00E106BD">
              <w:rPr>
                <w:rFonts w:eastAsiaTheme="minorHAnsi"/>
                <w:szCs w:val="16"/>
                <w:lang w:eastAsia="en-US"/>
              </w:rPr>
              <w:br/>
              <w:t>A maximum quantity of a weight based loading dose is up to 4 vials with no repeats and the subsequent first dose of 90 mg (2 vials of 45 mg) with no repeats provide for an initial 16 week course of this drug will be authorised.</w:t>
            </w:r>
            <w:r w:rsidRPr="00E106BD">
              <w:rPr>
                <w:rFonts w:eastAsiaTheme="minorHAnsi"/>
                <w:szCs w:val="16"/>
                <w:lang w:eastAsia="en-US"/>
              </w:rPr>
              <w:br/>
              <w:t>Where fewer than 6 vials in total are requested at the time of the application, authority approvals for a sufficient number of vials based on the patient</w:t>
            </w:r>
            <w:r w:rsidR="00A653CA">
              <w:rPr>
                <w:rFonts w:eastAsiaTheme="minorHAnsi"/>
                <w:szCs w:val="16"/>
                <w:lang w:eastAsia="en-US"/>
              </w:rPr>
              <w:t>’</w:t>
            </w:r>
            <w:r w:rsidRPr="00E106BD">
              <w:rPr>
                <w:rFonts w:eastAsiaTheme="minorHAnsi"/>
                <w:szCs w:val="16"/>
                <w:lang w:eastAsia="en-US"/>
              </w:rPr>
              <w:t>s weight to complete dosing at weeks 0 and 8 may be requested by telephone through the balance of supply restriction.</w:t>
            </w:r>
            <w:r w:rsidRPr="00E106BD">
              <w:rPr>
                <w:rFonts w:eastAsiaTheme="minorHAnsi"/>
                <w:szCs w:val="16"/>
                <w:lang w:eastAsia="en-US"/>
              </w:rPr>
              <w:br/>
              <w:t>Under no circumstances will telephone approvals be granted for initial authority applications, or for treatment that would otherwise extend the initial treatment period.</w:t>
            </w:r>
            <w:r w:rsidRPr="00E106BD">
              <w:rPr>
                <w:rFonts w:eastAsiaTheme="minorHAnsi"/>
                <w:szCs w:val="16"/>
                <w:lang w:eastAsia="en-US"/>
              </w:rPr>
              <w:br/>
              <w:t>All assessments, pathology tests and diagnostic imaging studies must be made within 1 month of the date of application and should be performed preferably whilst still on conventional treatment, but no longer than 1 month following cessation of the most recent prior treatment</w:t>
            </w:r>
            <w:r w:rsidRPr="00E106BD">
              <w:rPr>
                <w:rFonts w:eastAsiaTheme="minorHAnsi"/>
                <w:szCs w:val="16"/>
                <w:lang w:eastAsia="en-US"/>
              </w:rPr>
              <w:br/>
              <w:t>If treatment with any of the specified prior conventional drugs is contraindicated according to the relevant TGA</w:t>
            </w:r>
            <w:r>
              <w:rPr>
                <w:rFonts w:eastAsiaTheme="minorHAnsi"/>
                <w:szCs w:val="16"/>
                <w:lang w:eastAsia="en-US"/>
              </w:rPr>
              <w:noBreakHyphen/>
            </w:r>
            <w:r w:rsidRPr="00E106BD">
              <w:rPr>
                <w:rFonts w:eastAsiaTheme="minorHAnsi"/>
                <w:szCs w:val="16"/>
                <w:lang w:eastAsia="en-US"/>
              </w:rPr>
              <w:t>approved Product Information, please provide details at the time of application.</w:t>
            </w:r>
            <w:r w:rsidRPr="00E106BD">
              <w:rPr>
                <w:rFonts w:eastAsiaTheme="minorHAnsi"/>
                <w:szCs w:val="16"/>
                <w:lang w:eastAsia="en-US"/>
              </w:rPr>
              <w:br/>
              <w:t>If intolerance to treatment develops during the relevant period of use, which is of a severity necessitating permanent treatment withdrawal, details of this toxicity must be provided at the time of application.</w:t>
            </w:r>
            <w:r w:rsidRPr="00E106BD">
              <w:rPr>
                <w:rFonts w:eastAsiaTheme="minorHAnsi"/>
                <w:szCs w:val="16"/>
                <w:lang w:eastAsia="en-US"/>
              </w:rPr>
              <w:br/>
              <w:t>Details of the accepted toxicities including severity can be found on the Department of Human Services website.</w:t>
            </w:r>
            <w:r w:rsidRPr="00E106BD">
              <w:rPr>
                <w:rFonts w:eastAsiaTheme="minorHAnsi"/>
                <w:szCs w:val="16"/>
                <w:lang w:eastAsia="en-US"/>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Pr>
                <w:rFonts w:eastAsiaTheme="minorHAnsi"/>
                <w:szCs w:val="16"/>
                <w:lang w:eastAsia="en-US"/>
              </w:rPr>
              <w:noBreakHyphen/>
            </w:r>
            <w:r w:rsidRPr="00E106BD">
              <w:rPr>
                <w:rFonts w:eastAsiaTheme="minorHAnsi"/>
                <w:szCs w:val="16"/>
                <w:lang w:eastAsia="en-US"/>
              </w:rPr>
              <w:t>subsidised therapy.</w:t>
            </w:r>
            <w:r w:rsidRPr="00E106BD">
              <w:rPr>
                <w:rFonts w:eastAsiaTheme="minorHAnsi"/>
                <w:szCs w:val="16"/>
                <w:lang w:eastAsia="en-US"/>
              </w:rPr>
              <w:br/>
              <w:t>An assessment of a patient</w:t>
            </w:r>
            <w:r w:rsidR="00A653CA">
              <w:rPr>
                <w:rFonts w:eastAsiaTheme="minorHAnsi"/>
                <w:szCs w:val="16"/>
                <w:lang w:eastAsia="en-US"/>
              </w:rPr>
              <w:t>’</w:t>
            </w:r>
            <w:r w:rsidRPr="00E106BD">
              <w:rPr>
                <w:rFonts w:eastAsiaTheme="minorHAnsi"/>
                <w:szCs w:val="16"/>
                <w:lang w:eastAsia="en-US"/>
              </w:rPr>
              <w: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5C4E1C" w:rsidRPr="00E106BD" w:rsidDel="00F51209" w:rsidRDefault="005C4E1C" w:rsidP="00881477">
            <w:pPr>
              <w:widowControl w:val="0"/>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5C4E1C" w:rsidRPr="00E106BD" w:rsidDel="00145E33" w:rsidTr="008929EB">
        <w:tc>
          <w:tcPr>
            <w:tcW w:w="1729" w:type="dxa"/>
            <w:tcMar>
              <w:top w:w="28" w:type="dxa"/>
              <w:left w:w="28" w:type="dxa"/>
            </w:tcMar>
          </w:tcPr>
          <w:p w:rsidR="005C4E1C" w:rsidRPr="00E106BD" w:rsidDel="00145E33" w:rsidRDefault="005C4E1C" w:rsidP="00881477">
            <w:pPr>
              <w:widowControl w:val="0"/>
              <w:spacing w:line="240" w:lineRule="auto"/>
              <w:rPr>
                <w:rFonts w:ascii="Arial" w:hAnsi="Arial" w:cs="Arial"/>
                <w:sz w:val="16"/>
                <w:szCs w:val="16"/>
              </w:rPr>
            </w:pPr>
            <w:bookmarkStart w:id="280" w:name="CU_596928881"/>
            <w:bookmarkStart w:id="281" w:name="CU_597932740"/>
            <w:bookmarkEnd w:id="280"/>
            <w:bookmarkEnd w:id="281"/>
            <w:r w:rsidRPr="00E106BD">
              <w:rPr>
                <w:rFonts w:ascii="Arial" w:hAnsi="Arial" w:cs="Arial"/>
                <w:sz w:val="16"/>
                <w:szCs w:val="16"/>
              </w:rPr>
              <w:t>Valaciclovir</w:t>
            </w:r>
          </w:p>
        </w:tc>
        <w:tc>
          <w:tcPr>
            <w:tcW w:w="709" w:type="dxa"/>
            <w:tcMar>
              <w:top w:w="28" w:type="dxa"/>
              <w:left w:w="28" w:type="dxa"/>
            </w:tcMar>
          </w:tcPr>
          <w:p w:rsidR="005C4E1C" w:rsidRPr="00E106BD" w:rsidDel="00145E33" w:rsidRDefault="005C4E1C" w:rsidP="00881477">
            <w:pPr>
              <w:widowControl w:val="0"/>
              <w:spacing w:line="240" w:lineRule="auto"/>
              <w:rPr>
                <w:rFonts w:ascii="Arial" w:hAnsi="Arial" w:cs="Arial"/>
                <w:sz w:val="16"/>
                <w:szCs w:val="16"/>
              </w:rPr>
            </w:pPr>
            <w:r w:rsidRPr="00E106BD">
              <w:rPr>
                <w:rFonts w:ascii="Arial" w:hAnsi="Arial" w:cs="Arial"/>
                <w:sz w:val="16"/>
                <w:szCs w:val="16"/>
              </w:rPr>
              <w:t>C5975</w:t>
            </w:r>
          </w:p>
        </w:tc>
        <w:tc>
          <w:tcPr>
            <w:tcW w:w="709" w:type="dxa"/>
            <w:tcMar>
              <w:top w:w="28" w:type="dxa"/>
              <w:left w:w="28" w:type="dxa"/>
            </w:tcMar>
          </w:tcPr>
          <w:p w:rsidR="005C4E1C" w:rsidRPr="00E106BD" w:rsidDel="00145E33"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Del="00145E33" w:rsidRDefault="005C4E1C" w:rsidP="00881477">
            <w:pPr>
              <w:widowControl w:val="0"/>
              <w:spacing w:line="240" w:lineRule="auto"/>
              <w:rPr>
                <w:rFonts w:ascii="Arial" w:hAnsi="Arial" w:cs="Arial"/>
                <w:sz w:val="16"/>
                <w:szCs w:val="16"/>
              </w:rPr>
            </w:pPr>
            <w:r w:rsidRPr="00E106BD">
              <w:rPr>
                <w:rFonts w:ascii="Arial" w:hAnsi="Arial" w:cs="Arial"/>
                <w:sz w:val="16"/>
                <w:szCs w:val="16"/>
              </w:rPr>
              <w:t>Cytomegalovirus infection and disease</w:t>
            </w:r>
            <w:r w:rsidRPr="00E106BD">
              <w:rPr>
                <w:rFonts w:ascii="Arial" w:hAnsi="Arial" w:cs="Arial"/>
                <w:sz w:val="16"/>
                <w:szCs w:val="16"/>
              </w:rPr>
              <w:br/>
              <w:t>Prophylaxis</w:t>
            </w:r>
            <w:r w:rsidRPr="00E106BD">
              <w:rPr>
                <w:rFonts w:ascii="Arial" w:hAnsi="Arial" w:cs="Arial"/>
                <w:sz w:val="16"/>
                <w:szCs w:val="16"/>
              </w:rPr>
              <w:br/>
              <w:t>Patient must have undergone a renal transplant; AND</w:t>
            </w:r>
            <w:r w:rsidRPr="00E106BD">
              <w:rPr>
                <w:rFonts w:ascii="Arial" w:hAnsi="Arial" w:cs="Arial"/>
                <w:sz w:val="16"/>
                <w:szCs w:val="16"/>
              </w:rPr>
              <w:br/>
              <w:t>Patient must be at risk of cytomegalovirus disease.</w:t>
            </w:r>
          </w:p>
        </w:tc>
        <w:tc>
          <w:tcPr>
            <w:tcW w:w="2552" w:type="dxa"/>
            <w:tcMar>
              <w:top w:w="28" w:type="dxa"/>
              <w:left w:w="28" w:type="dxa"/>
              <w:right w:w="57" w:type="dxa"/>
            </w:tcMar>
          </w:tcPr>
          <w:p w:rsidR="005C4E1C" w:rsidRPr="00E106BD" w:rsidDel="00145E33"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5975</w:t>
            </w:r>
          </w:p>
        </w:tc>
      </w:tr>
      <w:tr w:rsidR="005C4E1C" w:rsidRPr="00E106BD" w:rsidDel="00145E33" w:rsidTr="008929EB">
        <w:tc>
          <w:tcPr>
            <w:tcW w:w="1729" w:type="dxa"/>
            <w:tcMar>
              <w:top w:w="28" w:type="dxa"/>
              <w:left w:w="28" w:type="dxa"/>
            </w:tcMar>
          </w:tcPr>
          <w:p w:rsidR="005C4E1C" w:rsidRPr="00E106BD" w:rsidRDefault="005C4E1C" w:rsidP="00881477">
            <w:pPr>
              <w:widowControl w:val="0"/>
              <w:spacing w:line="240" w:lineRule="auto"/>
              <w:rPr>
                <w:rFonts w:ascii="Arial" w:hAnsi="Arial" w:cs="Arial"/>
                <w:sz w:val="16"/>
                <w:szCs w:val="16"/>
              </w:rPr>
            </w:pPr>
          </w:p>
        </w:tc>
        <w:tc>
          <w:tcPr>
            <w:tcW w:w="709" w:type="dxa"/>
            <w:tcMar>
              <w:top w:w="28" w:type="dxa"/>
              <w:left w:w="28"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C9267</w:t>
            </w:r>
          </w:p>
        </w:tc>
        <w:tc>
          <w:tcPr>
            <w:tcW w:w="709" w:type="dxa"/>
            <w:tcMar>
              <w:top w:w="28" w:type="dxa"/>
              <w:left w:w="28" w:type="dxa"/>
            </w:tcMar>
          </w:tcPr>
          <w:p w:rsidR="005C4E1C" w:rsidRPr="00E106BD" w:rsidDel="00145E33"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Cytomegalovirus infection and disease</w:t>
            </w:r>
            <w:r w:rsidRPr="00E106BD">
              <w:rPr>
                <w:szCs w:val="16"/>
              </w:rPr>
              <w:br/>
            </w:r>
            <w:r w:rsidRPr="00E106BD">
              <w:rPr>
                <w:rFonts w:ascii="Arial" w:hAnsi="Arial" w:cs="Arial"/>
                <w:sz w:val="16"/>
                <w:szCs w:val="16"/>
              </w:rPr>
              <w:t>Prophylaxis</w:t>
            </w:r>
            <w:r w:rsidRPr="00E106BD">
              <w:rPr>
                <w:szCs w:val="16"/>
              </w:rPr>
              <w:br/>
            </w:r>
            <w:r w:rsidRPr="00E106BD">
              <w:rPr>
                <w:rFonts w:ascii="Arial" w:hAnsi="Arial" w:cs="Arial"/>
                <w:sz w:val="16"/>
                <w:szCs w:val="16"/>
              </w:rPr>
              <w:t>Patient must have undergone a renal transplant; AND</w:t>
            </w:r>
            <w:r w:rsidRPr="00E106BD">
              <w:rPr>
                <w:szCs w:val="16"/>
              </w:rPr>
              <w:br/>
            </w:r>
            <w:r w:rsidRPr="00E106BD">
              <w:rPr>
                <w:rFonts w:ascii="Arial" w:hAnsi="Arial" w:cs="Arial"/>
                <w:sz w:val="16"/>
                <w:szCs w:val="16"/>
              </w:rPr>
              <w:t>Patient must be at risk of cytomegalovirus disease.</w:t>
            </w:r>
          </w:p>
        </w:tc>
        <w:tc>
          <w:tcPr>
            <w:tcW w:w="2552" w:type="dxa"/>
            <w:tcMar>
              <w:top w:w="28" w:type="dxa"/>
              <w:left w:w="28" w:type="dxa"/>
              <w:right w:w="57"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9267</w:t>
            </w:r>
          </w:p>
        </w:tc>
      </w:tr>
      <w:tr w:rsidR="005C4E1C" w:rsidRPr="00E106BD" w:rsidDel="00EF799C" w:rsidTr="008929EB">
        <w:tc>
          <w:tcPr>
            <w:tcW w:w="1729" w:type="dxa"/>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bookmarkStart w:id="282" w:name="CU_602943903"/>
            <w:bookmarkEnd w:id="282"/>
            <w:r w:rsidRPr="00E106BD">
              <w:rPr>
                <w:rFonts w:ascii="Arial" w:hAnsi="Arial" w:cs="Arial"/>
                <w:sz w:val="16"/>
                <w:szCs w:val="16"/>
              </w:rPr>
              <w:t>Valganciclovir</w:t>
            </w:r>
          </w:p>
        </w:tc>
        <w:tc>
          <w:tcPr>
            <w:tcW w:w="709" w:type="dxa"/>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C4980 </w:t>
            </w:r>
          </w:p>
        </w:tc>
        <w:tc>
          <w:tcPr>
            <w:tcW w:w="709" w:type="dxa"/>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Cytomegalovirus retinitis</w:t>
            </w:r>
            <w:r w:rsidRPr="00E106BD">
              <w:rPr>
                <w:rFonts w:ascii="Arial" w:hAnsi="Arial" w:cs="Arial"/>
                <w:sz w:val="16"/>
                <w:szCs w:val="16"/>
              </w:rPr>
              <w:br/>
              <w:t>Patient must have HIV infection.</w:t>
            </w:r>
          </w:p>
        </w:tc>
        <w:tc>
          <w:tcPr>
            <w:tcW w:w="2552" w:type="dxa"/>
            <w:tcMar>
              <w:top w:w="28" w:type="dxa"/>
              <w:left w:w="28" w:type="dxa"/>
              <w:right w:w="57" w:type="dxa"/>
            </w:tcMar>
          </w:tcPr>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4980</w:t>
            </w:r>
          </w:p>
        </w:tc>
      </w:tr>
      <w:tr w:rsidR="005C4E1C" w:rsidRPr="00E106BD" w:rsidDel="00EF799C" w:rsidTr="008929EB">
        <w:tc>
          <w:tcPr>
            <w:tcW w:w="1729" w:type="dxa"/>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p>
        </w:tc>
        <w:tc>
          <w:tcPr>
            <w:tcW w:w="709" w:type="dxa"/>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C4989</w:t>
            </w:r>
          </w:p>
        </w:tc>
        <w:tc>
          <w:tcPr>
            <w:tcW w:w="709" w:type="dxa"/>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Cytomegalovirus infection and disease</w:t>
            </w:r>
            <w:r w:rsidRPr="00E106BD">
              <w:rPr>
                <w:rFonts w:ascii="Arial" w:hAnsi="Arial" w:cs="Arial"/>
                <w:sz w:val="16"/>
                <w:szCs w:val="16"/>
              </w:rPr>
              <w:br/>
              <w:t>Prophylaxis</w:t>
            </w:r>
            <w:r w:rsidRPr="00E106BD">
              <w:rPr>
                <w:rFonts w:ascii="Arial" w:hAnsi="Arial" w:cs="Arial"/>
                <w:sz w:val="16"/>
                <w:szCs w:val="16"/>
              </w:rPr>
              <w:br/>
              <w:t>Patient must be a solid organ transplant recipient at risk of cytomegalovirus disease.</w:t>
            </w:r>
          </w:p>
        </w:tc>
        <w:tc>
          <w:tcPr>
            <w:tcW w:w="2552" w:type="dxa"/>
            <w:tcMar>
              <w:top w:w="28" w:type="dxa"/>
              <w:left w:w="28" w:type="dxa"/>
              <w:right w:w="57" w:type="dxa"/>
            </w:tcMar>
          </w:tcPr>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4989</w:t>
            </w:r>
          </w:p>
        </w:tc>
      </w:tr>
      <w:tr w:rsidR="005C4E1C" w:rsidRPr="00E106BD" w:rsidDel="00EF799C" w:rsidTr="008929EB">
        <w:tc>
          <w:tcPr>
            <w:tcW w:w="1729" w:type="dxa"/>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p>
        </w:tc>
        <w:tc>
          <w:tcPr>
            <w:tcW w:w="709" w:type="dxa"/>
            <w:tcMar>
              <w:top w:w="28" w:type="dxa"/>
              <w:left w:w="28"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C9316</w:t>
            </w:r>
          </w:p>
        </w:tc>
        <w:tc>
          <w:tcPr>
            <w:tcW w:w="709" w:type="dxa"/>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Cytomegalovirus infection and disease</w:t>
            </w:r>
            <w:r w:rsidRPr="00E106BD">
              <w:rPr>
                <w:szCs w:val="16"/>
              </w:rPr>
              <w:br/>
            </w:r>
            <w:r w:rsidRPr="00E106BD">
              <w:rPr>
                <w:rFonts w:ascii="Arial" w:hAnsi="Arial" w:cs="Arial"/>
                <w:sz w:val="16"/>
                <w:szCs w:val="16"/>
              </w:rPr>
              <w:t>Prophylaxis</w:t>
            </w:r>
            <w:r w:rsidRPr="00E106BD">
              <w:rPr>
                <w:szCs w:val="16"/>
              </w:rPr>
              <w:br/>
            </w:r>
            <w:r w:rsidRPr="00E106BD">
              <w:rPr>
                <w:rFonts w:ascii="Arial" w:hAnsi="Arial" w:cs="Arial"/>
                <w:sz w:val="16"/>
                <w:szCs w:val="16"/>
              </w:rPr>
              <w:t>Patient must be a solid organ transplant recipient at risk of cytomegalovirus disease.</w:t>
            </w:r>
          </w:p>
        </w:tc>
        <w:tc>
          <w:tcPr>
            <w:tcW w:w="2552" w:type="dxa"/>
            <w:tcMar>
              <w:top w:w="28" w:type="dxa"/>
              <w:left w:w="28" w:type="dxa"/>
              <w:right w:w="57"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9316</w:t>
            </w:r>
          </w:p>
        </w:tc>
      </w:tr>
      <w:tr w:rsidR="005C4E1C" w:rsidRPr="00E106BD" w:rsidDel="00891EA4" w:rsidTr="008929EB">
        <w:tc>
          <w:tcPr>
            <w:tcW w:w="1729" w:type="dxa"/>
            <w:tcMar>
              <w:top w:w="28" w:type="dxa"/>
              <w:left w:w="28" w:type="dxa"/>
            </w:tcMar>
          </w:tcPr>
          <w:p w:rsidR="005C4E1C" w:rsidRPr="00E106BD" w:rsidDel="00891EA4" w:rsidRDefault="005C4E1C" w:rsidP="00881477">
            <w:pPr>
              <w:pStyle w:val="mps3-data"/>
              <w:spacing w:before="0"/>
              <w:rPr>
                <w:szCs w:val="16"/>
              </w:rPr>
            </w:pPr>
            <w:r w:rsidRPr="00E106BD">
              <w:rPr>
                <w:szCs w:val="16"/>
              </w:rPr>
              <w:t>Vedolizumab</w:t>
            </w:r>
          </w:p>
        </w:tc>
        <w:tc>
          <w:tcPr>
            <w:tcW w:w="709"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C9682</w:t>
            </w:r>
          </w:p>
        </w:tc>
        <w:tc>
          <w:tcPr>
            <w:tcW w:w="709" w:type="dxa"/>
            <w:tcMar>
              <w:top w:w="28" w:type="dxa"/>
              <w:left w:w="28" w:type="dxa"/>
            </w:tcMar>
          </w:tcPr>
          <w:p w:rsidR="005C4E1C" w:rsidRPr="00E106BD" w:rsidDel="00891EA4" w:rsidRDefault="005C4E1C" w:rsidP="00881477">
            <w:pPr>
              <w:widowControl w:val="0"/>
              <w:spacing w:line="240" w:lineRule="auto"/>
              <w:rPr>
                <w:szCs w:val="16"/>
              </w:rPr>
            </w:pPr>
          </w:p>
        </w:tc>
        <w:tc>
          <w:tcPr>
            <w:tcW w:w="7654"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3 (recommencement of treatment after a break in biological medicine of more than 5 years)</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had a break in treatment of 5 years or more from the most recently approved PBS</w:t>
            </w:r>
            <w:r>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Patient must have a Mayo clinic score greater than or equal to 6; OR</w:t>
            </w:r>
            <w:r w:rsidRPr="00E106BD">
              <w:rPr>
                <w:rFonts w:ascii="Arial" w:hAnsi="Arial" w:cs="Arial"/>
                <w:sz w:val="16"/>
                <w:szCs w:val="16"/>
              </w:rPr>
              <w:br/>
              <w:t>Patient must have a partial Mayo clinic score greater than or equal to 6, provided the rectal bleeding and stool frequency subscores are both greater than or equal to 2 (endoscopy subscore is not required for a partial Mayo clinic score);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Ulcerative Colitis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Mayo clinic or partial Mayo clinic calculation sheet including the date of assessment of the patient</w:t>
            </w:r>
            <w:r w:rsidR="00A653CA">
              <w:rPr>
                <w:rFonts w:ascii="Arial" w:hAnsi="Arial" w:cs="Arial"/>
                <w:sz w:val="16"/>
                <w:szCs w:val="16"/>
              </w:rPr>
              <w:t>’</w:t>
            </w:r>
            <w:r w:rsidRPr="00E106BD">
              <w:rPr>
                <w:rFonts w:ascii="Arial" w:hAnsi="Arial" w:cs="Arial"/>
                <w:sz w:val="16"/>
                <w:szCs w:val="16"/>
              </w:rPr>
              <w:t>s condition; and</w:t>
            </w:r>
            <w:r w:rsidRPr="00E106BD">
              <w:rPr>
                <w:rFonts w:ascii="Arial" w:hAnsi="Arial" w:cs="Arial"/>
                <w:sz w:val="16"/>
                <w:szCs w:val="16"/>
              </w:rPr>
              <w:br/>
              <w:t>(ii) the details of prior biological medicine treatment including the details of date and duration of treatment.</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All tests and assessments should be performed preferably whilst still on treatment, but no longer than 4 weeks following cessation of the most recent prior conventional treatment.</w:t>
            </w:r>
            <w:r w:rsidRPr="00E106BD">
              <w:rPr>
                <w:rFonts w:ascii="Arial" w:hAnsi="Arial" w:cs="Arial"/>
                <w:sz w:val="16"/>
                <w:szCs w:val="16"/>
              </w:rPr>
              <w:br/>
              <w:t>The most recent Mayo clinic or partial Mayo clinic score must be no more than 4 weeks old at the time of application.</w:t>
            </w:r>
            <w:r w:rsidRPr="00E106BD">
              <w:rPr>
                <w:rFonts w:ascii="Arial" w:hAnsi="Arial" w:cs="Arial"/>
                <w:sz w:val="16"/>
                <w:szCs w:val="16"/>
              </w:rPr>
              <w:br/>
              <w:t>A partial Mayo clinic assessment of the patient</w:t>
            </w:r>
            <w:r w:rsidR="00A653CA">
              <w:rPr>
                <w:rFonts w:ascii="Arial" w:hAnsi="Arial" w:cs="Arial"/>
                <w:sz w:val="16"/>
                <w:szCs w:val="16"/>
              </w:rPr>
              <w:t>’</w:t>
            </w:r>
            <w:r w:rsidRPr="00E106BD">
              <w:rPr>
                <w:rFonts w:ascii="Arial" w:hAnsi="Arial" w:cs="Arial"/>
                <w:sz w:val="16"/>
                <w:szCs w:val="16"/>
              </w:rPr>
              <w:t>s response to this initial course of treatment must be following a minimum of 12 weeks of treatment for adalimumab and up to 12 weeks after the first dose (6 weeks following the third dose) for golimumab, infliximab and vedolizumab so that there is adequate time for a response to be demonstrated.</w:t>
            </w:r>
            <w:r w:rsidRPr="00E106BD">
              <w:rPr>
                <w:rFonts w:ascii="Arial" w:hAnsi="Arial" w:cs="Arial"/>
                <w:sz w:val="16"/>
                <w:szCs w:val="16"/>
              </w:rPr>
              <w:br/>
              <w:t>An application for a patient who has received PBS</w:t>
            </w:r>
            <w:r>
              <w:rPr>
                <w:rFonts w:ascii="Arial" w:hAnsi="Arial" w:cs="Arial"/>
                <w:sz w:val="16"/>
                <w:szCs w:val="16"/>
              </w:rPr>
              <w:noBreakHyphen/>
            </w:r>
            <w:r w:rsidRPr="00E106BD">
              <w:rPr>
                <w:rFonts w:ascii="Arial" w:hAnsi="Arial" w:cs="Arial"/>
                <w:sz w:val="16"/>
                <w:szCs w:val="16"/>
              </w:rPr>
              <w:t>subsidised biological medicine treatment for this condition who wishes to recommence therapy with this drug, must be accompanied by evidence of a response to the patient</w:t>
            </w:r>
            <w:r w:rsidR="00A653CA">
              <w:rPr>
                <w:rFonts w:ascii="Arial" w:hAnsi="Arial" w:cs="Arial"/>
                <w:sz w:val="16"/>
                <w:szCs w:val="16"/>
              </w:rPr>
              <w:t>’</w:t>
            </w:r>
            <w:r w:rsidRPr="00E106BD">
              <w:rPr>
                <w:rFonts w:ascii="Arial" w:hAnsi="Arial" w:cs="Arial"/>
                <w:sz w:val="16"/>
                <w:szCs w:val="16"/>
              </w:rPr>
              <w:t>s most recent course of PBS</w:t>
            </w:r>
            <w:r>
              <w:rPr>
                <w:rFonts w:ascii="Arial" w:hAnsi="Arial" w:cs="Arial"/>
                <w:sz w:val="16"/>
                <w:szCs w:val="16"/>
              </w:rPr>
              <w:noBreakHyphen/>
            </w:r>
            <w:r w:rsidRPr="00E106BD">
              <w:rPr>
                <w:rFonts w:ascii="Arial" w:hAnsi="Arial" w:cs="Arial"/>
                <w:sz w:val="16"/>
                <w:szCs w:val="16"/>
              </w:rPr>
              <w:t>subsidised biological medicine treatment, within the timeframes specified below.</w:t>
            </w:r>
            <w:r w:rsidRPr="00E106BD">
              <w:rPr>
                <w:rFonts w:ascii="Arial" w:hAnsi="Arial" w:cs="Arial"/>
                <w:sz w:val="16"/>
                <w:szCs w:val="16"/>
              </w:rPr>
              <w:br/>
              <w:t>Where the most recent course of PBS</w:t>
            </w:r>
            <w:r>
              <w:rPr>
                <w:rFonts w:ascii="Arial" w:hAnsi="Arial" w:cs="Arial"/>
                <w:sz w:val="16"/>
                <w:szCs w:val="16"/>
              </w:rPr>
              <w:noBreakHyphen/>
            </w:r>
            <w:r w:rsidRPr="00E106BD">
              <w:rPr>
                <w:rFonts w:ascii="Arial" w:hAnsi="Arial" w:cs="Arial"/>
                <w:sz w:val="16"/>
                <w:szCs w:val="16"/>
              </w:rPr>
              <w:t>subsidised biological medicine treatment was approved under either Initial 1, Initial 2, Initial 3 or continuing treatment restrictions, an assessment of a patient</w:t>
            </w:r>
            <w:r w:rsidR="00A653CA">
              <w:rPr>
                <w:rFonts w:ascii="Arial" w:hAnsi="Arial" w:cs="Arial"/>
                <w:sz w:val="16"/>
                <w:szCs w:val="16"/>
              </w:rPr>
              <w:t>’</w:t>
            </w:r>
            <w:r w:rsidRPr="00E106BD">
              <w:rPr>
                <w:rFonts w:ascii="Arial" w:hAnsi="Arial" w:cs="Arial"/>
                <w:sz w:val="16"/>
                <w:szCs w:val="16"/>
              </w:rPr>
              <w:t>s response must have been conducted following a minimum of 12 weeks of therapy and submitted to the Department of Human Services no later than 4 weeks from the date of completion of treatment.</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Details of the accepted toxicities including severity can be found on the Department of Human Services website.</w:t>
            </w:r>
          </w:p>
        </w:tc>
        <w:tc>
          <w:tcPr>
            <w:tcW w:w="2552" w:type="dxa"/>
            <w:tcMar>
              <w:top w:w="28" w:type="dxa"/>
              <w:left w:w="28" w:type="dxa"/>
              <w:right w:w="57"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5C4E1C" w:rsidRPr="00E106BD" w:rsidDel="00891EA4" w:rsidTr="008929EB">
        <w:tc>
          <w:tcPr>
            <w:tcW w:w="1729" w:type="dxa"/>
            <w:tcMar>
              <w:top w:w="28" w:type="dxa"/>
              <w:left w:w="28" w:type="dxa"/>
            </w:tcMar>
          </w:tcPr>
          <w:p w:rsidR="005C4E1C" w:rsidRPr="00E106BD" w:rsidDel="00891EA4" w:rsidRDefault="005C4E1C" w:rsidP="00881477">
            <w:pPr>
              <w:widowControl w:val="0"/>
              <w:spacing w:line="240" w:lineRule="auto"/>
              <w:rPr>
                <w:szCs w:val="16"/>
              </w:rPr>
            </w:pPr>
          </w:p>
        </w:tc>
        <w:tc>
          <w:tcPr>
            <w:tcW w:w="709"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C9683</w:t>
            </w:r>
          </w:p>
        </w:tc>
        <w:tc>
          <w:tcPr>
            <w:tcW w:w="709" w:type="dxa"/>
            <w:tcMar>
              <w:top w:w="28" w:type="dxa"/>
              <w:left w:w="28" w:type="dxa"/>
            </w:tcMar>
          </w:tcPr>
          <w:p w:rsidR="005C4E1C" w:rsidRPr="00E106BD" w:rsidDel="00891EA4" w:rsidRDefault="005C4E1C" w:rsidP="00881477">
            <w:pPr>
              <w:widowControl w:val="0"/>
              <w:spacing w:line="240" w:lineRule="auto"/>
              <w:rPr>
                <w:szCs w:val="16"/>
              </w:rPr>
            </w:pPr>
          </w:p>
        </w:tc>
        <w:tc>
          <w:tcPr>
            <w:tcW w:w="7654"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Continuing treatment</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demonstrated or sustained an adequate response to treatment by having a partial Mayo clinic score less than or equal to 2, with no subscore greater than 1 while receiving treatment with this drug;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Patients who have failed to maintain a partial Mayo clinic score less than or equal to 2, with no subscore greater than 1 with continuing treatment with this drug, will not be eligible to receive further PBS</w:t>
            </w:r>
            <w:r>
              <w:rPr>
                <w:rFonts w:ascii="Arial" w:hAnsi="Arial" w:cs="Arial"/>
                <w:sz w:val="16"/>
                <w:szCs w:val="16"/>
              </w:rPr>
              <w:noBreakHyphen/>
            </w:r>
            <w:r w:rsidRPr="00E106BD">
              <w:rPr>
                <w:rFonts w:ascii="Arial" w:hAnsi="Arial" w:cs="Arial"/>
                <w:sz w:val="16"/>
                <w:szCs w:val="16"/>
              </w:rPr>
              <w:t>subsidised treatment with this drug.</w:t>
            </w:r>
            <w:r w:rsidRPr="00E106BD">
              <w:rPr>
                <w:rFonts w:ascii="Arial" w:hAnsi="Arial" w:cs="Arial"/>
                <w:sz w:val="16"/>
                <w:szCs w:val="16"/>
              </w:rPr>
              <w:br/>
              <w:t>Patients are eligible to receive continuing treatment with this drug in courses of up to 24 weeks providing they continue to sustain the response.</w:t>
            </w:r>
            <w:r w:rsidRPr="00E106BD">
              <w:rPr>
                <w:rFonts w:ascii="Arial" w:hAnsi="Arial" w:cs="Arial"/>
                <w:sz w:val="16"/>
                <w:szCs w:val="16"/>
              </w:rPr>
              <w:br/>
              <w:t>At the time of the authority application, medical practitioners should request the appropriate number of vials, to provide for a single infusion of 300 mg per dose.</w:t>
            </w:r>
            <w:r w:rsidRPr="00E106BD">
              <w:rPr>
                <w:rFonts w:ascii="Arial" w:hAnsi="Arial" w:cs="Arial"/>
                <w:sz w:val="16"/>
                <w:szCs w:val="16"/>
              </w:rPr>
              <w:br/>
              <w:t>Up to a maximum of 2 repeats will be authorised.</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Compliance with Authority Required procedures</w:t>
            </w:r>
          </w:p>
        </w:tc>
      </w:tr>
      <w:tr w:rsidR="005C4E1C" w:rsidRPr="00E106BD" w:rsidDel="00891EA4" w:rsidTr="008929EB">
        <w:tc>
          <w:tcPr>
            <w:tcW w:w="1729" w:type="dxa"/>
            <w:tcMar>
              <w:top w:w="28" w:type="dxa"/>
              <w:left w:w="28" w:type="dxa"/>
            </w:tcMar>
          </w:tcPr>
          <w:p w:rsidR="005C4E1C" w:rsidRPr="00E106BD" w:rsidDel="00891EA4" w:rsidRDefault="005C4E1C" w:rsidP="00881477">
            <w:pPr>
              <w:widowControl w:val="0"/>
              <w:spacing w:line="240" w:lineRule="auto"/>
              <w:rPr>
                <w:szCs w:val="16"/>
              </w:rPr>
            </w:pPr>
          </w:p>
        </w:tc>
        <w:tc>
          <w:tcPr>
            <w:tcW w:w="709"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C9708</w:t>
            </w:r>
          </w:p>
        </w:tc>
        <w:tc>
          <w:tcPr>
            <w:tcW w:w="709" w:type="dxa"/>
            <w:tcMar>
              <w:top w:w="28" w:type="dxa"/>
              <w:left w:w="28" w:type="dxa"/>
            </w:tcMar>
          </w:tcPr>
          <w:p w:rsidR="005C4E1C" w:rsidRPr="00E106BD" w:rsidDel="00891EA4" w:rsidRDefault="005C4E1C" w:rsidP="00881477">
            <w:pPr>
              <w:widowControl w:val="0"/>
              <w:spacing w:line="240" w:lineRule="auto"/>
              <w:rPr>
                <w:szCs w:val="16"/>
              </w:rPr>
            </w:pPr>
          </w:p>
        </w:tc>
        <w:tc>
          <w:tcPr>
            <w:tcW w:w="7654"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1 (new patient)</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be aged 18 years or older.</w:t>
            </w:r>
            <w:r w:rsidRPr="00E106BD">
              <w:rPr>
                <w:rFonts w:ascii="Arial" w:hAnsi="Arial" w:cs="Arial"/>
                <w:sz w:val="16"/>
                <w:szCs w:val="16"/>
              </w:rPr>
              <w:br/>
              <w:t>Patient must have confirmed severe Crohn disease, defined by standard clinical, endoscopic and/or imaging features, including histological evidence, with the diagnosis confirmed by a gastroenterologist or a consultant physician; AND</w:t>
            </w:r>
            <w:r w:rsidRPr="00E106BD">
              <w:rPr>
                <w:rFonts w:ascii="Arial" w:hAnsi="Arial" w:cs="Arial"/>
                <w:sz w:val="16"/>
                <w:szCs w:val="16"/>
              </w:rPr>
              <w:br/>
              <w:t>Patient must have failed to achieve an adequate response to prior systemic therapy with a tapered course of steroids, starting at a dose of at least 40 mg prednisolone (or equivalent), over a 6 week period; AND</w:t>
            </w:r>
            <w:r w:rsidRPr="00E106BD">
              <w:rPr>
                <w:rFonts w:ascii="Arial" w:hAnsi="Arial" w:cs="Arial"/>
                <w:sz w:val="16"/>
                <w:szCs w:val="16"/>
              </w:rPr>
              <w:br/>
              <w:t>Patient must have failed to achieve adequate response to prior systemic immunosuppressive therapy with azathioprine at a dose of at least 2 mg per kg daily for 3 or more consecutive months; OR</w:t>
            </w:r>
            <w:r w:rsidRPr="00E106BD">
              <w:rPr>
                <w:rFonts w:ascii="Arial" w:hAnsi="Arial" w:cs="Arial"/>
                <w:sz w:val="16"/>
                <w:szCs w:val="16"/>
              </w:rPr>
              <w:br/>
              <w:t>Patient must have failed to achieve adequate response to prior systemic immunosuppressive therapy with 6</w:t>
            </w:r>
            <w:r>
              <w:rPr>
                <w:rFonts w:ascii="Arial" w:hAnsi="Arial" w:cs="Arial"/>
                <w:sz w:val="16"/>
                <w:szCs w:val="16"/>
              </w:rPr>
              <w:noBreakHyphen/>
            </w:r>
            <w:r w:rsidRPr="00E106BD">
              <w:rPr>
                <w:rFonts w:ascii="Arial" w:hAnsi="Arial" w:cs="Arial"/>
                <w:sz w:val="16"/>
                <w:szCs w:val="16"/>
              </w:rPr>
              <w:t>mercaptopurine at a dose of at least 1 mg per kg daily for 3 or more consecutive months; OR</w:t>
            </w:r>
            <w:r w:rsidRPr="00E106BD">
              <w:rPr>
                <w:rFonts w:ascii="Arial" w:hAnsi="Arial" w:cs="Arial"/>
                <w:sz w:val="16"/>
                <w:szCs w:val="16"/>
              </w:rPr>
              <w:br/>
              <w:t>Patient must have failed to achieve adequate response to prior systemic immunosuppressive therapy with methotrexate at a dose of at least 15 mg weekly for 3 or more consecutive months; AND</w:t>
            </w:r>
            <w:r w:rsidRPr="00E106BD">
              <w:rPr>
                <w:rFonts w:ascii="Arial" w:hAnsi="Arial" w:cs="Arial"/>
                <w:sz w:val="16"/>
                <w:szCs w:val="16"/>
              </w:rPr>
              <w:br/>
              <w:t>The treatment must not exceed a total of 3 doses to be administered at weeks 0, 2 and 6 under this restriction; AND</w:t>
            </w:r>
            <w:r w:rsidRPr="00E106BD">
              <w:rPr>
                <w:rFonts w:ascii="Arial" w:hAnsi="Arial" w:cs="Arial"/>
                <w:sz w:val="16"/>
                <w:szCs w:val="16"/>
              </w:rPr>
              <w:br/>
              <w:t>Patient must be appropriately assessed for the risk of developing progressive multifocal leukoencephalopathy whilst on this treatment; AND</w:t>
            </w:r>
            <w:r w:rsidRPr="00E106BD">
              <w:rPr>
                <w:rFonts w:ascii="Arial" w:hAnsi="Arial" w:cs="Arial"/>
                <w:sz w:val="16"/>
                <w:szCs w:val="16"/>
              </w:rPr>
              <w:br/>
              <w:t>Patient must have a Crohn Disease Activity Index (CDAI) Score greater than or equal to 300 as evidence of failure to achieve an adequate response to prior systemic therapy; OR</w:t>
            </w:r>
            <w:r w:rsidRPr="00E106BD">
              <w:rPr>
                <w:rFonts w:ascii="Arial" w:hAnsi="Arial" w:cs="Arial"/>
                <w:sz w:val="16"/>
                <w:szCs w:val="16"/>
              </w:rPr>
              <w:b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r w:rsidRPr="00E106BD">
              <w:rPr>
                <w:rFonts w:ascii="Arial" w:hAnsi="Arial" w:cs="Arial"/>
                <w:sz w:val="16"/>
                <w:szCs w:val="16"/>
              </w:rPr>
              <w:br/>
              <w:t>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therapy as specified below.</w:t>
            </w:r>
            <w:r w:rsidRPr="00E106BD">
              <w:rPr>
                <w:rFonts w:ascii="Arial" w:hAnsi="Arial" w:cs="Arial"/>
                <w:sz w:val="16"/>
                <w:szCs w:val="16"/>
              </w:rPr>
              <w:br/>
              <w:t>Applications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Crohn Disease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Crohn Disease Activity Index (CDAI) calculation sheet including the date of assessment of the patient</w:t>
            </w:r>
            <w:r w:rsidR="00A653CA">
              <w:rPr>
                <w:rFonts w:ascii="Arial" w:hAnsi="Arial" w:cs="Arial"/>
                <w:sz w:val="16"/>
                <w:szCs w:val="16"/>
              </w:rPr>
              <w:t>’</w:t>
            </w:r>
            <w:r w:rsidRPr="00E106BD">
              <w:rPr>
                <w:rFonts w:ascii="Arial" w:hAnsi="Arial" w:cs="Arial"/>
                <w:sz w:val="16"/>
                <w:szCs w:val="16"/>
              </w:rPr>
              <w:t>s condition if relevant; and</w:t>
            </w:r>
            <w:r w:rsidRPr="00E106BD">
              <w:rPr>
                <w:rFonts w:ascii="Arial" w:hAnsi="Arial" w:cs="Arial"/>
                <w:sz w:val="16"/>
                <w:szCs w:val="16"/>
              </w:rPr>
              <w:br/>
              <w:t>(ii) details of prior systemic drug therapy [dosage, date of commencement and duration of therapy]; and</w:t>
            </w:r>
            <w:r w:rsidRPr="00E106BD">
              <w:rPr>
                <w:rFonts w:ascii="Arial" w:hAnsi="Arial" w:cs="Arial"/>
                <w:sz w:val="16"/>
                <w:szCs w:val="16"/>
              </w:rPr>
              <w:br/>
              <w:t>(iii) the reports and dates of the pathology or diagnostic imaging test(s) nominated as the response criterion, if relevant; and</w:t>
            </w:r>
            <w:r w:rsidRPr="00E106BD">
              <w:rPr>
                <w:rFonts w:ascii="Arial" w:hAnsi="Arial" w:cs="Arial"/>
                <w:sz w:val="16"/>
                <w:szCs w:val="16"/>
              </w:rPr>
              <w:br/>
              <w:t>(iv) the date of the most recent clinical assessment.</w:t>
            </w:r>
            <w:r w:rsidRPr="00E106BD">
              <w:rPr>
                <w:rFonts w:ascii="Arial" w:hAnsi="Arial" w:cs="Arial"/>
                <w:sz w:val="16"/>
                <w:szCs w:val="16"/>
              </w:rPr>
              <w:br/>
              <w:t>Evidence of failure to achieve an adequate response to prior therapy must include at least one of the following:</w:t>
            </w:r>
            <w:r w:rsidRPr="00E106BD">
              <w:rPr>
                <w:rFonts w:ascii="Arial" w:hAnsi="Arial" w:cs="Arial"/>
                <w:sz w:val="16"/>
                <w:szCs w:val="16"/>
              </w:rPr>
              <w:br/>
              <w:t>(a) patient must have evidence of intestinal inflammation;</w:t>
            </w:r>
            <w:r w:rsidRPr="00E106BD">
              <w:rPr>
                <w:rFonts w:ascii="Arial" w:hAnsi="Arial" w:cs="Arial"/>
                <w:sz w:val="16"/>
                <w:szCs w:val="16"/>
              </w:rPr>
              <w:br/>
              <w:t>(b) patient must be assessed clinically as being in a high faecal output state;</w:t>
            </w:r>
            <w:r w:rsidRPr="00E106BD">
              <w:rPr>
                <w:rFonts w:ascii="Arial" w:hAnsi="Arial" w:cs="Arial"/>
                <w:sz w:val="16"/>
                <w:szCs w:val="16"/>
              </w:rPr>
              <w:br/>
              <w:t>(c) patient must be assessed clinically as requiring surgery or total parenteral nutrition (TPN) as the next therapeutic option, in the absence of this drug, if affected by short gut syndrome, extensive small intestine disease or is an ostomy patient.</w:t>
            </w:r>
            <w:r w:rsidRPr="00E106BD">
              <w:rPr>
                <w:rFonts w:ascii="Arial" w:hAnsi="Arial" w:cs="Arial"/>
                <w:sz w:val="16"/>
                <w:szCs w:val="16"/>
              </w:rPr>
              <w:br/>
              <w:t>Evidence of intestinal inflammation includes:</w:t>
            </w:r>
            <w:r w:rsidRPr="00E106BD">
              <w:rPr>
                <w:rFonts w:ascii="Arial" w:hAnsi="Arial" w:cs="Arial"/>
                <w:sz w:val="16"/>
                <w:szCs w:val="16"/>
              </w:rPr>
              <w:br/>
              <w:t>(i) blood: higher than normal platelet count, or, an elevated erythrocyte sedimentation rate (ESR) greater than 25 mm per hour, or, a C</w:t>
            </w:r>
            <w:r>
              <w:rPr>
                <w:rFonts w:ascii="Arial" w:hAnsi="Arial" w:cs="Arial"/>
                <w:sz w:val="16"/>
                <w:szCs w:val="16"/>
              </w:rPr>
              <w:noBreakHyphen/>
            </w:r>
            <w:r w:rsidRPr="00E106BD">
              <w:rPr>
                <w:rFonts w:ascii="Arial" w:hAnsi="Arial" w:cs="Arial"/>
                <w:sz w:val="16"/>
                <w:szCs w:val="16"/>
              </w:rPr>
              <w:t>reactive protein (CRP) level greater than 15 mg per L; or</w:t>
            </w:r>
            <w:r w:rsidRPr="00E106BD">
              <w:rPr>
                <w:rFonts w:ascii="Arial" w:hAnsi="Arial" w:cs="Arial"/>
                <w:sz w:val="16"/>
                <w:szCs w:val="16"/>
              </w:rPr>
              <w:br/>
              <w:t>(ii) faeces: higher than normal lactoferrin or calprotectin level; or</w:t>
            </w:r>
            <w:r w:rsidRPr="00E106BD">
              <w:rPr>
                <w:rFonts w:ascii="Arial" w:hAnsi="Arial" w:cs="Arial"/>
                <w:sz w:val="16"/>
                <w:szCs w:val="16"/>
              </w:rPr>
              <w:br/>
              <w:t>(iii) diagnostic imaging: demonstration of increased uptake of intravenous contrast with thickening of the bowel wall or mesenteric lymphadenopathy or fat streaking in the mesentery.</w:t>
            </w:r>
            <w:r w:rsidRPr="00E106BD">
              <w:rPr>
                <w:rFonts w:ascii="Arial" w:hAnsi="Arial" w:cs="Arial"/>
                <w:sz w:val="16"/>
                <w:szCs w:val="16"/>
              </w:rPr>
              <w:br/>
              <w:t>All assessments, pathology tests and diagnostic imaging studies must be made within 1 month of the date of application and should be performed preferably whilst still on conventional treatment, but no longer than 1 month following cessation of the most recent prior treatment</w:t>
            </w:r>
            <w:r w:rsidRPr="00E106BD">
              <w:rPr>
                <w:rFonts w:ascii="Arial" w:hAnsi="Arial" w:cs="Arial"/>
                <w:sz w:val="16"/>
                <w:szCs w:val="16"/>
              </w:rPr>
              <w:br/>
              <w:t>If treatment with any of the specified prior conventional drugs is contraindicated according to the relevant TGA</w:t>
            </w:r>
            <w:r>
              <w:rPr>
                <w:rFonts w:ascii="Arial" w:hAnsi="Arial" w:cs="Arial"/>
                <w:sz w:val="16"/>
                <w:szCs w:val="16"/>
              </w:rPr>
              <w:noBreakHyphen/>
            </w:r>
            <w:r w:rsidRPr="00E106BD">
              <w:rPr>
                <w:rFonts w:ascii="Arial" w:hAnsi="Arial" w:cs="Arial"/>
                <w:sz w:val="16"/>
                <w:szCs w:val="16"/>
              </w:rPr>
              <w:t>approved Product Information, please provide details at the time of application.</w:t>
            </w:r>
            <w:r w:rsidRPr="00E106BD">
              <w:rPr>
                <w:rFonts w:ascii="Arial" w:hAnsi="Arial" w:cs="Arial"/>
                <w:sz w:val="16"/>
                <w:szCs w:val="16"/>
              </w:rPr>
              <w:br/>
              <w:t>If intolerance to treatment develops during the relevant period of use, which is of a severity necessitating permanent treatment withdrawal, details of this toxicity must be provided at the time of application.</w:t>
            </w:r>
            <w:r w:rsidRPr="00E106BD">
              <w:rPr>
                <w:rFonts w:ascii="Arial" w:hAnsi="Arial" w:cs="Arial"/>
                <w:sz w:val="16"/>
                <w:szCs w:val="16"/>
              </w:rPr>
              <w:br/>
              <w:t>Details of the accepted toxicities including severity can be found on the Department of Human Services website.</w:t>
            </w:r>
            <w:r w:rsidRPr="00E106BD">
              <w:rPr>
                <w:rFonts w:ascii="Arial" w:hAnsi="Arial" w:cs="Arial"/>
                <w:sz w:val="16"/>
                <w:szCs w:val="16"/>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Pr>
                <w:rFonts w:ascii="Arial" w:hAnsi="Arial" w:cs="Arial"/>
                <w:sz w:val="16"/>
                <w:szCs w:val="16"/>
              </w:rPr>
              <w:noBreakHyphen/>
            </w:r>
            <w:r w:rsidRPr="00E106BD">
              <w:rPr>
                <w:rFonts w:ascii="Arial" w:hAnsi="Arial" w:cs="Arial"/>
                <w:sz w:val="16"/>
                <w:szCs w:val="16"/>
              </w:rPr>
              <w:t>subsidised therapy.</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hAnsi="Arial" w:cs="Arial"/>
                <w:sz w:val="16"/>
                <w:szCs w:val="16"/>
              </w:rPr>
              <w:br/>
              <w:t>The assessment of the patient</w:t>
            </w:r>
            <w:r w:rsidR="00A653CA">
              <w:rPr>
                <w:rFonts w:ascii="Arial" w:hAnsi="Arial" w:cs="Arial"/>
                <w:sz w:val="16"/>
                <w:szCs w:val="16"/>
              </w:rPr>
              <w:t>’</w:t>
            </w:r>
            <w:r w:rsidRPr="00E106BD">
              <w:rPr>
                <w:rFonts w:ascii="Arial" w:hAnsi="Arial" w:cs="Arial"/>
                <w:sz w:val="16"/>
                <w:szCs w:val="16"/>
              </w:rPr>
              <w:t>s response to this initial course of treatment must be made up to 12 weeks after the first dose (6 weeks following the third dose) so that there is adequate time for a response to be demonstrated.</w:t>
            </w:r>
            <w:r w:rsidRPr="00E106BD">
              <w:rPr>
                <w:rFonts w:ascii="Arial" w:hAnsi="Arial" w:cs="Arial"/>
                <w:sz w:val="16"/>
                <w:szCs w:val="16"/>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5C4E1C" w:rsidRPr="00E106BD" w:rsidDel="00891EA4" w:rsidTr="008929EB">
        <w:tc>
          <w:tcPr>
            <w:tcW w:w="1729" w:type="dxa"/>
            <w:tcMar>
              <w:top w:w="28" w:type="dxa"/>
              <w:left w:w="28" w:type="dxa"/>
            </w:tcMar>
          </w:tcPr>
          <w:p w:rsidR="005C4E1C" w:rsidRPr="00E106BD" w:rsidDel="00891EA4" w:rsidRDefault="005C4E1C" w:rsidP="00881477">
            <w:pPr>
              <w:pStyle w:val="mps3-data"/>
              <w:spacing w:before="0"/>
              <w:rPr>
                <w:szCs w:val="16"/>
              </w:rPr>
            </w:pPr>
          </w:p>
        </w:tc>
        <w:tc>
          <w:tcPr>
            <w:tcW w:w="709"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C9738</w:t>
            </w:r>
          </w:p>
        </w:tc>
        <w:tc>
          <w:tcPr>
            <w:tcW w:w="709" w:type="dxa"/>
            <w:tcMar>
              <w:top w:w="28" w:type="dxa"/>
              <w:left w:w="28" w:type="dxa"/>
            </w:tcMar>
          </w:tcPr>
          <w:p w:rsidR="005C4E1C" w:rsidRPr="00E106BD" w:rsidDel="00891EA4" w:rsidRDefault="005C4E1C" w:rsidP="00881477">
            <w:pPr>
              <w:pStyle w:val="mps3-data"/>
              <w:spacing w:before="0"/>
              <w:rPr>
                <w:szCs w:val="16"/>
              </w:rPr>
            </w:pPr>
          </w:p>
        </w:tc>
        <w:tc>
          <w:tcPr>
            <w:tcW w:w="7654"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Balance of supply</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insufficient therapy with this drug for this condition under the Initial 1 (new patient)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continuing treatment restriction to complete 24 weeks of treatment; AND</w:t>
            </w:r>
            <w:r w:rsidRPr="00E106BD">
              <w:rPr>
                <w:rFonts w:ascii="Arial" w:hAnsi="Arial" w:cs="Arial"/>
                <w:sz w:val="16"/>
                <w:szCs w:val="16"/>
              </w:rPr>
              <w:br/>
              <w:t>The treatment must provide no more than the balance of up to 3 doses therapy available under Initial 1, 2 or 3 treatment; OR</w:t>
            </w:r>
            <w:r w:rsidRPr="00E106BD">
              <w:rPr>
                <w:rFonts w:ascii="Arial" w:hAnsi="Arial" w:cs="Arial"/>
                <w:sz w:val="16"/>
                <w:szCs w:val="16"/>
              </w:rPr>
              <w:br/>
              <w:t>The treatment must provide no more than the balance of up to 24 weeks therapy available under Continuing treatment; AND</w:t>
            </w:r>
            <w:r w:rsidRPr="00E106BD">
              <w:rPr>
                <w:rFonts w:ascii="Arial" w:hAnsi="Arial" w:cs="Arial"/>
                <w:sz w:val="16"/>
                <w:szCs w:val="16"/>
              </w:rPr>
              <w:br/>
              <w:t>Patient must be appropriately assessed for the risk of developing progressive multifocal leukoencephalopathy whilst on this treatment.</w:t>
            </w:r>
          </w:p>
        </w:tc>
        <w:tc>
          <w:tcPr>
            <w:tcW w:w="2552" w:type="dxa"/>
            <w:tcMar>
              <w:top w:w="28" w:type="dxa"/>
              <w:left w:w="28" w:type="dxa"/>
              <w:right w:w="57"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Compliance with Authority Required procedures</w:t>
            </w:r>
          </w:p>
        </w:tc>
      </w:tr>
      <w:tr w:rsidR="005C4E1C" w:rsidRPr="00E106BD" w:rsidDel="00891EA4" w:rsidTr="008929EB">
        <w:tc>
          <w:tcPr>
            <w:tcW w:w="1729" w:type="dxa"/>
            <w:tcMar>
              <w:top w:w="28" w:type="dxa"/>
              <w:left w:w="28" w:type="dxa"/>
            </w:tcMar>
          </w:tcPr>
          <w:p w:rsidR="005C4E1C" w:rsidRPr="00E106BD" w:rsidDel="00891EA4" w:rsidRDefault="005C4E1C" w:rsidP="00881477">
            <w:pPr>
              <w:widowControl w:val="0"/>
              <w:spacing w:line="240" w:lineRule="auto"/>
              <w:rPr>
                <w:szCs w:val="16"/>
              </w:rPr>
            </w:pPr>
          </w:p>
        </w:tc>
        <w:tc>
          <w:tcPr>
            <w:tcW w:w="709"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C9739</w:t>
            </w:r>
          </w:p>
        </w:tc>
        <w:tc>
          <w:tcPr>
            <w:tcW w:w="709" w:type="dxa"/>
            <w:tcMar>
              <w:top w:w="28" w:type="dxa"/>
              <w:left w:w="28" w:type="dxa"/>
            </w:tcMar>
          </w:tcPr>
          <w:p w:rsidR="005C4E1C" w:rsidRPr="00E106BD" w:rsidDel="00891EA4" w:rsidRDefault="005C4E1C" w:rsidP="00881477">
            <w:pPr>
              <w:widowControl w:val="0"/>
              <w:spacing w:line="240" w:lineRule="auto"/>
              <w:rPr>
                <w:szCs w:val="16"/>
              </w:rPr>
            </w:pPr>
          </w:p>
        </w:tc>
        <w:tc>
          <w:tcPr>
            <w:tcW w:w="7654"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2 (change or recommencement of treatment after a break in biological medicine of less than 5 years)</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prior PBS</w:t>
            </w:r>
            <w:r>
              <w:rPr>
                <w:rFonts w:ascii="Arial" w:hAnsi="Arial" w:cs="Arial"/>
                <w:sz w:val="16"/>
                <w:szCs w:val="16"/>
              </w:rPr>
              <w:noBreakHyphen/>
            </w:r>
            <w:r w:rsidRPr="00E106BD">
              <w:rPr>
                <w:rFonts w:ascii="Arial" w:hAnsi="Arial" w:cs="Arial"/>
                <w:sz w:val="16"/>
                <w:szCs w:val="16"/>
              </w:rPr>
              <w:t>subsidised treatment with a biological medicine for this condition in this treatment cycle; AND</w:t>
            </w:r>
            <w:r w:rsidRPr="00E106BD">
              <w:rPr>
                <w:rFonts w:ascii="Arial" w:hAnsi="Arial" w:cs="Arial"/>
                <w:sz w:val="16"/>
                <w:szCs w:val="16"/>
              </w:rPr>
              <w:br/>
              <w:t>Patient must not have already failed, or ceased to respond to, PBS</w:t>
            </w:r>
            <w:r>
              <w:rPr>
                <w:rFonts w:ascii="Arial" w:hAnsi="Arial" w:cs="Arial"/>
                <w:sz w:val="16"/>
                <w:szCs w:val="16"/>
              </w:rPr>
              <w:noBreakHyphen/>
            </w:r>
            <w:r w:rsidRPr="00E106BD">
              <w:rPr>
                <w:rFonts w:ascii="Arial" w:hAnsi="Arial" w:cs="Arial"/>
                <w:sz w:val="16"/>
                <w:szCs w:val="16"/>
              </w:rPr>
              <w:t>subsidised treatment with this drug for this condition during the current treatment cycle;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Ulcerative Colitis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Mayo clinic or partial Mayo clinic calculation sheet including the date of assessment of the patient</w:t>
            </w:r>
            <w:r w:rsidR="00A653CA">
              <w:rPr>
                <w:rFonts w:ascii="Arial" w:hAnsi="Arial" w:cs="Arial"/>
                <w:sz w:val="16"/>
                <w:szCs w:val="16"/>
              </w:rPr>
              <w:t>’</w:t>
            </w:r>
            <w:r w:rsidRPr="00E106BD">
              <w:rPr>
                <w:rFonts w:ascii="Arial" w:hAnsi="Arial" w:cs="Arial"/>
                <w:sz w:val="16"/>
                <w:szCs w:val="16"/>
              </w:rPr>
              <w:t>s condition if relevant; and</w:t>
            </w:r>
            <w:r w:rsidRPr="00E106BD">
              <w:rPr>
                <w:rFonts w:ascii="Arial" w:hAnsi="Arial" w:cs="Arial"/>
                <w:sz w:val="16"/>
                <w:szCs w:val="16"/>
              </w:rPr>
              <w:br/>
              <w:t>(ii) the details of prior biological medicine treatment including the details of date and duration of treatment.</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At the time of the authority application, medical practitioners should request the appropriate number of vials, to provide for a single infusion of 300 mg per dose.</w:t>
            </w:r>
            <w:r w:rsidRPr="00E106BD">
              <w:rPr>
                <w:rFonts w:ascii="Arial" w:hAnsi="Arial" w:cs="Arial"/>
                <w:sz w:val="16"/>
                <w:szCs w:val="16"/>
              </w:rPr>
              <w:br/>
              <w:t>Up to a maximum of 2 repeats will be authorised.</w:t>
            </w:r>
            <w:r w:rsidRPr="00E106BD">
              <w:rPr>
                <w:rFonts w:ascii="Arial" w:hAnsi="Arial" w:cs="Arial"/>
                <w:sz w:val="16"/>
                <w:szCs w:val="16"/>
              </w:rPr>
              <w:br/>
              <w:t>Authority approval for sufficient therapy to complete a maximum of 3 initial doses of treatment may be requested by telephone by contacting the Department of Human Services.</w:t>
            </w:r>
            <w:r w:rsidRPr="00E106BD">
              <w:rPr>
                <w:rFonts w:ascii="Arial" w:hAnsi="Arial" w:cs="Arial"/>
                <w:sz w:val="16"/>
                <w:szCs w:val="16"/>
              </w:rPr>
              <w:br/>
              <w:t>An application for a patient who has received PBS</w:t>
            </w:r>
            <w:r>
              <w:rPr>
                <w:rFonts w:ascii="Arial" w:hAnsi="Arial" w:cs="Arial"/>
                <w:sz w:val="16"/>
                <w:szCs w:val="16"/>
              </w:rPr>
              <w:noBreakHyphen/>
            </w:r>
            <w:r w:rsidRPr="00E106BD">
              <w:rPr>
                <w:rFonts w:ascii="Arial" w:hAnsi="Arial" w:cs="Arial"/>
                <w:sz w:val="16"/>
                <w:szCs w:val="16"/>
              </w:rPr>
              <w:t>subsidised biological medicine treatment for this condition who wishes to change or recommence therapy with this drug, must be accompanied by evidence of a response to the patient</w:t>
            </w:r>
            <w:r w:rsidR="00A653CA">
              <w:rPr>
                <w:rFonts w:ascii="Arial" w:hAnsi="Arial" w:cs="Arial"/>
                <w:sz w:val="16"/>
                <w:szCs w:val="16"/>
              </w:rPr>
              <w:t>’</w:t>
            </w:r>
            <w:r w:rsidRPr="00E106BD">
              <w:rPr>
                <w:rFonts w:ascii="Arial" w:hAnsi="Arial" w:cs="Arial"/>
                <w:sz w:val="16"/>
                <w:szCs w:val="16"/>
              </w:rPr>
              <w:t>s most recent course of PBS</w:t>
            </w:r>
            <w:r>
              <w:rPr>
                <w:rFonts w:ascii="Arial" w:hAnsi="Arial" w:cs="Arial"/>
                <w:sz w:val="16"/>
                <w:szCs w:val="16"/>
              </w:rPr>
              <w:noBreakHyphen/>
            </w:r>
            <w:r w:rsidRPr="00E106BD">
              <w:rPr>
                <w:rFonts w:ascii="Arial" w:hAnsi="Arial" w:cs="Arial"/>
                <w:sz w:val="16"/>
                <w:szCs w:val="16"/>
              </w:rPr>
              <w:t>subsidised biological medicine treatment, within the timeframes specified below.</w:t>
            </w:r>
            <w:r w:rsidRPr="00E106BD">
              <w:rPr>
                <w:rFonts w:ascii="Arial" w:hAnsi="Arial" w:cs="Arial"/>
                <w:sz w:val="16"/>
                <w:szCs w:val="16"/>
              </w:rPr>
              <w:br/>
              <w:t>Where the most recent course of PBS</w:t>
            </w:r>
            <w:r>
              <w:rPr>
                <w:rFonts w:ascii="Arial" w:hAnsi="Arial" w:cs="Arial"/>
                <w:sz w:val="16"/>
                <w:szCs w:val="16"/>
              </w:rPr>
              <w:noBreakHyphen/>
            </w:r>
            <w:r w:rsidRPr="00E106BD">
              <w:rPr>
                <w:rFonts w:ascii="Arial" w:hAnsi="Arial" w:cs="Arial"/>
                <w:sz w:val="16"/>
                <w:szCs w:val="16"/>
              </w:rPr>
              <w:t>subsidised biological medicine treatment was approved under either Initial 1, Initial 2, Initial 3, or continuing treatment restrictions, an assessment of a patient</w:t>
            </w:r>
            <w:r w:rsidR="00A653CA">
              <w:rPr>
                <w:rFonts w:ascii="Arial" w:hAnsi="Arial" w:cs="Arial"/>
                <w:sz w:val="16"/>
                <w:szCs w:val="16"/>
              </w:rPr>
              <w:t>’</w:t>
            </w:r>
            <w:r w:rsidRPr="00E106BD">
              <w:rPr>
                <w:rFonts w:ascii="Arial" w:hAnsi="Arial" w:cs="Arial"/>
                <w:sz w:val="16"/>
                <w:szCs w:val="16"/>
              </w:rPr>
              <w:t>s response must have been conducted following a minimum of 12 weeks of therapy for adalimumab and up to 12 weeks after the first dose (6 weeks following the third dose) for golimumab, infliximab and vedolizumab and submitted to the Department of Human Services no later than 4 weeks from the date of completion of treatment.</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who fails to demonstrate a response to treatment with this drug under this restriction will not be eligible to receive further PBS</w:t>
            </w:r>
            <w:r>
              <w:rPr>
                <w:rFonts w:ascii="Arial" w:hAnsi="Arial" w:cs="Arial"/>
                <w:sz w:val="16"/>
                <w:szCs w:val="16"/>
              </w:rPr>
              <w:noBreakHyphen/>
            </w:r>
            <w:r w:rsidRPr="00E106BD">
              <w:rPr>
                <w:rFonts w:ascii="Arial" w:hAnsi="Arial" w:cs="Arial"/>
                <w:sz w:val="16"/>
                <w:szCs w:val="16"/>
              </w:rPr>
              <w:t>subsidised treatment with this drug in this treatment cycle. 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5C4E1C" w:rsidRPr="00E106BD" w:rsidDel="00891EA4" w:rsidTr="008929EB">
        <w:tc>
          <w:tcPr>
            <w:tcW w:w="1729" w:type="dxa"/>
            <w:tcMar>
              <w:top w:w="28" w:type="dxa"/>
              <w:left w:w="28" w:type="dxa"/>
            </w:tcMar>
          </w:tcPr>
          <w:p w:rsidR="005C4E1C" w:rsidRPr="00E106BD" w:rsidDel="00891EA4" w:rsidRDefault="005C4E1C" w:rsidP="00881477">
            <w:pPr>
              <w:keepNext/>
              <w:keepLines/>
              <w:widowControl w:val="0"/>
              <w:spacing w:line="240" w:lineRule="auto"/>
              <w:rPr>
                <w:szCs w:val="16"/>
              </w:rPr>
            </w:pPr>
          </w:p>
        </w:tc>
        <w:tc>
          <w:tcPr>
            <w:tcW w:w="709" w:type="dxa"/>
            <w:tcMar>
              <w:top w:w="28" w:type="dxa"/>
              <w:left w:w="28" w:type="dxa"/>
            </w:tcMar>
          </w:tcPr>
          <w:p w:rsidR="005C4E1C" w:rsidRPr="00E106BD" w:rsidDel="00891EA4" w:rsidRDefault="005C4E1C" w:rsidP="00881477">
            <w:pPr>
              <w:keepNext/>
              <w:keepLines/>
              <w:widowControl w:val="0"/>
              <w:spacing w:line="240" w:lineRule="auto"/>
              <w:rPr>
                <w:szCs w:val="16"/>
              </w:rPr>
            </w:pPr>
            <w:r w:rsidRPr="00E106BD">
              <w:rPr>
                <w:rFonts w:ascii="Arial" w:hAnsi="Arial" w:cs="Arial"/>
                <w:sz w:val="16"/>
                <w:szCs w:val="16"/>
              </w:rPr>
              <w:t>C9771</w:t>
            </w:r>
          </w:p>
        </w:tc>
        <w:tc>
          <w:tcPr>
            <w:tcW w:w="709" w:type="dxa"/>
            <w:tcMar>
              <w:top w:w="28" w:type="dxa"/>
              <w:left w:w="28" w:type="dxa"/>
            </w:tcMar>
          </w:tcPr>
          <w:p w:rsidR="005C4E1C" w:rsidRPr="00E106BD" w:rsidDel="00891EA4" w:rsidRDefault="005C4E1C" w:rsidP="00881477">
            <w:pPr>
              <w:keepNext/>
              <w:keepLines/>
              <w:widowControl w:val="0"/>
              <w:spacing w:line="240" w:lineRule="auto"/>
              <w:rPr>
                <w:szCs w:val="16"/>
              </w:rPr>
            </w:pPr>
          </w:p>
        </w:tc>
        <w:tc>
          <w:tcPr>
            <w:tcW w:w="7654" w:type="dxa"/>
            <w:tcMar>
              <w:top w:w="28" w:type="dxa"/>
              <w:left w:w="28" w:type="dxa"/>
            </w:tcMar>
          </w:tcPr>
          <w:p w:rsidR="005C4E1C" w:rsidRPr="00E106BD" w:rsidDel="00891EA4" w:rsidRDefault="005C4E1C" w:rsidP="00881477">
            <w:pPr>
              <w:keepNext/>
              <w:keepLines/>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Balance of supply</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insufficient therapy with this drug for this condition under the Initial 1 (new patient)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continuing treatment restriction to complete 24 weeks of treatment; AND</w:t>
            </w:r>
            <w:r w:rsidRPr="00E106BD">
              <w:rPr>
                <w:rFonts w:ascii="Arial" w:hAnsi="Arial" w:cs="Arial"/>
                <w:sz w:val="16"/>
                <w:szCs w:val="16"/>
              </w:rPr>
              <w:br/>
              <w:t>The treatment must provide no more than the balance of up to 14 weeks therapy available under Initial 1, 2 or 3 treatment; OR</w:t>
            </w:r>
            <w:r w:rsidRPr="00E106BD">
              <w:rPr>
                <w:rFonts w:ascii="Arial" w:hAnsi="Arial" w:cs="Arial"/>
                <w:sz w:val="16"/>
                <w:szCs w:val="16"/>
              </w:rPr>
              <w:br/>
              <w:t>The treatment must provide no more than the balance of up to 24 weeks therapy available under Continuing treatment; AND</w:t>
            </w:r>
            <w:r w:rsidRPr="00E106BD">
              <w:rPr>
                <w:rFonts w:ascii="Arial" w:hAnsi="Arial" w:cs="Arial"/>
                <w:sz w:val="16"/>
                <w:szCs w:val="16"/>
              </w:rPr>
              <w:br/>
              <w:t>Patient must be appropriately assessed for the risk of developing progressive multifocal leukoencephalopathy whilst on this treatment.</w:t>
            </w:r>
          </w:p>
        </w:tc>
        <w:tc>
          <w:tcPr>
            <w:tcW w:w="2552" w:type="dxa"/>
            <w:tcMar>
              <w:top w:w="28" w:type="dxa"/>
              <w:left w:w="28" w:type="dxa"/>
              <w:right w:w="57" w:type="dxa"/>
            </w:tcMar>
          </w:tcPr>
          <w:p w:rsidR="005C4E1C" w:rsidRPr="00E106BD" w:rsidDel="00891EA4" w:rsidRDefault="005C4E1C" w:rsidP="00881477">
            <w:pPr>
              <w:keepNext/>
              <w:keepLines/>
              <w:widowControl w:val="0"/>
              <w:spacing w:line="240" w:lineRule="auto"/>
              <w:rPr>
                <w:szCs w:val="16"/>
              </w:rPr>
            </w:pPr>
            <w:r w:rsidRPr="00E106BD">
              <w:rPr>
                <w:rFonts w:ascii="Arial" w:hAnsi="Arial" w:cs="Arial"/>
                <w:sz w:val="16"/>
                <w:szCs w:val="16"/>
              </w:rPr>
              <w:t>Compliance with Authority Required procedures</w:t>
            </w:r>
          </w:p>
        </w:tc>
      </w:tr>
      <w:tr w:rsidR="005C4E1C" w:rsidRPr="00E106BD" w:rsidDel="00891EA4" w:rsidTr="008929EB">
        <w:tc>
          <w:tcPr>
            <w:tcW w:w="1729" w:type="dxa"/>
            <w:tcMar>
              <w:top w:w="28" w:type="dxa"/>
              <w:left w:w="28" w:type="dxa"/>
            </w:tcMar>
          </w:tcPr>
          <w:p w:rsidR="005C4E1C" w:rsidRPr="00E106BD" w:rsidDel="00891EA4" w:rsidRDefault="005C4E1C" w:rsidP="00881477">
            <w:pPr>
              <w:widowControl w:val="0"/>
              <w:spacing w:line="240" w:lineRule="auto"/>
              <w:rPr>
                <w:szCs w:val="16"/>
              </w:rPr>
            </w:pPr>
          </w:p>
        </w:tc>
        <w:tc>
          <w:tcPr>
            <w:tcW w:w="709"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C9792</w:t>
            </w:r>
          </w:p>
        </w:tc>
        <w:tc>
          <w:tcPr>
            <w:tcW w:w="709" w:type="dxa"/>
            <w:tcMar>
              <w:top w:w="28" w:type="dxa"/>
              <w:left w:w="28" w:type="dxa"/>
            </w:tcMar>
          </w:tcPr>
          <w:p w:rsidR="005C4E1C" w:rsidRPr="00E106BD" w:rsidDel="00891EA4" w:rsidRDefault="005C4E1C" w:rsidP="00881477">
            <w:pPr>
              <w:widowControl w:val="0"/>
              <w:spacing w:line="240" w:lineRule="auto"/>
              <w:rPr>
                <w:szCs w:val="16"/>
              </w:rPr>
            </w:pPr>
          </w:p>
        </w:tc>
        <w:tc>
          <w:tcPr>
            <w:tcW w:w="7654"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1 (new patient)</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failed to achieve an adequate response to a 5</w:t>
            </w:r>
            <w:r>
              <w:rPr>
                <w:rFonts w:ascii="Arial" w:hAnsi="Arial" w:cs="Arial"/>
                <w:sz w:val="16"/>
                <w:szCs w:val="16"/>
              </w:rPr>
              <w:noBreakHyphen/>
            </w:r>
            <w:r w:rsidRPr="00E106BD">
              <w:rPr>
                <w:rFonts w:ascii="Arial" w:hAnsi="Arial" w:cs="Arial"/>
                <w:sz w:val="16"/>
                <w:szCs w:val="16"/>
              </w:rPr>
              <w:t>aminosalicylate oral preparation in a standard dose for induction of remission for 3 or more consecutive months or have intolerance necessitating permanent treatment withdrawal; AND</w:t>
            </w:r>
            <w:r w:rsidRPr="00E106BD">
              <w:rPr>
                <w:rFonts w:ascii="Arial" w:hAnsi="Arial" w:cs="Arial"/>
                <w:sz w:val="16"/>
                <w:szCs w:val="16"/>
              </w:rPr>
              <w:br/>
              <w:t>Patient must have failed to achieve an adequate response to azathioprine at a dose of at least 2 mg per kg daily for 3 or more consecutive months or have intolerance necessitating permanent treatment withdrawal; OR</w:t>
            </w:r>
            <w:r w:rsidRPr="00E106BD">
              <w:rPr>
                <w:rFonts w:ascii="Arial" w:hAnsi="Arial" w:cs="Arial"/>
                <w:sz w:val="16"/>
                <w:szCs w:val="16"/>
              </w:rPr>
              <w:br/>
              <w:t>Patient must have failed to achieve an adequate response to 6</w:t>
            </w:r>
            <w:r>
              <w:rPr>
                <w:rFonts w:ascii="Arial" w:hAnsi="Arial" w:cs="Arial"/>
                <w:sz w:val="16"/>
                <w:szCs w:val="16"/>
              </w:rPr>
              <w:noBreakHyphen/>
            </w:r>
            <w:r w:rsidRPr="00E106BD">
              <w:rPr>
                <w:rFonts w:ascii="Arial" w:hAnsi="Arial" w:cs="Arial"/>
                <w:sz w:val="16"/>
                <w:szCs w:val="16"/>
              </w:rPr>
              <w:t>mercaptopurine at a dose of at least 1 mg per kg daily for 3 or more consecutive months or have intolerance necessitating permanent treatment withdrawal; OR</w:t>
            </w:r>
            <w:r w:rsidRPr="00E106BD">
              <w:rPr>
                <w:rFonts w:ascii="Arial" w:hAnsi="Arial" w:cs="Arial"/>
                <w:sz w:val="16"/>
                <w:szCs w:val="16"/>
              </w:rPr>
              <w:br/>
              <w:t>Patient must have failed to achieve an adequate response to a tapered course of oral steroids, starting at a dose of at least 40 mg prednisolone (or equivalent), over a 6 week period or have intolerance necessitating permanent treatment withdrawal, and followed by a failure to achieve an adequate response to 3 or more consecutive months of treatment of an appropriately dosed thiopurine agent; AND</w:t>
            </w:r>
            <w:r w:rsidRPr="00E106BD">
              <w:rPr>
                <w:rFonts w:ascii="Arial" w:hAnsi="Arial" w:cs="Arial"/>
                <w:sz w:val="16"/>
                <w:szCs w:val="16"/>
              </w:rPr>
              <w:br/>
              <w:t>Patient must have a Mayo clinic score greater than or equal to 6; OR</w:t>
            </w:r>
            <w:r w:rsidRPr="00E106BD">
              <w:rPr>
                <w:rFonts w:ascii="Arial" w:hAnsi="Arial" w:cs="Arial"/>
                <w:sz w:val="16"/>
                <w:szCs w:val="16"/>
              </w:rPr>
              <w:br/>
              <w:t>Patient must have a partial Mayo clinic score greater than or equal to 6, provided the rectal bleeding and stool frequency subscores are both greater than or equal to 2 (endoscopy subscore is not required for a partial Mayo clinic score);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 for authorisation of initial treatment must be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Ulcerative Colitis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Mayo clinic or partial Mayo clinic calculation sheet including the date of assessment of the patient</w:t>
            </w:r>
            <w:r w:rsidR="00A653CA">
              <w:rPr>
                <w:rFonts w:ascii="Arial" w:hAnsi="Arial" w:cs="Arial"/>
                <w:sz w:val="16"/>
                <w:szCs w:val="16"/>
              </w:rPr>
              <w:t>’</w:t>
            </w:r>
            <w:r w:rsidRPr="00E106BD">
              <w:rPr>
                <w:rFonts w:ascii="Arial" w:hAnsi="Arial" w:cs="Arial"/>
                <w:sz w:val="16"/>
                <w:szCs w:val="16"/>
              </w:rPr>
              <w:t>s condition; and</w:t>
            </w:r>
            <w:r w:rsidRPr="00E106BD">
              <w:rPr>
                <w:rFonts w:ascii="Arial" w:hAnsi="Arial" w:cs="Arial"/>
                <w:sz w:val="16"/>
                <w:szCs w:val="16"/>
              </w:rPr>
              <w:br/>
              <w:t>(ii) details of prior systemic drug therapy [dosage, date of commencement and duration of therapy].</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All tests and assessments should be performed preferably whilst still on treatment, but no longer than 4 weeks following cessation of the most recent prior conventional treatment.</w:t>
            </w:r>
            <w:r w:rsidRPr="00E106BD">
              <w:rPr>
                <w:rFonts w:ascii="Arial" w:hAnsi="Arial" w:cs="Arial"/>
                <w:sz w:val="16"/>
                <w:szCs w:val="16"/>
              </w:rPr>
              <w:br/>
              <w:t>The most recent Mayo clinic or partial Mayo clinic score must be no more than 4 weeks old at the time of application.</w:t>
            </w:r>
            <w:r w:rsidRPr="00E106BD">
              <w:rPr>
                <w:rFonts w:ascii="Arial" w:hAnsi="Arial" w:cs="Arial"/>
                <w:sz w:val="16"/>
                <w:szCs w:val="16"/>
              </w:rPr>
              <w:br/>
              <w:t>A partial Mayo clinic assessment of the patient</w:t>
            </w:r>
            <w:r w:rsidR="00A653CA">
              <w:rPr>
                <w:rFonts w:ascii="Arial" w:hAnsi="Arial" w:cs="Arial"/>
                <w:sz w:val="16"/>
                <w:szCs w:val="16"/>
              </w:rPr>
              <w:t>’</w:t>
            </w:r>
            <w:r w:rsidRPr="00E106BD">
              <w:rPr>
                <w:rFonts w:ascii="Arial" w:hAnsi="Arial" w:cs="Arial"/>
                <w:sz w:val="16"/>
                <w:szCs w:val="16"/>
              </w:rPr>
              <w:t>s response to this initial course of treatment must be following a minimum of 12 weeks of treatment for adalimumab and up to 12 weeks after the first dose (6 weeks following the third dose) for golimumab, infliximab and vedolizumab so that there is adequate time for a response to be demonstrated.</w:t>
            </w:r>
            <w:r w:rsidRPr="00E106BD">
              <w:rPr>
                <w:rFonts w:ascii="Arial" w:hAnsi="Arial" w:cs="Arial"/>
                <w:sz w:val="16"/>
                <w:szCs w:val="16"/>
              </w:rPr>
              <w:br/>
              <w:t>If treatment with any of the above</w:t>
            </w:r>
            <w:r>
              <w:rPr>
                <w:rFonts w:ascii="Arial" w:hAnsi="Arial" w:cs="Arial"/>
                <w:sz w:val="16"/>
                <w:szCs w:val="16"/>
              </w:rPr>
              <w:noBreakHyphen/>
            </w:r>
            <w:r w:rsidRPr="00E106BD">
              <w:rPr>
                <w:rFonts w:ascii="Arial" w:hAnsi="Arial" w:cs="Arial"/>
                <w:sz w:val="16"/>
                <w:szCs w:val="16"/>
              </w:rPr>
              <w:t>mentioned drugs is contraindicated according to the relevant TGA</w:t>
            </w:r>
            <w:r>
              <w:rPr>
                <w:rFonts w:ascii="Arial" w:hAnsi="Arial" w:cs="Arial"/>
                <w:sz w:val="16"/>
                <w:szCs w:val="16"/>
              </w:rPr>
              <w:noBreakHyphen/>
            </w:r>
            <w:r w:rsidRPr="00E106BD">
              <w:rPr>
                <w:rFonts w:ascii="Arial" w:hAnsi="Arial" w:cs="Arial"/>
                <w:sz w:val="16"/>
                <w:szCs w:val="16"/>
              </w:rPr>
              <w:t>approved Product Information, details must be provided at the time of application.</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Details of the accepted toxicities including severity can be found on the Department of Human Services website.</w:t>
            </w:r>
          </w:p>
        </w:tc>
        <w:tc>
          <w:tcPr>
            <w:tcW w:w="2552" w:type="dxa"/>
            <w:tcMar>
              <w:top w:w="28" w:type="dxa"/>
              <w:left w:w="28" w:type="dxa"/>
              <w:right w:w="57"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5C4E1C" w:rsidRPr="00E106BD" w:rsidDel="00891EA4" w:rsidTr="008929EB">
        <w:tc>
          <w:tcPr>
            <w:tcW w:w="1729" w:type="dxa"/>
            <w:tcMar>
              <w:top w:w="28" w:type="dxa"/>
              <w:left w:w="28" w:type="dxa"/>
            </w:tcMar>
          </w:tcPr>
          <w:p w:rsidR="005C4E1C" w:rsidRPr="00E106BD" w:rsidDel="00891EA4" w:rsidRDefault="005C4E1C" w:rsidP="00881477">
            <w:pPr>
              <w:widowControl w:val="0"/>
              <w:spacing w:line="240" w:lineRule="auto"/>
              <w:rPr>
                <w:szCs w:val="16"/>
              </w:rPr>
            </w:pPr>
          </w:p>
        </w:tc>
        <w:tc>
          <w:tcPr>
            <w:tcW w:w="709"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C9796</w:t>
            </w:r>
          </w:p>
        </w:tc>
        <w:tc>
          <w:tcPr>
            <w:tcW w:w="709" w:type="dxa"/>
            <w:tcMar>
              <w:top w:w="28" w:type="dxa"/>
              <w:left w:w="28" w:type="dxa"/>
            </w:tcMar>
          </w:tcPr>
          <w:p w:rsidR="005C4E1C" w:rsidRPr="00E106BD" w:rsidDel="00891EA4" w:rsidRDefault="005C4E1C" w:rsidP="00881477">
            <w:pPr>
              <w:widowControl w:val="0"/>
              <w:spacing w:line="240" w:lineRule="auto"/>
              <w:rPr>
                <w:szCs w:val="16"/>
              </w:rPr>
            </w:pPr>
          </w:p>
        </w:tc>
        <w:tc>
          <w:tcPr>
            <w:tcW w:w="7654"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Continuing treatment</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be aged 18 years or older.</w:t>
            </w:r>
            <w:r w:rsidRPr="00E106BD">
              <w:rPr>
                <w:rFonts w:ascii="Arial" w:hAnsi="Arial" w:cs="Arial"/>
                <w:sz w:val="16"/>
                <w:szCs w:val="16"/>
              </w:rPr>
              <w:br/>
              <w:t>Patient must have received this drug as their most recent course of PBS</w:t>
            </w:r>
            <w:r>
              <w:rPr>
                <w:rFonts w:ascii="Arial" w:hAnsi="Arial" w:cs="Arial"/>
                <w:sz w:val="16"/>
                <w:szCs w:val="16"/>
              </w:rPr>
              <w:noBreakHyphen/>
            </w:r>
            <w:r w:rsidRPr="00E106BD">
              <w:rPr>
                <w:rFonts w:ascii="Arial" w:hAnsi="Arial" w:cs="Arial"/>
                <w:sz w:val="16"/>
                <w:szCs w:val="16"/>
              </w:rPr>
              <w:t>subsidised biological medicine treatment for this condition; AND</w:t>
            </w:r>
            <w:r w:rsidRPr="00E106BD">
              <w:rPr>
                <w:rFonts w:ascii="Arial" w:hAnsi="Arial" w:cs="Arial"/>
                <w:sz w:val="16"/>
                <w:szCs w:val="16"/>
              </w:rPr>
              <w:br/>
              <w:t>Patient must not receive more than 24 weeks of treatment under this restriction; AND</w:t>
            </w:r>
            <w:r w:rsidRPr="00E106BD">
              <w:rPr>
                <w:rFonts w:ascii="Arial" w:hAnsi="Arial" w:cs="Arial"/>
                <w:sz w:val="16"/>
                <w:szCs w:val="16"/>
              </w:rPr>
              <w:br/>
              <w:t>Patient must be appropriately assessed for the risk of developing progressive multifocal leukoencephalopathy whilst on this treatment; AND</w:t>
            </w:r>
            <w:r w:rsidRPr="00E106BD">
              <w:rPr>
                <w:rFonts w:ascii="Arial" w:hAnsi="Arial" w:cs="Arial"/>
                <w:sz w:val="16"/>
                <w:szCs w:val="16"/>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hAnsi="Arial" w:cs="Arial"/>
                <w:sz w:val="16"/>
                <w:szCs w:val="16"/>
              </w:rPr>
              <w:br/>
              <w:t>Patient must have an adequate response to this drug defined as (a) an improvement of intestinal inflammation as demonstrated by: (i) blood: normalisation of the platelet count, or an erythrocyte sedimentation rate (ESR) level no greater than 25 mm per hour, or a C</w:t>
            </w:r>
            <w:r>
              <w:rPr>
                <w:rFonts w:ascii="Arial" w:hAnsi="Arial" w:cs="Arial"/>
                <w:sz w:val="16"/>
                <w:szCs w:val="16"/>
              </w:rPr>
              <w:noBreakHyphen/>
            </w:r>
            <w:r w:rsidRPr="00E106BD">
              <w:rPr>
                <w:rFonts w:ascii="Arial" w:hAnsi="Arial" w:cs="Arial"/>
                <w:sz w:val="16"/>
                <w:szCs w:val="16"/>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w:t>
            </w:r>
            <w:r w:rsidRPr="00E106BD">
              <w:rPr>
                <w:rFonts w:ascii="Arial" w:hAnsi="Arial" w:cs="Arial"/>
                <w:sz w:val="16"/>
                <w:szCs w:val="16"/>
              </w:rPr>
              <w:br/>
              <w:t>Applications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Crohn Disease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Crohn Disease Activity Index (CDAI) Score calculation sheet including the date of the assessment of the patient</w:t>
            </w:r>
            <w:r w:rsidR="00A653CA">
              <w:rPr>
                <w:rFonts w:ascii="Arial" w:hAnsi="Arial" w:cs="Arial"/>
                <w:sz w:val="16"/>
                <w:szCs w:val="16"/>
              </w:rPr>
              <w:t>’</w:t>
            </w:r>
            <w:r w:rsidRPr="00E106BD">
              <w:rPr>
                <w:rFonts w:ascii="Arial" w:hAnsi="Arial" w:cs="Arial"/>
                <w:sz w:val="16"/>
                <w:szCs w:val="16"/>
              </w:rPr>
              <w:t>s condition, if relevant; or</w:t>
            </w:r>
            <w:r w:rsidRPr="00E106BD">
              <w:rPr>
                <w:rFonts w:ascii="Arial" w:hAnsi="Arial" w:cs="Arial"/>
                <w:sz w:val="16"/>
                <w:szCs w:val="16"/>
              </w:rPr>
              <w:br/>
              <w:t>(ii) the reports and dates of the pathology test or diagnostic imaging test(s) used to assess response to therapy for patients with short gut syndrome, extensive small intestine disease or an ostomy, if relevant; and</w:t>
            </w:r>
            <w:r w:rsidRPr="00E106BD">
              <w:rPr>
                <w:rFonts w:ascii="Arial" w:hAnsi="Arial" w:cs="Arial"/>
                <w:sz w:val="16"/>
                <w:szCs w:val="16"/>
              </w:rPr>
              <w:br/>
              <w:t>(iii) the date of clinical assessment.</w:t>
            </w:r>
            <w:r w:rsidRPr="00E106BD">
              <w:rPr>
                <w:rFonts w:ascii="Arial" w:hAnsi="Arial" w:cs="Arial"/>
                <w:sz w:val="16"/>
                <w:szCs w:val="16"/>
              </w:rPr>
              <w:br/>
              <w:t>All assessments, pathology tests, and diagnostic imaging studies must be made within 1 month of the date of application.</w:t>
            </w:r>
            <w:r w:rsidRPr="00E106BD">
              <w:rPr>
                <w:rFonts w:ascii="Arial" w:hAnsi="Arial" w:cs="Arial"/>
                <w:sz w:val="16"/>
                <w:szCs w:val="16"/>
              </w:rPr>
              <w:br/>
              <w:t>If the application is the first application for continuing treatment with this drug, an assessment of the patient</w:t>
            </w:r>
            <w:r w:rsidR="00A653CA">
              <w:rPr>
                <w:rFonts w:ascii="Arial" w:hAnsi="Arial" w:cs="Arial"/>
                <w:sz w:val="16"/>
                <w:szCs w:val="16"/>
              </w:rPr>
              <w:t>’</w:t>
            </w:r>
            <w:r w:rsidRPr="00E106BD">
              <w:rPr>
                <w:rFonts w:ascii="Arial" w:hAnsi="Arial" w:cs="Arial"/>
                <w:sz w:val="16"/>
                <w:szCs w:val="16"/>
              </w:rPr>
              <w:t>s response to the initial course of treatment must be made up to 12 weeks after the first dose so that there is adequate time for a response to be demonstrated.</w:t>
            </w:r>
            <w:r w:rsidRPr="00E106BD">
              <w:rPr>
                <w:rFonts w:ascii="Arial" w:hAnsi="Arial" w:cs="Arial"/>
                <w:sz w:val="16"/>
                <w:szCs w:val="16"/>
              </w:rPr>
              <w:br/>
              <w:t>The assessment of the patient</w:t>
            </w:r>
            <w:r w:rsidR="00A653CA">
              <w:rPr>
                <w:rFonts w:ascii="Arial" w:hAnsi="Arial" w:cs="Arial"/>
                <w:sz w:val="16"/>
                <w:szCs w:val="16"/>
              </w:rPr>
              <w:t>’</w:t>
            </w:r>
            <w:r w:rsidRPr="00E106BD">
              <w:rPr>
                <w:rFonts w:ascii="Arial" w:hAnsi="Arial" w:cs="Arial"/>
                <w:sz w:val="16"/>
                <w:szCs w:val="16"/>
              </w:rPr>
              <w:t>s response to a continuing course of therapy must be made within the 4 weeks prior to completion of that course and posted to the Department of Human Services no less than 2 weeks prior to the date the next dose is scheduled, in order to ensure continuity of treatment for those patients who meet the continuation criterion.</w:t>
            </w:r>
            <w:r w:rsidRPr="00E106BD">
              <w:rPr>
                <w:rFonts w:ascii="Arial" w:hAnsi="Arial" w:cs="Arial"/>
                <w:sz w:val="16"/>
                <w:szCs w:val="16"/>
              </w:rPr>
              <w:br/>
              <w:t>Where an assessment is not submitted to the Department of Human Services within these timeframes, patients will be deemed to have failed to respond, or to have failed to sustain a response,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r w:rsidRPr="00E106BD">
              <w:rPr>
                <w:rFonts w:ascii="Arial" w:hAnsi="Arial" w:cs="Arial"/>
                <w:sz w:val="16"/>
                <w:szCs w:val="16"/>
              </w:rPr>
              <w:br/>
              <w:t>Patients are eligible to receive continuing treatment with this drug in courses of up to 24 weeks providing they continue to sustain the response.</w:t>
            </w:r>
            <w:r w:rsidRPr="00E106BD">
              <w:rPr>
                <w:rFonts w:ascii="Arial" w:hAnsi="Arial" w:cs="Arial"/>
                <w:sz w:val="16"/>
                <w:szCs w:val="16"/>
              </w:rPr>
              <w:br/>
              <w:t>At the time of the authority application, medical practitioners should request the appropriate number of vials, to provide sufficient for a single infusion of 300 mg vedolizumab per dose. Up to a maximum of 2 repeats will be authorised.</w:t>
            </w:r>
            <w:r w:rsidRPr="00E106BD">
              <w:rPr>
                <w:rFonts w:ascii="Arial" w:hAnsi="Arial" w:cs="Arial"/>
                <w:sz w:val="16"/>
                <w:szCs w:val="16"/>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52" w:type="dxa"/>
            <w:tcMar>
              <w:top w:w="28" w:type="dxa"/>
              <w:left w:w="28" w:type="dxa"/>
              <w:right w:w="57"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5C4E1C" w:rsidRPr="00E106BD" w:rsidDel="00891EA4" w:rsidTr="008929EB">
        <w:tc>
          <w:tcPr>
            <w:tcW w:w="1729" w:type="dxa"/>
            <w:tcMar>
              <w:top w:w="28" w:type="dxa"/>
              <w:left w:w="28" w:type="dxa"/>
            </w:tcMar>
          </w:tcPr>
          <w:p w:rsidR="005C4E1C" w:rsidRPr="00E106BD" w:rsidDel="00891EA4" w:rsidRDefault="005C4E1C" w:rsidP="00881477">
            <w:pPr>
              <w:widowControl w:val="0"/>
              <w:spacing w:line="240" w:lineRule="auto"/>
              <w:rPr>
                <w:szCs w:val="16"/>
              </w:rPr>
            </w:pPr>
          </w:p>
        </w:tc>
        <w:tc>
          <w:tcPr>
            <w:tcW w:w="709"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C9815</w:t>
            </w:r>
          </w:p>
        </w:tc>
        <w:tc>
          <w:tcPr>
            <w:tcW w:w="709" w:type="dxa"/>
            <w:tcMar>
              <w:top w:w="28" w:type="dxa"/>
              <w:left w:w="28" w:type="dxa"/>
            </w:tcMar>
          </w:tcPr>
          <w:p w:rsidR="005C4E1C" w:rsidRPr="00E106BD" w:rsidDel="00891EA4" w:rsidRDefault="005C4E1C" w:rsidP="00881477">
            <w:pPr>
              <w:widowControl w:val="0"/>
              <w:spacing w:line="240" w:lineRule="auto"/>
              <w:rPr>
                <w:szCs w:val="16"/>
              </w:rPr>
            </w:pPr>
          </w:p>
        </w:tc>
        <w:tc>
          <w:tcPr>
            <w:tcW w:w="7654"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2 (change or recommencement of treatment after a break in biological medicine of less than 5 years)</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prior PBS</w:t>
            </w:r>
            <w:r>
              <w:rPr>
                <w:rFonts w:ascii="Arial" w:hAnsi="Arial" w:cs="Arial"/>
                <w:sz w:val="16"/>
                <w:szCs w:val="16"/>
              </w:rPr>
              <w:noBreakHyphen/>
            </w:r>
            <w:r w:rsidRPr="00E106BD">
              <w:rPr>
                <w:rFonts w:ascii="Arial" w:hAnsi="Arial" w:cs="Arial"/>
                <w:sz w:val="16"/>
                <w:szCs w:val="16"/>
              </w:rPr>
              <w:t>subsidised treatment with a biological medicine for this condition in this treatment cycle; AND</w:t>
            </w:r>
            <w:r w:rsidRPr="00E106BD">
              <w:rPr>
                <w:rFonts w:ascii="Arial" w:hAnsi="Arial" w:cs="Arial"/>
                <w:sz w:val="16"/>
                <w:szCs w:val="16"/>
              </w:rPr>
              <w:br/>
              <w:t>Patient must not have failed, or ceased to respond to, PBS</w:t>
            </w:r>
            <w:r>
              <w:rPr>
                <w:rFonts w:ascii="Arial" w:hAnsi="Arial" w:cs="Arial"/>
                <w:sz w:val="16"/>
                <w:szCs w:val="16"/>
              </w:rPr>
              <w:noBreakHyphen/>
            </w:r>
            <w:r w:rsidRPr="00E106BD">
              <w:rPr>
                <w:rFonts w:ascii="Arial" w:hAnsi="Arial" w:cs="Arial"/>
                <w:sz w:val="16"/>
                <w:szCs w:val="16"/>
              </w:rPr>
              <w:t>subsidised treatment with this drug for this condition during the current treatment cycle; AND</w:t>
            </w:r>
            <w:r w:rsidRPr="00E106BD">
              <w:rPr>
                <w:rFonts w:ascii="Arial" w:hAnsi="Arial" w:cs="Arial"/>
                <w:sz w:val="16"/>
                <w:szCs w:val="16"/>
              </w:rPr>
              <w:br/>
              <w:t>The treatment must not exceed a total of 3 doses to be administered at weeks 0, 2 and 6 under this restriction;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Applications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Crohn Disease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Crohn Disease Activity Index (CDAI) Score calculation sheet including the date of assessment of the patient</w:t>
            </w:r>
            <w:r w:rsidR="00A653CA">
              <w:rPr>
                <w:rFonts w:ascii="Arial" w:hAnsi="Arial" w:cs="Arial"/>
                <w:sz w:val="16"/>
                <w:szCs w:val="16"/>
              </w:rPr>
              <w:t>’</w:t>
            </w:r>
            <w:r w:rsidRPr="00E106BD">
              <w:rPr>
                <w:rFonts w:ascii="Arial" w:hAnsi="Arial" w:cs="Arial"/>
                <w:sz w:val="16"/>
                <w:szCs w:val="16"/>
              </w:rPr>
              <w:t>s condition if relevant; or</w:t>
            </w:r>
            <w:r w:rsidRPr="00E106BD">
              <w:rPr>
                <w:rFonts w:ascii="Arial" w:hAnsi="Arial" w:cs="Arial"/>
                <w:sz w:val="16"/>
                <w:szCs w:val="16"/>
              </w:rPr>
              <w:br/>
              <w:t>(ii) the reports and dates of the pathology or diagnostic imaging test(s) used to assess response to therapy for patients with short gut syndrome, extensive small intestine disease or an ostomy, if relevant; and</w:t>
            </w:r>
            <w:r w:rsidRPr="00E106BD">
              <w:rPr>
                <w:rFonts w:ascii="Arial" w:hAnsi="Arial" w:cs="Arial"/>
                <w:sz w:val="16"/>
                <w:szCs w:val="16"/>
              </w:rPr>
              <w:br/>
              <w:t>(iii) the date of clinical assessment; and</w:t>
            </w:r>
            <w:r w:rsidRPr="00E106BD">
              <w:rPr>
                <w:rFonts w:ascii="Arial" w:hAnsi="Arial" w:cs="Arial"/>
                <w:sz w:val="16"/>
                <w:szCs w:val="16"/>
              </w:rPr>
              <w:br/>
              <w:t>(iv) the details of prior biological medicine treatment including the details of date and duration of treatment.</w:t>
            </w:r>
            <w:r w:rsidRPr="00E106BD">
              <w:rPr>
                <w:rFonts w:ascii="Arial" w:hAnsi="Arial" w:cs="Arial"/>
                <w:sz w:val="16"/>
                <w:szCs w:val="16"/>
              </w:rPr>
              <w:br/>
              <w:t>An application for a patient who has received PBS</w:t>
            </w:r>
            <w:r>
              <w:rPr>
                <w:rFonts w:ascii="Arial" w:hAnsi="Arial" w:cs="Arial"/>
                <w:sz w:val="16"/>
                <w:szCs w:val="16"/>
              </w:rPr>
              <w:noBreakHyphen/>
            </w:r>
            <w:r w:rsidRPr="00E106BD">
              <w:rPr>
                <w:rFonts w:ascii="Arial" w:hAnsi="Arial" w:cs="Arial"/>
                <w:sz w:val="16"/>
                <w:szCs w:val="16"/>
              </w:rPr>
              <w:t>subsidised biological medicine treatment for this condition who wishes to change or recommence therapy with this drug, must be accompanied by evidence of a response to the patient</w:t>
            </w:r>
            <w:r w:rsidR="00A653CA">
              <w:rPr>
                <w:rFonts w:ascii="Arial" w:hAnsi="Arial" w:cs="Arial"/>
                <w:sz w:val="16"/>
                <w:szCs w:val="16"/>
              </w:rPr>
              <w:t>’</w:t>
            </w:r>
            <w:r w:rsidRPr="00E106BD">
              <w:rPr>
                <w:rFonts w:ascii="Arial" w:hAnsi="Arial" w:cs="Arial"/>
                <w:sz w:val="16"/>
                <w:szCs w:val="16"/>
              </w:rPr>
              <w:t>s most recent course of PBS</w:t>
            </w:r>
            <w:r>
              <w:rPr>
                <w:rFonts w:ascii="Arial" w:hAnsi="Arial" w:cs="Arial"/>
                <w:sz w:val="16"/>
                <w:szCs w:val="16"/>
              </w:rPr>
              <w:noBreakHyphen/>
            </w:r>
            <w:r w:rsidRPr="00E106BD">
              <w:rPr>
                <w:rFonts w:ascii="Arial" w:hAnsi="Arial" w:cs="Arial"/>
                <w:sz w:val="16"/>
                <w:szCs w:val="16"/>
              </w:rPr>
              <w:t>subsidised biological medicine treatment, within the timeframes specified below.</w:t>
            </w:r>
            <w:r w:rsidRPr="00E106BD">
              <w:rPr>
                <w:rFonts w:ascii="Arial" w:hAnsi="Arial" w:cs="Arial"/>
                <w:sz w:val="16"/>
                <w:szCs w:val="16"/>
              </w:rPr>
              <w:br/>
              <w:t>Where the most recent course of PBS</w:t>
            </w:r>
            <w:r>
              <w:rPr>
                <w:rFonts w:ascii="Arial" w:hAnsi="Arial" w:cs="Arial"/>
                <w:sz w:val="16"/>
                <w:szCs w:val="16"/>
              </w:rPr>
              <w:noBreakHyphen/>
            </w:r>
            <w:r w:rsidRPr="00E106BD">
              <w:rPr>
                <w:rFonts w:ascii="Arial" w:hAnsi="Arial" w:cs="Arial"/>
                <w:sz w:val="16"/>
                <w:szCs w:val="16"/>
              </w:rPr>
              <w:t>subsidised biological medicine treatment was approved under an initial treatment restriction, the patient must have been assessed for response to that course following a minimum of 12 weeks of therapy for adalimumab or ustekinumab and up to 12 weeks after the first dose (6 weeks following the third dose) for infliximab and vedolizumab and this assessment must be submitted to the Department of Human Services no later than 4 weeks from the date that course was ceased.</w:t>
            </w:r>
            <w:r w:rsidRPr="00E106BD">
              <w:rPr>
                <w:rFonts w:ascii="Arial" w:hAnsi="Arial" w:cs="Arial"/>
                <w:sz w:val="16"/>
                <w:szCs w:val="16"/>
              </w:rPr>
              <w:br/>
              <w:t>If the response assessment to the previous course of biological medicine treatment is not submitted as detailed above, the patient will be deemed to have failed therapy with that particular course of biological medicine.</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hAnsi="Arial" w:cs="Arial"/>
                <w:sz w:val="16"/>
                <w:szCs w:val="16"/>
              </w:rPr>
              <w:br/>
              <w:t>The assessment of the patient</w:t>
            </w:r>
            <w:r w:rsidR="00A653CA">
              <w:rPr>
                <w:rFonts w:ascii="Arial" w:hAnsi="Arial" w:cs="Arial"/>
                <w:sz w:val="16"/>
                <w:szCs w:val="16"/>
              </w:rPr>
              <w:t>’</w:t>
            </w:r>
            <w:r w:rsidRPr="00E106BD">
              <w:rPr>
                <w:rFonts w:ascii="Arial" w:hAnsi="Arial" w:cs="Arial"/>
                <w:sz w:val="16"/>
                <w:szCs w:val="16"/>
              </w:rPr>
              <w:t>s response to this initial course of treatment must be made up to 12 weeks after the first dose (6 weeks following the third dose) so that there is adequate time for a response to be demonstrated.</w:t>
            </w:r>
            <w:r w:rsidRPr="00E106BD">
              <w:rPr>
                <w:rFonts w:ascii="Arial" w:hAnsi="Arial" w:cs="Arial"/>
                <w:sz w:val="16"/>
                <w:szCs w:val="16"/>
              </w:rPr>
              <w:br/>
              <w:t>This assessment, which will be used to determine eligibility for continuing treatment, must be submitted to the Department of Human Services no later than 1 month from the date of completion of this initial course of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5C4E1C" w:rsidRPr="00E106BD" w:rsidDel="00891EA4" w:rsidTr="008929EB">
        <w:tc>
          <w:tcPr>
            <w:tcW w:w="1729" w:type="dxa"/>
            <w:tcMar>
              <w:top w:w="28" w:type="dxa"/>
              <w:left w:w="28" w:type="dxa"/>
            </w:tcMar>
          </w:tcPr>
          <w:p w:rsidR="005C4E1C" w:rsidRPr="00E106BD" w:rsidDel="00891EA4" w:rsidRDefault="005C4E1C" w:rsidP="00881477">
            <w:pPr>
              <w:widowControl w:val="0"/>
              <w:spacing w:line="240" w:lineRule="auto"/>
              <w:rPr>
                <w:szCs w:val="16"/>
              </w:rPr>
            </w:pPr>
          </w:p>
        </w:tc>
        <w:tc>
          <w:tcPr>
            <w:tcW w:w="709"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C9825</w:t>
            </w:r>
          </w:p>
        </w:tc>
        <w:tc>
          <w:tcPr>
            <w:tcW w:w="709" w:type="dxa"/>
            <w:tcMar>
              <w:top w:w="28" w:type="dxa"/>
              <w:left w:w="28" w:type="dxa"/>
            </w:tcMar>
          </w:tcPr>
          <w:p w:rsidR="005C4E1C" w:rsidRPr="00E106BD" w:rsidDel="00891EA4" w:rsidRDefault="005C4E1C" w:rsidP="00881477">
            <w:pPr>
              <w:widowControl w:val="0"/>
              <w:spacing w:line="240" w:lineRule="auto"/>
              <w:rPr>
                <w:szCs w:val="16"/>
              </w:rPr>
            </w:pPr>
          </w:p>
        </w:tc>
        <w:tc>
          <w:tcPr>
            <w:tcW w:w="7654" w:type="dxa"/>
            <w:tcMar>
              <w:top w:w="28" w:type="dxa"/>
              <w:left w:w="28"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3 (recommencement of treatment after a break in biological medicine of more than 5 years)</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prior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a break in treatment of 5 years or more from the most recently approved PBS</w:t>
            </w:r>
            <w:r>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Patient must have confirmed severe Crohn disease, defined by standard clinical, endoscopic and/or imaging features, including histological evidence, with the diagnosis confirmed by a gastroenterologist or a consultant physician; AND</w:t>
            </w:r>
            <w:r w:rsidRPr="00E106BD">
              <w:rPr>
                <w:rFonts w:ascii="Arial" w:hAnsi="Arial" w:cs="Arial"/>
                <w:sz w:val="16"/>
                <w:szCs w:val="16"/>
              </w:rPr>
              <w:br/>
              <w:t>Patient must have a Crohn Disease Activity Index (CDAI) Score of greater than or equal to 300 that is no more than 4 weeks old at the time of application; OR</w:t>
            </w:r>
            <w:r w:rsidRPr="00E106BD">
              <w:rPr>
                <w:rFonts w:ascii="Arial" w:hAnsi="Arial" w:cs="Arial"/>
                <w:sz w:val="16"/>
                <w:szCs w:val="16"/>
              </w:rPr>
              <w:br/>
              <w:t>Patient must have a documented history of intestinal inflammation and have diagnostic imaging or surgical evidence of short gut syndrome if affected by the syndrome or has an ileostomy or colostomy; OR</w:t>
            </w:r>
            <w:r w:rsidRPr="00E106BD">
              <w:rPr>
                <w:rFonts w:ascii="Arial" w:hAnsi="Arial" w:cs="Arial"/>
                <w:sz w:val="16"/>
                <w:szCs w:val="16"/>
              </w:rPr>
              <w:b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 AND</w:t>
            </w:r>
            <w:r w:rsidRPr="00E106BD">
              <w:rPr>
                <w:rFonts w:ascii="Arial" w:hAnsi="Arial" w:cs="Arial"/>
                <w:sz w:val="16"/>
                <w:szCs w:val="16"/>
              </w:rPr>
              <w:br/>
              <w:t>Patient must have evidence of intestinal inflammation; OR</w:t>
            </w:r>
            <w:r w:rsidRPr="00E106BD">
              <w:rPr>
                <w:rFonts w:ascii="Arial" w:hAnsi="Arial" w:cs="Arial"/>
                <w:sz w:val="16"/>
                <w:szCs w:val="16"/>
              </w:rPr>
              <w:br/>
              <w:t>Patient must be assessed clinically as being in a high faecal output state; OR</w:t>
            </w:r>
            <w:r w:rsidRPr="00E106BD">
              <w:rPr>
                <w:rFonts w:ascii="Arial" w:hAnsi="Arial" w:cs="Arial"/>
                <w:sz w:val="16"/>
                <w:szCs w:val="16"/>
              </w:rPr>
              <w:br/>
              <w:t>Patient must be assessed clinically as requiring surgery or total parenteral nutrition (TPN) as the next therapeutic option, in the absence of this drug, if affected by short gut syndrome, extensive small intestine disease or is an ostomy patient; AND</w:t>
            </w:r>
            <w:r w:rsidRPr="00E106BD">
              <w:rPr>
                <w:rFonts w:ascii="Arial" w:hAnsi="Arial" w:cs="Arial"/>
                <w:sz w:val="16"/>
                <w:szCs w:val="16"/>
              </w:rPr>
              <w:br/>
              <w:t>The treatment must not exceed a total of 3 doses to be administered at weeks 0, 2 and 6 under this restriction;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Applications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Crohn Disease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Crohn Disease Activity Index (CDAI) calculation sheet including the date of assessment of the patient</w:t>
            </w:r>
            <w:r w:rsidR="00A653CA">
              <w:rPr>
                <w:rFonts w:ascii="Arial" w:hAnsi="Arial" w:cs="Arial"/>
                <w:sz w:val="16"/>
                <w:szCs w:val="16"/>
              </w:rPr>
              <w:t>’</w:t>
            </w:r>
            <w:r w:rsidRPr="00E106BD">
              <w:rPr>
                <w:rFonts w:ascii="Arial" w:hAnsi="Arial" w:cs="Arial"/>
                <w:sz w:val="16"/>
                <w:szCs w:val="16"/>
              </w:rPr>
              <w:t>s condition if relevant; and</w:t>
            </w:r>
            <w:r w:rsidRPr="00E106BD">
              <w:rPr>
                <w:rFonts w:ascii="Arial" w:hAnsi="Arial" w:cs="Arial"/>
                <w:sz w:val="16"/>
                <w:szCs w:val="16"/>
              </w:rPr>
              <w:br/>
              <w:t>(ii) the reports and dates of the pathology or diagnostic imaging test(s) nominated as the response criterion, if relevant; and</w:t>
            </w:r>
            <w:r w:rsidRPr="00E106BD">
              <w:rPr>
                <w:rFonts w:ascii="Arial" w:hAnsi="Arial" w:cs="Arial"/>
                <w:sz w:val="16"/>
                <w:szCs w:val="16"/>
              </w:rPr>
              <w:br/>
              <w:t>(iii) the date of the most recent clinical assessment.</w:t>
            </w:r>
            <w:r w:rsidRPr="00E106BD">
              <w:rPr>
                <w:rFonts w:ascii="Arial" w:hAnsi="Arial" w:cs="Arial"/>
                <w:sz w:val="16"/>
                <w:szCs w:val="16"/>
              </w:rPr>
              <w:br/>
              <w:t>Evidence of intestinal inflammation includes:</w:t>
            </w:r>
            <w:r w:rsidRPr="00E106BD">
              <w:rPr>
                <w:rFonts w:ascii="Arial" w:hAnsi="Arial" w:cs="Arial"/>
                <w:sz w:val="16"/>
                <w:szCs w:val="16"/>
              </w:rPr>
              <w:br/>
              <w:t>(i) blood: higher than normal platelet count, or, an elevated erythrocyte sedimentation rate (ESR) greater than 25 mm per hour, or, a C</w:t>
            </w:r>
            <w:r>
              <w:rPr>
                <w:rFonts w:ascii="Arial" w:hAnsi="Arial" w:cs="Arial"/>
                <w:sz w:val="16"/>
                <w:szCs w:val="16"/>
              </w:rPr>
              <w:noBreakHyphen/>
            </w:r>
            <w:r w:rsidRPr="00E106BD">
              <w:rPr>
                <w:rFonts w:ascii="Arial" w:hAnsi="Arial" w:cs="Arial"/>
                <w:sz w:val="16"/>
                <w:szCs w:val="16"/>
              </w:rPr>
              <w:t>reactive protein (CRP) level greater than 15 mg per L; or</w:t>
            </w:r>
            <w:r w:rsidRPr="00E106BD">
              <w:rPr>
                <w:rFonts w:ascii="Arial" w:hAnsi="Arial" w:cs="Arial"/>
                <w:sz w:val="16"/>
                <w:szCs w:val="16"/>
              </w:rPr>
              <w:br/>
              <w:t>(ii) faeces: higher than normal lactoferrin or calprotectin level; or</w:t>
            </w:r>
            <w:r w:rsidRPr="00E106BD">
              <w:rPr>
                <w:rFonts w:ascii="Arial" w:hAnsi="Arial" w:cs="Arial"/>
                <w:sz w:val="16"/>
                <w:szCs w:val="16"/>
              </w:rPr>
              <w:br/>
              <w:t>(iii) diagnostic imaging: demonstration of increased uptake of intravenous contrast with thickening of the bowel wall or mesenteric lymphadenopathy or fat streaking in the mesentery.</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hAnsi="Arial" w:cs="Arial"/>
                <w:sz w:val="16"/>
                <w:szCs w:val="16"/>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Pr>
                <w:rFonts w:ascii="Arial" w:hAnsi="Arial" w:cs="Arial"/>
                <w:sz w:val="16"/>
                <w:szCs w:val="16"/>
              </w:rPr>
              <w:noBreakHyphen/>
            </w:r>
            <w:r w:rsidRPr="00E106BD">
              <w:rPr>
                <w:rFonts w:ascii="Arial" w:hAnsi="Arial" w:cs="Arial"/>
                <w:sz w:val="16"/>
                <w:szCs w:val="16"/>
              </w:rPr>
              <w:t>subsidised therapy.</w:t>
            </w:r>
            <w:r w:rsidRPr="00E106BD">
              <w:rPr>
                <w:rFonts w:ascii="Arial" w:hAnsi="Arial" w:cs="Arial"/>
                <w:sz w:val="16"/>
                <w:szCs w:val="16"/>
              </w:rPr>
              <w:br/>
              <w:t>The assessment of the patient</w:t>
            </w:r>
            <w:r w:rsidR="00A653CA">
              <w:rPr>
                <w:rFonts w:ascii="Arial" w:hAnsi="Arial" w:cs="Arial"/>
                <w:sz w:val="16"/>
                <w:szCs w:val="16"/>
              </w:rPr>
              <w:t>’</w:t>
            </w:r>
            <w:r w:rsidRPr="00E106BD">
              <w:rPr>
                <w:rFonts w:ascii="Arial" w:hAnsi="Arial" w:cs="Arial"/>
                <w:sz w:val="16"/>
                <w:szCs w:val="16"/>
              </w:rPr>
              <w:t>s response to this initial course of treatment must be made up to 12 weeks after the first dose (6 weeks following the third dose) so that there is adequate time for a response to be demonstrated.</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5C4E1C" w:rsidRPr="00E106BD" w:rsidDel="00891EA4" w:rsidRDefault="005C4E1C"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5C4E1C" w:rsidRPr="00E106BD" w:rsidDel="00EF799C" w:rsidTr="008929EB">
        <w:tc>
          <w:tcPr>
            <w:tcW w:w="1729" w:type="dxa"/>
            <w:shd w:val="clear" w:color="auto" w:fill="auto"/>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bookmarkStart w:id="283" w:name="CU_608945739"/>
            <w:bookmarkEnd w:id="283"/>
            <w:r w:rsidRPr="00E106BD">
              <w:rPr>
                <w:rFonts w:ascii="Arial" w:hAnsi="Arial" w:cs="Arial"/>
                <w:sz w:val="16"/>
                <w:szCs w:val="16"/>
              </w:rPr>
              <w:t xml:space="preserve">Zidovudine </w:t>
            </w:r>
          </w:p>
        </w:tc>
        <w:tc>
          <w:tcPr>
            <w:tcW w:w="709" w:type="dxa"/>
            <w:shd w:val="clear" w:color="auto" w:fill="auto"/>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C4454</w:t>
            </w:r>
          </w:p>
        </w:tc>
        <w:tc>
          <w:tcPr>
            <w:tcW w:w="709" w:type="dxa"/>
            <w:shd w:val="clear" w:color="auto" w:fill="auto"/>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p>
        </w:tc>
        <w:tc>
          <w:tcPr>
            <w:tcW w:w="7654" w:type="dxa"/>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p>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5C4E1C" w:rsidRPr="00E106BD" w:rsidDel="00EF799C" w:rsidTr="008929EB">
        <w:tc>
          <w:tcPr>
            <w:tcW w:w="1729" w:type="dxa"/>
            <w:shd w:val="clear" w:color="auto" w:fill="auto"/>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p>
        </w:tc>
        <w:tc>
          <w:tcPr>
            <w:tcW w:w="709" w:type="dxa"/>
            <w:shd w:val="clear" w:color="auto" w:fill="auto"/>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C4512</w:t>
            </w:r>
          </w:p>
        </w:tc>
        <w:tc>
          <w:tcPr>
            <w:tcW w:w="709" w:type="dxa"/>
            <w:shd w:val="clear" w:color="auto" w:fill="auto"/>
            <w:tcMar>
              <w:top w:w="28" w:type="dxa"/>
              <w:left w:w="28" w:type="dxa"/>
            </w:tcMar>
          </w:tcPr>
          <w:p w:rsidR="005C4E1C" w:rsidRPr="00E106BD" w:rsidDel="00EF799C" w:rsidRDefault="005C4E1C" w:rsidP="00881477">
            <w:pPr>
              <w:widowControl w:val="0"/>
              <w:spacing w:line="240" w:lineRule="auto"/>
              <w:rPr>
                <w:rFonts w:ascii="Arial" w:hAnsi="Arial" w:cs="Arial"/>
                <w:sz w:val="16"/>
                <w:szCs w:val="16"/>
              </w:rPr>
            </w:pPr>
          </w:p>
        </w:tc>
        <w:tc>
          <w:tcPr>
            <w:tcW w:w="7654" w:type="dxa"/>
            <w:shd w:val="clear" w:color="auto" w:fill="auto"/>
            <w:tcMar>
              <w:top w:w="28" w:type="dxa"/>
              <w:left w:w="28" w:type="dxa"/>
            </w:tcMar>
          </w:tcPr>
          <w:p w:rsidR="005C4E1C" w:rsidRPr="00E106BD" w:rsidRDefault="005C4E1C" w:rsidP="00881477">
            <w:pPr>
              <w:widowControl w:val="0"/>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5C4E1C" w:rsidRPr="00E106BD" w:rsidDel="00EF799C"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5C4E1C" w:rsidRPr="00E106BD" w:rsidDel="00C3501D" w:rsidTr="008929EB">
        <w:tc>
          <w:tcPr>
            <w:tcW w:w="172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Zoledronic acid</w:t>
            </w:r>
          </w:p>
        </w:tc>
        <w:tc>
          <w:tcPr>
            <w:tcW w:w="70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C5605</w:t>
            </w:r>
          </w:p>
        </w:tc>
        <w:tc>
          <w:tcPr>
            <w:tcW w:w="70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Bone metastases</w:t>
            </w:r>
            <w:r w:rsidRPr="00E106BD">
              <w:rPr>
                <w:rFonts w:ascii="Arial" w:hAnsi="Arial" w:cs="Arial"/>
                <w:sz w:val="16"/>
                <w:szCs w:val="16"/>
              </w:rPr>
              <w:br/>
              <w:t>The condition must be due to breast cancer.</w:t>
            </w:r>
          </w:p>
        </w:tc>
        <w:tc>
          <w:tcPr>
            <w:tcW w:w="2552" w:type="dxa"/>
            <w:tcMar>
              <w:top w:w="28" w:type="dxa"/>
              <w:left w:w="28" w:type="dxa"/>
              <w:right w:w="57"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5605</w:t>
            </w:r>
          </w:p>
        </w:tc>
      </w:tr>
      <w:tr w:rsidR="005C4E1C" w:rsidRPr="00E106BD" w:rsidDel="00C3501D" w:rsidTr="008929EB">
        <w:tc>
          <w:tcPr>
            <w:tcW w:w="172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p>
        </w:tc>
        <w:tc>
          <w:tcPr>
            <w:tcW w:w="70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C5703</w:t>
            </w:r>
          </w:p>
        </w:tc>
        <w:tc>
          <w:tcPr>
            <w:tcW w:w="70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Bone metastases</w:t>
            </w:r>
            <w:r w:rsidRPr="00E106BD">
              <w:rPr>
                <w:rFonts w:ascii="Arial" w:hAnsi="Arial" w:cs="Arial"/>
                <w:sz w:val="16"/>
                <w:szCs w:val="16"/>
              </w:rPr>
              <w:br/>
              <w:t>The condition must be due to castration</w:t>
            </w:r>
            <w:r>
              <w:rPr>
                <w:rFonts w:ascii="Arial" w:hAnsi="Arial" w:cs="Arial"/>
                <w:sz w:val="16"/>
                <w:szCs w:val="16"/>
              </w:rPr>
              <w:noBreakHyphen/>
            </w:r>
            <w:r w:rsidRPr="00E106BD">
              <w:rPr>
                <w:rFonts w:ascii="Arial" w:hAnsi="Arial" w:cs="Arial"/>
                <w:sz w:val="16"/>
                <w:szCs w:val="16"/>
              </w:rPr>
              <w:t>resistant prostate cancer.</w:t>
            </w:r>
          </w:p>
        </w:tc>
        <w:tc>
          <w:tcPr>
            <w:tcW w:w="2552" w:type="dxa"/>
            <w:tcMar>
              <w:top w:w="28" w:type="dxa"/>
              <w:left w:w="28" w:type="dxa"/>
              <w:right w:w="57"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5703</w:t>
            </w:r>
          </w:p>
        </w:tc>
      </w:tr>
      <w:tr w:rsidR="005C4E1C" w:rsidRPr="00E106BD" w:rsidDel="00C3501D" w:rsidTr="008929EB">
        <w:tc>
          <w:tcPr>
            <w:tcW w:w="172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p>
        </w:tc>
        <w:tc>
          <w:tcPr>
            <w:tcW w:w="70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C5704</w:t>
            </w:r>
          </w:p>
        </w:tc>
        <w:tc>
          <w:tcPr>
            <w:tcW w:w="70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Hypercalcaemia of malignancy</w:t>
            </w:r>
            <w:r w:rsidRPr="00E106BD">
              <w:rPr>
                <w:rFonts w:ascii="Arial" w:hAnsi="Arial" w:cs="Arial"/>
                <w:sz w:val="16"/>
                <w:szCs w:val="16"/>
              </w:rPr>
              <w:br/>
              <w:t>Patient must have a malignancy refractory to anti</w:t>
            </w:r>
            <w:r>
              <w:rPr>
                <w:rFonts w:ascii="Arial" w:hAnsi="Arial" w:cs="Arial"/>
                <w:sz w:val="16"/>
                <w:szCs w:val="16"/>
              </w:rPr>
              <w:noBreakHyphen/>
            </w:r>
            <w:r w:rsidRPr="00E106BD">
              <w:rPr>
                <w:rFonts w:ascii="Arial" w:hAnsi="Arial" w:cs="Arial"/>
                <w:sz w:val="16"/>
                <w:szCs w:val="16"/>
              </w:rPr>
              <w:t>neoplastic therapy.</w:t>
            </w:r>
          </w:p>
        </w:tc>
        <w:tc>
          <w:tcPr>
            <w:tcW w:w="2552" w:type="dxa"/>
            <w:tcMar>
              <w:top w:w="28" w:type="dxa"/>
              <w:left w:w="28" w:type="dxa"/>
              <w:right w:w="57"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5704</w:t>
            </w:r>
          </w:p>
        </w:tc>
      </w:tr>
      <w:tr w:rsidR="005C4E1C" w:rsidRPr="00E106BD" w:rsidDel="00C3501D" w:rsidTr="008929EB">
        <w:trPr>
          <w:cantSplit/>
        </w:trPr>
        <w:tc>
          <w:tcPr>
            <w:tcW w:w="172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p>
        </w:tc>
        <w:tc>
          <w:tcPr>
            <w:tcW w:w="70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C5735</w:t>
            </w:r>
          </w:p>
        </w:tc>
        <w:tc>
          <w:tcPr>
            <w:tcW w:w="709"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Multiple myeloma</w:t>
            </w:r>
            <w:r w:rsidRPr="00E106BD">
              <w:rPr>
                <w:rFonts w:ascii="Arial" w:hAnsi="Arial" w:cs="Arial"/>
                <w:sz w:val="16"/>
                <w:szCs w:val="16"/>
              </w:rPr>
              <w:br/>
            </w:r>
          </w:p>
        </w:tc>
        <w:tc>
          <w:tcPr>
            <w:tcW w:w="2552" w:type="dxa"/>
            <w:tcMar>
              <w:top w:w="28" w:type="dxa"/>
              <w:left w:w="28" w:type="dxa"/>
              <w:right w:w="57" w:type="dxa"/>
            </w:tcMar>
          </w:tcPr>
          <w:p w:rsidR="005C4E1C" w:rsidRPr="00E106BD" w:rsidDel="00C3501D"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5735</w:t>
            </w:r>
          </w:p>
        </w:tc>
      </w:tr>
      <w:tr w:rsidR="005C4E1C" w:rsidRPr="00E106BD" w:rsidDel="003340D9" w:rsidTr="008929EB">
        <w:tc>
          <w:tcPr>
            <w:tcW w:w="1729"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p>
        </w:tc>
        <w:tc>
          <w:tcPr>
            <w:tcW w:w="709"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C9268</w:t>
            </w:r>
          </w:p>
        </w:tc>
        <w:tc>
          <w:tcPr>
            <w:tcW w:w="709"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Multiple myeloma</w:t>
            </w:r>
          </w:p>
        </w:tc>
        <w:tc>
          <w:tcPr>
            <w:tcW w:w="2552" w:type="dxa"/>
            <w:tcMar>
              <w:top w:w="28" w:type="dxa"/>
              <w:left w:w="28" w:type="dxa"/>
              <w:right w:w="57"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9268</w:t>
            </w:r>
          </w:p>
        </w:tc>
      </w:tr>
      <w:tr w:rsidR="005C4E1C" w:rsidRPr="00E106BD" w:rsidDel="003340D9" w:rsidTr="008929EB">
        <w:tc>
          <w:tcPr>
            <w:tcW w:w="1729"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p>
        </w:tc>
        <w:tc>
          <w:tcPr>
            <w:tcW w:w="709"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C9304</w:t>
            </w:r>
          </w:p>
        </w:tc>
        <w:tc>
          <w:tcPr>
            <w:tcW w:w="709"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Bone metastases</w:t>
            </w:r>
            <w:r w:rsidRPr="00E106BD">
              <w:rPr>
                <w:szCs w:val="16"/>
              </w:rPr>
              <w:br/>
            </w:r>
            <w:r w:rsidRPr="00E106BD">
              <w:rPr>
                <w:rFonts w:ascii="Arial" w:hAnsi="Arial" w:cs="Arial"/>
                <w:sz w:val="16"/>
                <w:szCs w:val="16"/>
              </w:rPr>
              <w:t>The condition must be due to castration</w:t>
            </w:r>
            <w:r>
              <w:rPr>
                <w:rFonts w:ascii="Arial" w:hAnsi="Arial" w:cs="Arial"/>
                <w:sz w:val="16"/>
                <w:szCs w:val="16"/>
              </w:rPr>
              <w:noBreakHyphen/>
            </w:r>
            <w:r w:rsidRPr="00E106BD">
              <w:rPr>
                <w:rFonts w:ascii="Arial" w:hAnsi="Arial" w:cs="Arial"/>
                <w:sz w:val="16"/>
                <w:szCs w:val="16"/>
              </w:rPr>
              <w:t>resistant prostate cancer.</w:t>
            </w:r>
          </w:p>
        </w:tc>
        <w:tc>
          <w:tcPr>
            <w:tcW w:w="2552" w:type="dxa"/>
            <w:tcMar>
              <w:top w:w="28" w:type="dxa"/>
              <w:left w:w="28" w:type="dxa"/>
              <w:right w:w="57"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9304</w:t>
            </w:r>
          </w:p>
        </w:tc>
      </w:tr>
      <w:tr w:rsidR="005C4E1C" w:rsidRPr="00E106BD" w:rsidDel="003340D9" w:rsidTr="008929EB">
        <w:tc>
          <w:tcPr>
            <w:tcW w:w="1729"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p>
        </w:tc>
        <w:tc>
          <w:tcPr>
            <w:tcW w:w="709"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C9317</w:t>
            </w:r>
          </w:p>
        </w:tc>
        <w:tc>
          <w:tcPr>
            <w:tcW w:w="709"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p>
        </w:tc>
        <w:tc>
          <w:tcPr>
            <w:tcW w:w="7654" w:type="dxa"/>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Hypercalcaemia of malignancy</w:t>
            </w:r>
            <w:r w:rsidRPr="00E106BD">
              <w:rPr>
                <w:szCs w:val="16"/>
              </w:rPr>
              <w:br/>
            </w:r>
            <w:r w:rsidRPr="00E106BD">
              <w:rPr>
                <w:rFonts w:ascii="Arial" w:hAnsi="Arial" w:cs="Arial"/>
                <w:sz w:val="16"/>
                <w:szCs w:val="16"/>
              </w:rPr>
              <w:t>Patient must have a malignancy refractory to anti</w:t>
            </w:r>
            <w:r>
              <w:rPr>
                <w:rFonts w:ascii="Arial" w:hAnsi="Arial" w:cs="Arial"/>
                <w:sz w:val="16"/>
                <w:szCs w:val="16"/>
              </w:rPr>
              <w:noBreakHyphen/>
            </w:r>
            <w:r w:rsidRPr="00E106BD">
              <w:rPr>
                <w:rFonts w:ascii="Arial" w:hAnsi="Arial" w:cs="Arial"/>
                <w:sz w:val="16"/>
                <w:szCs w:val="16"/>
              </w:rPr>
              <w:t>neoplastic therapy.</w:t>
            </w:r>
          </w:p>
        </w:tc>
        <w:tc>
          <w:tcPr>
            <w:tcW w:w="2552" w:type="dxa"/>
            <w:tcMar>
              <w:top w:w="28" w:type="dxa"/>
              <w:left w:w="28" w:type="dxa"/>
              <w:right w:w="57"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9317</w:t>
            </w:r>
          </w:p>
        </w:tc>
      </w:tr>
      <w:tr w:rsidR="005C4E1C" w:rsidRPr="00E106BD" w:rsidDel="003340D9" w:rsidTr="008929EB">
        <w:tc>
          <w:tcPr>
            <w:tcW w:w="1729" w:type="dxa"/>
            <w:tcBorders>
              <w:bottom w:val="single" w:sz="12" w:space="0" w:color="auto"/>
            </w:tcBorders>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p>
        </w:tc>
        <w:tc>
          <w:tcPr>
            <w:tcW w:w="709" w:type="dxa"/>
            <w:tcBorders>
              <w:bottom w:val="single" w:sz="12" w:space="0" w:color="auto"/>
            </w:tcBorders>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C9328</w:t>
            </w:r>
          </w:p>
        </w:tc>
        <w:tc>
          <w:tcPr>
            <w:tcW w:w="709" w:type="dxa"/>
            <w:tcBorders>
              <w:bottom w:val="single" w:sz="12" w:space="0" w:color="auto"/>
            </w:tcBorders>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p>
        </w:tc>
        <w:tc>
          <w:tcPr>
            <w:tcW w:w="7654" w:type="dxa"/>
            <w:tcBorders>
              <w:bottom w:val="single" w:sz="12" w:space="0" w:color="auto"/>
            </w:tcBorders>
            <w:tcMar>
              <w:top w:w="28" w:type="dxa"/>
              <w:left w:w="28"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Bone metastases</w:t>
            </w:r>
            <w:r w:rsidRPr="00E106BD">
              <w:rPr>
                <w:szCs w:val="16"/>
              </w:rPr>
              <w:br/>
            </w:r>
            <w:r w:rsidRPr="00E106BD">
              <w:rPr>
                <w:rFonts w:ascii="Arial" w:hAnsi="Arial" w:cs="Arial"/>
                <w:sz w:val="16"/>
                <w:szCs w:val="16"/>
              </w:rPr>
              <w:t>The condition must be due to breast cancer.</w:t>
            </w:r>
          </w:p>
        </w:tc>
        <w:tc>
          <w:tcPr>
            <w:tcW w:w="2552" w:type="dxa"/>
            <w:tcBorders>
              <w:bottom w:val="single" w:sz="12" w:space="0" w:color="auto"/>
            </w:tcBorders>
            <w:tcMar>
              <w:top w:w="28" w:type="dxa"/>
              <w:left w:w="28" w:type="dxa"/>
              <w:right w:w="57" w:type="dxa"/>
            </w:tcMar>
          </w:tcPr>
          <w:p w:rsidR="005C4E1C" w:rsidRPr="00E106BD" w:rsidDel="003340D9" w:rsidRDefault="005C4E1C"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9328</w:t>
            </w:r>
          </w:p>
        </w:tc>
      </w:tr>
    </w:tbl>
    <w:p w:rsidR="008C41DA" w:rsidRPr="00E106BD" w:rsidRDefault="008C41DA" w:rsidP="008C41DA"/>
    <w:p w:rsidR="00FF6EA5" w:rsidRPr="00E106BD" w:rsidRDefault="00FF6EA5" w:rsidP="00037B27">
      <w:pPr>
        <w:sectPr w:rsidR="00FF6EA5" w:rsidRPr="00E106BD" w:rsidSect="00AF69B5">
          <w:headerReference w:type="even" r:id="rId40"/>
          <w:headerReference w:type="default" r:id="rId41"/>
          <w:footerReference w:type="even" r:id="rId42"/>
          <w:footerReference w:type="default" r:id="rId43"/>
          <w:headerReference w:type="first" r:id="rId44"/>
          <w:footerReference w:type="first" r:id="rId45"/>
          <w:pgSz w:w="16839" w:h="11907" w:orient="landscape" w:code="9"/>
          <w:pgMar w:top="1797" w:right="1440" w:bottom="1797" w:left="1440" w:header="720" w:footer="709" w:gutter="0"/>
          <w:cols w:space="720"/>
          <w:docGrid w:linePitch="299"/>
        </w:sectPr>
      </w:pPr>
    </w:p>
    <w:p w:rsidR="00065467" w:rsidRPr="00E106BD" w:rsidRDefault="00065467" w:rsidP="00125376">
      <w:pPr>
        <w:pStyle w:val="ActHead1"/>
        <w:keepNext w:val="0"/>
        <w:keepLines w:val="0"/>
        <w:pageBreakBefore/>
        <w:rPr>
          <w:b w:val="0"/>
          <w:bCs/>
          <w:color w:val="000000"/>
          <w:sz w:val="32"/>
          <w:szCs w:val="32"/>
        </w:rPr>
      </w:pPr>
      <w:bookmarkStart w:id="284" w:name="_Toc53559006"/>
      <w:r w:rsidRPr="00E106BD">
        <w:rPr>
          <w:rStyle w:val="CharChapNo"/>
        </w:rPr>
        <w:t>Schedule</w:t>
      </w:r>
      <w:r w:rsidR="00E106BD">
        <w:rPr>
          <w:rStyle w:val="CharChapNo"/>
        </w:rPr>
        <w:t> </w:t>
      </w:r>
      <w:r w:rsidRPr="00E106BD">
        <w:rPr>
          <w:rStyle w:val="CharChapNo"/>
        </w:rPr>
        <w:t>3 Part</w:t>
      </w:r>
      <w:r w:rsidR="00E106BD">
        <w:rPr>
          <w:rStyle w:val="CharChapNo"/>
        </w:rPr>
        <w:t> </w:t>
      </w:r>
      <w:r w:rsidRPr="00E106BD">
        <w:rPr>
          <w:rStyle w:val="CharChapNo"/>
        </w:rPr>
        <w:t>1</w:t>
      </w:r>
      <w:r w:rsidRPr="00E106BD">
        <w:rPr>
          <w:color w:val="000000"/>
          <w:sz w:val="32"/>
          <w:szCs w:val="32"/>
        </w:rPr>
        <w:t>—</w:t>
      </w:r>
      <w:r w:rsidRPr="00E106BD">
        <w:rPr>
          <w:rStyle w:val="CharChapText"/>
        </w:rPr>
        <w:t>General statement for drugs for the treatment of hepatitis C</w:t>
      </w:r>
      <w:bookmarkEnd w:id="284"/>
    </w:p>
    <w:p w:rsidR="00065467" w:rsidRPr="00E106BD" w:rsidRDefault="00276392" w:rsidP="001A0FFA">
      <w:pPr>
        <w:pStyle w:val="Specials"/>
      </w:pPr>
      <w:r w:rsidRPr="00E106BD">
        <w:rPr>
          <w:rStyle w:val="CharSectno"/>
        </w:rPr>
        <w:t>1</w:t>
      </w:r>
      <w:r w:rsidR="00F01FB1" w:rsidRPr="00E106BD">
        <w:rPr>
          <w:rFonts w:eastAsiaTheme="minorHAnsi" w:cstheme="minorBidi"/>
          <w:lang w:eastAsia="en-US"/>
        </w:rPr>
        <w:t xml:space="preserve">  </w:t>
      </w:r>
      <w:r w:rsidR="00065467" w:rsidRPr="00E106BD">
        <w:t>Criteria for eligibility for drugs for the treatment of chronic hepatitis C</w:t>
      </w:r>
    </w:p>
    <w:p w:rsidR="00065467" w:rsidRPr="00E106BD" w:rsidRDefault="00447A98" w:rsidP="00447A98">
      <w:pPr>
        <w:pStyle w:val="subsection"/>
        <w:rPr>
          <w:color w:val="000000"/>
          <w:szCs w:val="22"/>
        </w:rPr>
      </w:pPr>
      <w:r w:rsidRPr="00E106BD">
        <w:rPr>
          <w:color w:val="000000"/>
          <w:szCs w:val="22"/>
        </w:rPr>
        <w:tab/>
      </w:r>
      <w:r w:rsidRPr="00E106BD">
        <w:rPr>
          <w:color w:val="000000"/>
          <w:szCs w:val="22"/>
        </w:rPr>
        <w:tab/>
      </w:r>
      <w:r w:rsidR="00065467" w:rsidRPr="00E106BD">
        <w:rPr>
          <w:color w:val="000000"/>
          <w:szCs w:val="22"/>
        </w:rPr>
        <w:t>The criteria for patient eligibility for drugs for the treatment of chronic hepatitis C are that:</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(1)</w:t>
      </w:r>
      <w:r w:rsidR="00E54F24" w:rsidRPr="00E106BD">
        <w:rPr>
          <w:color w:val="000000"/>
          <w:szCs w:val="22"/>
        </w:rPr>
        <w:tab/>
      </w:r>
      <w:r w:rsidR="00065467" w:rsidRPr="00E106BD">
        <w:rPr>
          <w:color w:val="000000"/>
          <w:szCs w:val="22"/>
        </w:rPr>
        <w:t>the patient has been assessed in accordance with paragraph</w:t>
      </w:r>
      <w:r w:rsidR="00E106BD">
        <w:rPr>
          <w:color w:val="000000"/>
          <w:szCs w:val="22"/>
        </w:rPr>
        <w:t> </w:t>
      </w:r>
      <w:r w:rsidR="00065467" w:rsidRPr="00E106BD">
        <w:rPr>
          <w:color w:val="000000"/>
          <w:szCs w:val="22"/>
        </w:rPr>
        <w:t>2 of this Part; and</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(2)</w:t>
      </w:r>
      <w:r w:rsidR="00E54F24" w:rsidRPr="00E106BD">
        <w:rPr>
          <w:color w:val="000000"/>
          <w:szCs w:val="22"/>
        </w:rPr>
        <w:tab/>
      </w:r>
      <w:r w:rsidR="00065467" w:rsidRPr="00E106BD">
        <w:rPr>
          <w:color w:val="000000"/>
          <w:szCs w:val="22"/>
        </w:rPr>
        <w:t>the patient is:</w:t>
      </w:r>
    </w:p>
    <w:p w:rsidR="00065467" w:rsidRPr="00E106BD" w:rsidRDefault="00447A98" w:rsidP="00447A98">
      <w:pPr>
        <w:pStyle w:val="paragraph"/>
        <w:tabs>
          <w:tab w:val="left" w:pos="1701"/>
        </w:tabs>
        <w:rPr>
          <w:color w:val="000000"/>
          <w:szCs w:val="22"/>
        </w:rPr>
      </w:pPr>
      <w:r w:rsidRPr="00E106BD">
        <w:rPr>
          <w:color w:val="000000"/>
          <w:sz w:val="20"/>
          <w:szCs w:val="22"/>
        </w:rPr>
        <w:tab/>
      </w:r>
      <w:r w:rsidR="00E54F24" w:rsidRPr="00E106BD">
        <w:rPr>
          <w:color w:val="000000"/>
          <w:sz w:val="20"/>
          <w:szCs w:val="22"/>
        </w:rPr>
        <w:t>(a)</w:t>
      </w:r>
      <w:r w:rsidR="00E54F24" w:rsidRPr="00E106BD">
        <w:rPr>
          <w:color w:val="000000"/>
          <w:sz w:val="20"/>
          <w:szCs w:val="22"/>
        </w:rPr>
        <w:tab/>
      </w:r>
      <w:r w:rsidR="00065467" w:rsidRPr="00E106BD">
        <w:rPr>
          <w:color w:val="000000"/>
          <w:szCs w:val="22"/>
        </w:rPr>
        <w:t>treated by a medical practitioner or an authorised nurse practitioner who is experienced in the treatment of patients with chronic hepatitis C infection; or</w:t>
      </w:r>
    </w:p>
    <w:p w:rsidR="00065467" w:rsidRPr="00E106BD" w:rsidRDefault="00447A98" w:rsidP="00447A98">
      <w:pPr>
        <w:pStyle w:val="paragraph"/>
        <w:tabs>
          <w:tab w:val="left" w:pos="1701"/>
        </w:tabs>
        <w:rPr>
          <w:color w:val="000000"/>
          <w:szCs w:val="22"/>
        </w:rPr>
      </w:pPr>
      <w:r w:rsidRPr="00E106BD">
        <w:rPr>
          <w:color w:val="000000"/>
          <w:sz w:val="20"/>
          <w:szCs w:val="22"/>
        </w:rPr>
        <w:tab/>
      </w:r>
      <w:r w:rsidR="00E54F24" w:rsidRPr="00E106BD">
        <w:rPr>
          <w:color w:val="000000"/>
          <w:sz w:val="20"/>
          <w:szCs w:val="22"/>
        </w:rPr>
        <w:t>(b)</w:t>
      </w:r>
      <w:r w:rsidR="00E54F24" w:rsidRPr="00E106BD">
        <w:rPr>
          <w:color w:val="000000"/>
          <w:sz w:val="20"/>
          <w:szCs w:val="22"/>
        </w:rPr>
        <w:tab/>
      </w:r>
      <w:r w:rsidR="00065467" w:rsidRPr="00E106BD">
        <w:rPr>
          <w:color w:val="000000"/>
          <w:szCs w:val="22"/>
        </w:rPr>
        <w:t>treated by a medical practitioner or an authorised nurse practitioner in consultation with:</w:t>
      </w:r>
    </w:p>
    <w:p w:rsidR="00065467" w:rsidRPr="00E106BD" w:rsidRDefault="00447A98" w:rsidP="00447A98">
      <w:pPr>
        <w:pStyle w:val="paragraphsub"/>
        <w:rPr>
          <w:color w:val="000000"/>
          <w:szCs w:val="22"/>
        </w:rPr>
      </w:pPr>
      <w:r w:rsidRPr="00E106BD">
        <w:rPr>
          <w:color w:val="000000"/>
          <w:sz w:val="20"/>
          <w:szCs w:val="22"/>
        </w:rPr>
        <w:tab/>
      </w:r>
      <w:r w:rsidR="00E54F24" w:rsidRPr="00E106BD">
        <w:rPr>
          <w:color w:val="000000"/>
          <w:sz w:val="20"/>
          <w:szCs w:val="22"/>
        </w:rPr>
        <w:t>(i)</w:t>
      </w:r>
      <w:r w:rsidR="00E54F24" w:rsidRPr="00E106BD">
        <w:rPr>
          <w:color w:val="000000"/>
          <w:sz w:val="20"/>
          <w:szCs w:val="22"/>
        </w:rPr>
        <w:tab/>
      </w:r>
      <w:r w:rsidR="00065467" w:rsidRPr="00E106BD">
        <w:rPr>
          <w:color w:val="000000"/>
          <w:szCs w:val="22"/>
        </w:rPr>
        <w:t>a gastroenterologist; or</w:t>
      </w:r>
    </w:p>
    <w:p w:rsidR="00065467" w:rsidRPr="00E106BD" w:rsidRDefault="00447A98" w:rsidP="00447A98">
      <w:pPr>
        <w:pStyle w:val="paragraphsub"/>
        <w:rPr>
          <w:color w:val="000000"/>
          <w:szCs w:val="22"/>
        </w:rPr>
      </w:pPr>
      <w:r w:rsidRPr="00E106BD">
        <w:rPr>
          <w:color w:val="000000"/>
          <w:sz w:val="20"/>
          <w:szCs w:val="22"/>
        </w:rPr>
        <w:tab/>
      </w:r>
      <w:r w:rsidR="00E54F24" w:rsidRPr="00E106BD">
        <w:rPr>
          <w:color w:val="000000"/>
          <w:sz w:val="20"/>
          <w:szCs w:val="22"/>
        </w:rPr>
        <w:t>(ii)</w:t>
      </w:r>
      <w:r w:rsidR="00E54F24" w:rsidRPr="00E106BD">
        <w:rPr>
          <w:color w:val="000000"/>
          <w:sz w:val="20"/>
          <w:szCs w:val="22"/>
        </w:rPr>
        <w:tab/>
      </w:r>
      <w:r w:rsidR="00065467" w:rsidRPr="00E106BD">
        <w:rPr>
          <w:color w:val="000000"/>
          <w:szCs w:val="22"/>
        </w:rPr>
        <w:t>a hepatologist; or</w:t>
      </w:r>
    </w:p>
    <w:p w:rsidR="00065467" w:rsidRPr="00E106BD" w:rsidRDefault="00447A98" w:rsidP="00447A98">
      <w:pPr>
        <w:pStyle w:val="paragraphsub"/>
        <w:rPr>
          <w:color w:val="000000"/>
          <w:szCs w:val="22"/>
        </w:rPr>
      </w:pPr>
      <w:r w:rsidRPr="00E106BD">
        <w:rPr>
          <w:color w:val="000000"/>
          <w:sz w:val="20"/>
          <w:szCs w:val="22"/>
        </w:rPr>
        <w:tab/>
      </w:r>
      <w:r w:rsidR="00E54F24" w:rsidRPr="00E106BD">
        <w:rPr>
          <w:color w:val="000000"/>
          <w:sz w:val="20"/>
          <w:szCs w:val="22"/>
        </w:rPr>
        <w:t>(iii)</w:t>
      </w:r>
      <w:r w:rsidR="00E54F24" w:rsidRPr="00E106BD">
        <w:rPr>
          <w:color w:val="000000"/>
          <w:sz w:val="20"/>
          <w:szCs w:val="22"/>
        </w:rPr>
        <w:tab/>
      </w:r>
      <w:r w:rsidR="00065467" w:rsidRPr="00E106BD">
        <w:rPr>
          <w:color w:val="000000"/>
          <w:szCs w:val="22"/>
        </w:rPr>
        <w:t>an infectious diseases physician.</w:t>
      </w:r>
    </w:p>
    <w:p w:rsidR="00065467" w:rsidRPr="00E106BD" w:rsidRDefault="00065467" w:rsidP="001A0FFA">
      <w:pPr>
        <w:pStyle w:val="Specials"/>
        <w:rPr>
          <w:bCs/>
          <w:color w:val="000000"/>
        </w:rPr>
      </w:pPr>
      <w:r w:rsidRPr="00E106BD">
        <w:rPr>
          <w:rStyle w:val="CharSectno"/>
        </w:rPr>
        <w:t>2</w:t>
      </w:r>
      <w:r w:rsidR="00F01FB1" w:rsidRPr="00E106BD">
        <w:t xml:space="preserve">  </w:t>
      </w:r>
      <w:r w:rsidRPr="00E106BD">
        <w:t>Assessment of patient</w:t>
      </w:r>
    </w:p>
    <w:p w:rsidR="00065467" w:rsidRPr="00E106BD" w:rsidRDefault="00447A98" w:rsidP="00447A98">
      <w:pPr>
        <w:pStyle w:val="subsection"/>
        <w:rPr>
          <w:szCs w:val="22"/>
        </w:rPr>
      </w:pPr>
      <w:r w:rsidRPr="00E106BD">
        <w:rPr>
          <w:szCs w:val="22"/>
        </w:rPr>
        <w:tab/>
      </w:r>
      <w:r w:rsidRPr="00E106BD">
        <w:rPr>
          <w:szCs w:val="22"/>
        </w:rPr>
        <w:tab/>
      </w:r>
      <w:r w:rsidR="00065467" w:rsidRPr="00E106BD">
        <w:rPr>
          <w:szCs w:val="22"/>
        </w:rPr>
        <w:t>For the purpose of subparagraph</w:t>
      </w:r>
      <w:r w:rsidR="00E106BD">
        <w:rPr>
          <w:szCs w:val="22"/>
        </w:rPr>
        <w:t> </w:t>
      </w:r>
      <w:r w:rsidR="00065467" w:rsidRPr="00E106BD">
        <w:rPr>
          <w:szCs w:val="22"/>
        </w:rPr>
        <w:t>1(2) of this Part, the patient has been assessed if the treating medical practitioner has:</w:t>
      </w:r>
    </w:p>
    <w:p w:rsidR="00065467" w:rsidRPr="00E106BD" w:rsidRDefault="00447A98" w:rsidP="00447A98">
      <w:pPr>
        <w:pStyle w:val="subsection"/>
        <w:rPr>
          <w:szCs w:val="22"/>
        </w:rPr>
      </w:pPr>
      <w:r w:rsidRPr="00E106BD">
        <w:rPr>
          <w:szCs w:val="22"/>
        </w:rPr>
        <w:tab/>
      </w:r>
      <w:r w:rsidR="00E54F24" w:rsidRPr="00E106BD">
        <w:rPr>
          <w:szCs w:val="22"/>
        </w:rPr>
        <w:t>(1)</w:t>
      </w:r>
      <w:r w:rsidR="00E54F24" w:rsidRPr="00E106BD">
        <w:rPr>
          <w:szCs w:val="22"/>
        </w:rPr>
        <w:tab/>
      </w:r>
      <w:r w:rsidR="00065467" w:rsidRPr="00E106BD">
        <w:rPr>
          <w:szCs w:val="22"/>
        </w:rPr>
        <w:t>documented the following information in the patient’s medical records:</w:t>
      </w:r>
    </w:p>
    <w:p w:rsidR="00065467" w:rsidRPr="00E106BD" w:rsidRDefault="00447A98" w:rsidP="00447A98">
      <w:pPr>
        <w:pStyle w:val="paragraph"/>
        <w:tabs>
          <w:tab w:val="left" w:pos="1701"/>
        </w:tabs>
        <w:rPr>
          <w:szCs w:val="22"/>
        </w:rPr>
      </w:pPr>
      <w:r w:rsidRPr="00E106BD">
        <w:rPr>
          <w:sz w:val="20"/>
          <w:szCs w:val="22"/>
        </w:rPr>
        <w:tab/>
      </w:r>
      <w:r w:rsidR="00E54F24" w:rsidRPr="00E106BD">
        <w:rPr>
          <w:sz w:val="20"/>
          <w:szCs w:val="22"/>
        </w:rPr>
        <w:t>(a)</w:t>
      </w:r>
      <w:r w:rsidR="00E54F24" w:rsidRPr="00E106BD">
        <w:rPr>
          <w:sz w:val="20"/>
          <w:szCs w:val="22"/>
        </w:rPr>
        <w:tab/>
      </w:r>
      <w:r w:rsidR="00065467" w:rsidRPr="00E106BD">
        <w:rPr>
          <w:szCs w:val="22"/>
        </w:rPr>
        <w:t>evidence of chronic hepatitis C infection; and</w:t>
      </w:r>
    </w:p>
    <w:p w:rsidR="00065467" w:rsidRPr="00E106BD" w:rsidRDefault="00447A98" w:rsidP="00447A98">
      <w:pPr>
        <w:pStyle w:val="paragraph"/>
        <w:tabs>
          <w:tab w:val="left" w:pos="1701"/>
        </w:tabs>
        <w:rPr>
          <w:szCs w:val="22"/>
        </w:rPr>
      </w:pPr>
      <w:r w:rsidRPr="00E106BD">
        <w:rPr>
          <w:sz w:val="20"/>
          <w:szCs w:val="22"/>
        </w:rPr>
        <w:tab/>
      </w:r>
      <w:r w:rsidR="00E54F24" w:rsidRPr="00E106BD">
        <w:rPr>
          <w:sz w:val="20"/>
          <w:szCs w:val="22"/>
        </w:rPr>
        <w:t>(b)</w:t>
      </w:r>
      <w:r w:rsidR="00E54F24" w:rsidRPr="00E106BD">
        <w:rPr>
          <w:sz w:val="20"/>
          <w:szCs w:val="22"/>
        </w:rPr>
        <w:tab/>
      </w:r>
      <w:r w:rsidR="00065467" w:rsidRPr="00E106BD">
        <w:rPr>
          <w:szCs w:val="22"/>
        </w:rPr>
        <w:t>where possible,</w:t>
      </w:r>
      <w:r w:rsidR="00065467" w:rsidRPr="00E106BD">
        <w:rPr>
          <w:rFonts w:ascii="Arial" w:hAnsi="Arial" w:cs="Arial"/>
          <w:sz w:val="21"/>
          <w:szCs w:val="21"/>
        </w:rPr>
        <w:t xml:space="preserve"> </w:t>
      </w:r>
      <w:r w:rsidR="00065467" w:rsidRPr="00E106BD">
        <w:rPr>
          <w:szCs w:val="22"/>
        </w:rPr>
        <w:t>evidence of the patient’s hepatitis C virus genotype; and</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(2)</w:t>
      </w:r>
      <w:r w:rsidR="00E54F24" w:rsidRPr="00E106BD">
        <w:rPr>
          <w:color w:val="000000"/>
          <w:szCs w:val="22"/>
        </w:rPr>
        <w:tab/>
      </w:r>
      <w:r w:rsidR="00065467" w:rsidRPr="00E106BD">
        <w:rPr>
          <w:color w:val="000000"/>
          <w:szCs w:val="22"/>
        </w:rPr>
        <w:t>chosen a regimen in accordance with paragraph</w:t>
      </w:r>
      <w:r w:rsidR="00E106BD">
        <w:rPr>
          <w:color w:val="000000"/>
          <w:szCs w:val="22"/>
        </w:rPr>
        <w:t> </w:t>
      </w:r>
      <w:r w:rsidR="00065467" w:rsidRPr="00E106BD">
        <w:rPr>
          <w:color w:val="000000"/>
          <w:szCs w:val="22"/>
        </w:rPr>
        <w:t>3 of this Part; and</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(3)</w:t>
      </w:r>
      <w:r w:rsidR="00E54F24" w:rsidRPr="00E106BD">
        <w:rPr>
          <w:color w:val="000000"/>
          <w:szCs w:val="22"/>
        </w:rPr>
        <w:tab/>
      </w:r>
      <w:r w:rsidR="00065467" w:rsidRPr="00E106BD">
        <w:rPr>
          <w:szCs w:val="22"/>
        </w:rPr>
        <w:t>collected</w:t>
      </w:r>
      <w:r w:rsidR="00065467" w:rsidRPr="00E106BD">
        <w:rPr>
          <w:color w:val="000000"/>
          <w:szCs w:val="22"/>
        </w:rPr>
        <w:t xml:space="preserve"> the following information for the purposes of the authority application:</w:t>
      </w:r>
    </w:p>
    <w:p w:rsidR="00065467" w:rsidRPr="00E106BD" w:rsidRDefault="00447A98" w:rsidP="00447A98">
      <w:pPr>
        <w:pStyle w:val="paragraph"/>
        <w:tabs>
          <w:tab w:val="left" w:pos="1701"/>
        </w:tabs>
        <w:rPr>
          <w:color w:val="000000"/>
          <w:szCs w:val="22"/>
        </w:rPr>
      </w:pPr>
      <w:r w:rsidRPr="00E106BD">
        <w:rPr>
          <w:color w:val="000000"/>
          <w:sz w:val="20"/>
          <w:szCs w:val="22"/>
        </w:rPr>
        <w:tab/>
      </w:r>
      <w:r w:rsidR="00E54F24" w:rsidRPr="00E106BD">
        <w:rPr>
          <w:color w:val="000000"/>
          <w:sz w:val="20"/>
          <w:szCs w:val="22"/>
        </w:rPr>
        <w:t>(a)</w:t>
      </w:r>
      <w:r w:rsidR="00E54F24" w:rsidRPr="00E106BD">
        <w:rPr>
          <w:color w:val="000000"/>
          <w:sz w:val="20"/>
          <w:szCs w:val="22"/>
        </w:rPr>
        <w:tab/>
      </w:r>
      <w:r w:rsidR="00065467" w:rsidRPr="00E106BD">
        <w:rPr>
          <w:color w:val="000000"/>
          <w:szCs w:val="22"/>
        </w:rPr>
        <w:t>whether the patient is:</w:t>
      </w:r>
    </w:p>
    <w:p w:rsidR="00065467" w:rsidRPr="00E106BD" w:rsidRDefault="00447A98" w:rsidP="00447A98">
      <w:pPr>
        <w:pStyle w:val="paragraphsub"/>
        <w:rPr>
          <w:color w:val="000000"/>
          <w:szCs w:val="22"/>
        </w:rPr>
      </w:pPr>
      <w:r w:rsidRPr="00E106BD">
        <w:rPr>
          <w:color w:val="000000"/>
          <w:sz w:val="20"/>
          <w:szCs w:val="22"/>
        </w:rPr>
        <w:tab/>
      </w:r>
      <w:r w:rsidR="00E54F24" w:rsidRPr="00E106BD">
        <w:rPr>
          <w:color w:val="000000"/>
          <w:sz w:val="20"/>
          <w:szCs w:val="22"/>
        </w:rPr>
        <w:t>(i)</w:t>
      </w:r>
      <w:r w:rsidR="00E54F24" w:rsidRPr="00E106BD">
        <w:rPr>
          <w:color w:val="000000"/>
          <w:sz w:val="20"/>
          <w:szCs w:val="22"/>
        </w:rPr>
        <w:tab/>
      </w:r>
      <w:r w:rsidR="00065467" w:rsidRPr="00E106BD">
        <w:rPr>
          <w:color w:val="000000"/>
          <w:szCs w:val="22"/>
        </w:rPr>
        <w:t>cirrhotic; or</w:t>
      </w:r>
    </w:p>
    <w:p w:rsidR="00065467" w:rsidRPr="00E106BD" w:rsidRDefault="00447A98" w:rsidP="00447A98">
      <w:pPr>
        <w:pStyle w:val="paragraphsub"/>
        <w:rPr>
          <w:color w:val="000000"/>
          <w:szCs w:val="22"/>
        </w:rPr>
      </w:pPr>
      <w:r w:rsidRPr="00E106BD">
        <w:rPr>
          <w:color w:val="000000"/>
          <w:sz w:val="20"/>
          <w:szCs w:val="22"/>
        </w:rPr>
        <w:tab/>
      </w:r>
      <w:r w:rsidR="00E54F24" w:rsidRPr="00E106BD">
        <w:rPr>
          <w:color w:val="000000"/>
          <w:sz w:val="20"/>
          <w:szCs w:val="22"/>
        </w:rPr>
        <w:t>(ii)</w:t>
      </w:r>
      <w:r w:rsidR="00E54F24" w:rsidRPr="00E106BD">
        <w:rPr>
          <w:color w:val="000000"/>
          <w:sz w:val="20"/>
          <w:szCs w:val="22"/>
        </w:rPr>
        <w:tab/>
      </w:r>
      <w:r w:rsidR="00065467" w:rsidRPr="00E106BD">
        <w:rPr>
          <w:color w:val="000000"/>
          <w:szCs w:val="22"/>
        </w:rPr>
        <w:t>non</w:t>
      </w:r>
      <w:r w:rsidR="00E106BD">
        <w:rPr>
          <w:color w:val="000000"/>
          <w:szCs w:val="22"/>
        </w:rPr>
        <w:noBreakHyphen/>
      </w:r>
      <w:r w:rsidR="00065467" w:rsidRPr="00E106BD">
        <w:rPr>
          <w:color w:val="000000"/>
          <w:szCs w:val="22"/>
        </w:rPr>
        <w:t>cirrhotic</w:t>
      </w:r>
    </w:p>
    <w:p w:rsidR="00065467" w:rsidRPr="00E106BD" w:rsidRDefault="00447A98" w:rsidP="00447A98">
      <w:pPr>
        <w:pStyle w:val="paragraph"/>
        <w:tabs>
          <w:tab w:val="left" w:pos="1701"/>
        </w:tabs>
        <w:rPr>
          <w:color w:val="000000"/>
          <w:szCs w:val="22"/>
        </w:rPr>
      </w:pPr>
      <w:r w:rsidRPr="00E106BD">
        <w:rPr>
          <w:sz w:val="20"/>
          <w:szCs w:val="22"/>
        </w:rPr>
        <w:tab/>
      </w:r>
      <w:r w:rsidR="00E54F24" w:rsidRPr="00E106BD">
        <w:rPr>
          <w:sz w:val="20"/>
          <w:szCs w:val="22"/>
        </w:rPr>
        <w:t>(b)</w:t>
      </w:r>
      <w:r w:rsidR="00E54F24" w:rsidRPr="00E106BD">
        <w:rPr>
          <w:sz w:val="20"/>
          <w:szCs w:val="22"/>
        </w:rPr>
        <w:tab/>
      </w:r>
      <w:r w:rsidR="00065467" w:rsidRPr="00E106BD">
        <w:rPr>
          <w:szCs w:val="22"/>
        </w:rPr>
        <w:t>details of the previous treatment regimen (</w:t>
      </w:r>
      <w:r w:rsidR="00065467" w:rsidRPr="00E106BD">
        <w:rPr>
          <w:b/>
          <w:szCs w:val="22"/>
        </w:rPr>
        <w:t xml:space="preserve">only </w:t>
      </w:r>
      <w:r w:rsidR="00065467" w:rsidRPr="00E106BD">
        <w:rPr>
          <w:szCs w:val="22"/>
        </w:rPr>
        <w:t xml:space="preserve">for </w:t>
      </w:r>
      <w:r w:rsidR="00065467" w:rsidRPr="00E106BD">
        <w:rPr>
          <w:color w:val="000000"/>
          <w:szCs w:val="22"/>
        </w:rPr>
        <w:t>requests</w:t>
      </w:r>
      <w:r w:rsidR="00065467" w:rsidRPr="00E106BD">
        <w:rPr>
          <w:szCs w:val="22"/>
        </w:rPr>
        <w:t xml:space="preserve"> for sofosbuvir with velpatasvir and voxilaprevir or glecaprevir with pibrentasvir for 16 weeks’ treatment in patients who have previously failed a treatment with a regimen containing an NS5A inhibitor).</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(4)</w:t>
      </w:r>
      <w:r w:rsidR="00E54F24" w:rsidRPr="00E106BD">
        <w:rPr>
          <w:color w:val="000000"/>
          <w:szCs w:val="22"/>
        </w:rPr>
        <w:tab/>
      </w:r>
      <w:r w:rsidR="00065467" w:rsidRPr="00E106BD">
        <w:rPr>
          <w:color w:val="000000"/>
          <w:szCs w:val="22"/>
        </w:rPr>
        <w:t>In this paragraph, evidence of chronic hepatitis C infection is documentation of:</w:t>
      </w:r>
    </w:p>
    <w:p w:rsidR="00065467" w:rsidRPr="00E106BD" w:rsidRDefault="00447A98" w:rsidP="00447A98">
      <w:pPr>
        <w:pStyle w:val="paragraph"/>
        <w:tabs>
          <w:tab w:val="left" w:pos="1701"/>
        </w:tabs>
        <w:rPr>
          <w:color w:val="000000"/>
          <w:szCs w:val="22"/>
        </w:rPr>
      </w:pPr>
      <w:r w:rsidRPr="00E106BD">
        <w:rPr>
          <w:color w:val="000000"/>
          <w:sz w:val="20"/>
          <w:szCs w:val="22"/>
        </w:rPr>
        <w:tab/>
      </w:r>
      <w:r w:rsidR="00E54F24" w:rsidRPr="00E106BD">
        <w:rPr>
          <w:color w:val="000000"/>
          <w:sz w:val="20"/>
          <w:szCs w:val="22"/>
        </w:rPr>
        <w:t>(a)</w:t>
      </w:r>
      <w:r w:rsidR="00E54F24" w:rsidRPr="00E106BD">
        <w:rPr>
          <w:color w:val="000000"/>
          <w:sz w:val="20"/>
          <w:szCs w:val="22"/>
        </w:rPr>
        <w:tab/>
      </w:r>
      <w:r w:rsidR="00065467" w:rsidRPr="00E106BD">
        <w:rPr>
          <w:color w:val="000000"/>
          <w:szCs w:val="22"/>
        </w:rPr>
        <w:t>repeat test results showing antibody to hepatitis C virus (anti</w:t>
      </w:r>
      <w:r w:rsidR="00E106BD">
        <w:rPr>
          <w:color w:val="000000"/>
          <w:szCs w:val="22"/>
        </w:rPr>
        <w:noBreakHyphen/>
      </w:r>
      <w:r w:rsidR="00065467" w:rsidRPr="00E106BD">
        <w:rPr>
          <w:color w:val="000000"/>
          <w:szCs w:val="22"/>
        </w:rPr>
        <w:t>HCV) positive; and</w:t>
      </w:r>
    </w:p>
    <w:p w:rsidR="00065467" w:rsidRPr="00E106BD" w:rsidRDefault="00447A98" w:rsidP="00447A98">
      <w:pPr>
        <w:pStyle w:val="paragraph"/>
        <w:tabs>
          <w:tab w:val="left" w:pos="1701"/>
        </w:tabs>
        <w:rPr>
          <w:color w:val="000000"/>
          <w:szCs w:val="22"/>
        </w:rPr>
      </w:pPr>
      <w:r w:rsidRPr="00E106BD">
        <w:rPr>
          <w:color w:val="000000"/>
          <w:sz w:val="20"/>
          <w:szCs w:val="22"/>
        </w:rPr>
        <w:tab/>
      </w:r>
      <w:r w:rsidR="00E54F24" w:rsidRPr="00E106BD">
        <w:rPr>
          <w:color w:val="000000"/>
          <w:sz w:val="20"/>
          <w:szCs w:val="22"/>
        </w:rPr>
        <w:t>(b)</w:t>
      </w:r>
      <w:r w:rsidR="00E54F24" w:rsidRPr="00E106BD">
        <w:rPr>
          <w:color w:val="000000"/>
          <w:sz w:val="20"/>
          <w:szCs w:val="22"/>
        </w:rPr>
        <w:tab/>
      </w:r>
      <w:r w:rsidR="00065467" w:rsidRPr="00E106BD">
        <w:rPr>
          <w:color w:val="000000"/>
          <w:szCs w:val="22"/>
        </w:rPr>
        <w:t>test result showing hepatitis C virus ribonucleic acid (RNA) positive.</w:t>
      </w:r>
    </w:p>
    <w:p w:rsidR="00065467" w:rsidRPr="00E106BD" w:rsidRDefault="00065467" w:rsidP="001A0FFA">
      <w:pPr>
        <w:pStyle w:val="Specials"/>
        <w:rPr>
          <w:bCs/>
          <w:color w:val="000000"/>
        </w:rPr>
      </w:pPr>
      <w:r w:rsidRPr="00E106BD">
        <w:rPr>
          <w:rStyle w:val="CharSectno"/>
        </w:rPr>
        <w:t>3</w:t>
      </w:r>
      <w:r w:rsidR="00F01FB1" w:rsidRPr="00E106BD">
        <w:t xml:space="preserve">  </w:t>
      </w:r>
      <w:r w:rsidRPr="00E106BD">
        <w:t>Treatment regimen</w:t>
      </w:r>
    </w:p>
    <w:p w:rsidR="00065467" w:rsidRPr="00E106BD" w:rsidRDefault="00447A98" w:rsidP="00447A98">
      <w:pPr>
        <w:pStyle w:val="subsection"/>
        <w:rPr>
          <w:color w:val="000000"/>
          <w:szCs w:val="22"/>
        </w:rPr>
      </w:pPr>
      <w:r w:rsidRPr="00E106BD">
        <w:rPr>
          <w:color w:val="000000"/>
          <w:szCs w:val="22"/>
        </w:rPr>
        <w:tab/>
      </w:r>
      <w:r w:rsidRPr="00E106BD">
        <w:rPr>
          <w:color w:val="000000"/>
          <w:szCs w:val="22"/>
        </w:rPr>
        <w:tab/>
      </w:r>
      <w:r w:rsidR="00065467" w:rsidRPr="00E106BD">
        <w:rPr>
          <w:color w:val="000000"/>
          <w:szCs w:val="22"/>
        </w:rPr>
        <w:t>For the purpose of subparagraph</w:t>
      </w:r>
      <w:r w:rsidR="00E106BD">
        <w:rPr>
          <w:color w:val="000000"/>
          <w:szCs w:val="22"/>
        </w:rPr>
        <w:t> </w:t>
      </w:r>
      <w:r w:rsidR="00065467" w:rsidRPr="00E106BD">
        <w:rPr>
          <w:color w:val="000000"/>
          <w:szCs w:val="22"/>
        </w:rPr>
        <w:t>2(2) of this Part, the treating medical practitioner has chosen a regimen in accordance with this paragraph if the patient:</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(1)</w:t>
      </w:r>
      <w:r w:rsidR="00E54F24" w:rsidRPr="00E106BD">
        <w:rPr>
          <w:color w:val="000000"/>
          <w:szCs w:val="22"/>
        </w:rPr>
        <w:tab/>
      </w:r>
      <w:r w:rsidR="00065467" w:rsidRPr="00E106BD">
        <w:rPr>
          <w:color w:val="000000"/>
          <w:szCs w:val="22"/>
        </w:rPr>
        <w:t>is a kind of patient mentioned for an Item in column 2 of the following table; and</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(2)</w:t>
      </w:r>
      <w:r w:rsidR="00E54F24" w:rsidRPr="00E106BD">
        <w:rPr>
          <w:color w:val="000000"/>
          <w:szCs w:val="22"/>
        </w:rPr>
        <w:tab/>
      </w:r>
      <w:r w:rsidR="00065467" w:rsidRPr="00E106BD">
        <w:rPr>
          <w:color w:val="000000"/>
          <w:szCs w:val="22"/>
        </w:rPr>
        <w:t>is to receive one of the regimens mentioned in column 3 of the same Item of the following table.</w:t>
      </w:r>
    </w:p>
    <w:p w:rsidR="00065467" w:rsidRPr="00E106BD" w:rsidRDefault="00065467" w:rsidP="00065467">
      <w:pPr>
        <w:shd w:val="clear" w:color="auto" w:fill="FFFFFF"/>
        <w:spacing w:before="60" w:line="240" w:lineRule="atLeast"/>
        <w:rPr>
          <w:rFonts w:ascii="Arial" w:hAnsi="Arial" w:cs="Arial"/>
          <w:bCs/>
        </w:rPr>
      </w:pPr>
    </w:p>
    <w:tbl>
      <w:tblPr>
        <w:tblW w:w="0" w:type="auto"/>
        <w:tblInd w:w="74" w:type="dxa"/>
        <w:shd w:val="clear" w:color="auto" w:fill="FFFFFF"/>
        <w:tblCellMar>
          <w:left w:w="0" w:type="dxa"/>
          <w:right w:w="0" w:type="dxa"/>
        </w:tblCellMar>
        <w:tblLook w:val="04A0" w:firstRow="1" w:lastRow="0" w:firstColumn="1" w:lastColumn="0" w:noHBand="0" w:noVBand="1"/>
      </w:tblPr>
      <w:tblGrid>
        <w:gridCol w:w="621"/>
        <w:gridCol w:w="3389"/>
        <w:gridCol w:w="4445"/>
      </w:tblGrid>
      <w:tr w:rsidR="00065467" w:rsidRPr="00E106BD" w:rsidTr="00607286">
        <w:trPr>
          <w:tblHeader/>
        </w:trPr>
        <w:tc>
          <w:tcPr>
            <w:tcW w:w="6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b/>
                <w:bCs/>
                <w:color w:val="000000"/>
                <w:sz w:val="20"/>
                <w:lang w:eastAsia="en-AU"/>
              </w:rPr>
              <w:t>Item</w:t>
            </w:r>
          </w:p>
        </w:tc>
        <w:tc>
          <w:tcPr>
            <w:tcW w:w="37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b/>
                <w:bCs/>
                <w:color w:val="000000"/>
                <w:sz w:val="20"/>
                <w:lang w:eastAsia="en-AU"/>
              </w:rPr>
              <w:t>Kind of patient</w:t>
            </w:r>
          </w:p>
        </w:tc>
        <w:tc>
          <w:tcPr>
            <w:tcW w:w="56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b/>
                <w:bCs/>
                <w:color w:val="000000"/>
                <w:sz w:val="20"/>
                <w:lang w:eastAsia="en-AU"/>
              </w:rPr>
              <w:t>Regimen</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1</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all genotypes (pan</w:t>
            </w:r>
            <w:r w:rsidR="00E106BD">
              <w:rPr>
                <w:sz w:val="20"/>
                <w:lang w:eastAsia="en-AU"/>
              </w:rPr>
              <w:noBreakHyphen/>
            </w:r>
            <w:r w:rsidR="00065467" w:rsidRPr="00E106BD">
              <w:rPr>
                <w:sz w:val="20"/>
                <w:lang w:eastAsia="en-AU"/>
              </w:rPr>
              <w:t>genotypic);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 xml:space="preserve">Either: </w:t>
            </w:r>
          </w:p>
          <w:p w:rsidR="00065467" w:rsidRPr="00E106BD" w:rsidRDefault="00E54F24" w:rsidP="00E54F24">
            <w:pPr>
              <w:spacing w:before="60" w:after="60" w:line="240" w:lineRule="auto"/>
              <w:ind w:left="681" w:hanging="397"/>
              <w:rPr>
                <w:sz w:val="20"/>
                <w:lang w:eastAsia="en-AU"/>
              </w:rPr>
            </w:pPr>
            <w:r w:rsidRPr="00E106BD">
              <w:rPr>
                <w:sz w:val="20"/>
                <w:lang w:eastAsia="en-AU"/>
              </w:rPr>
              <w:t>(a)</w:t>
            </w:r>
            <w:r w:rsidRPr="00E106BD">
              <w:rPr>
                <w:sz w:val="20"/>
                <w:lang w:eastAsia="en-AU"/>
              </w:rPr>
              <w:tab/>
            </w:r>
            <w:r w:rsidR="00065467" w:rsidRPr="00E106BD">
              <w:rPr>
                <w:sz w:val="20"/>
                <w:lang w:eastAsia="en-AU"/>
              </w:rPr>
              <w:t xml:space="preserve">SOFOSBUVIR with VELPATASVIR for 12 weeks; or </w:t>
            </w:r>
          </w:p>
          <w:p w:rsidR="00065467" w:rsidRPr="00E106BD" w:rsidRDefault="00E54F24" w:rsidP="00E54F24">
            <w:pPr>
              <w:spacing w:before="60" w:after="60" w:line="240" w:lineRule="auto"/>
              <w:ind w:left="681" w:hanging="397"/>
              <w:rPr>
                <w:sz w:val="20"/>
                <w:lang w:eastAsia="en-AU"/>
              </w:rPr>
            </w:pPr>
            <w:r w:rsidRPr="00E106BD">
              <w:rPr>
                <w:sz w:val="20"/>
                <w:lang w:eastAsia="en-AU"/>
              </w:rPr>
              <w:t>(b)</w:t>
            </w:r>
            <w:r w:rsidRPr="00E106BD">
              <w:rPr>
                <w:sz w:val="20"/>
                <w:lang w:eastAsia="en-AU"/>
              </w:rPr>
              <w:tab/>
            </w:r>
            <w:r w:rsidR="00065467" w:rsidRPr="00E106BD">
              <w:rPr>
                <w:sz w:val="20"/>
                <w:lang w:eastAsia="en-AU"/>
              </w:rPr>
              <w:t>GLECAPREVIR with PIBRENTASVIR for 8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2</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all genotypes (pan</w:t>
            </w:r>
            <w:r w:rsidR="00E106BD">
              <w:rPr>
                <w:sz w:val="20"/>
                <w:lang w:eastAsia="en-AU"/>
              </w:rPr>
              <w:noBreakHyphen/>
            </w:r>
            <w:r w:rsidR="00065467" w:rsidRPr="00E106BD">
              <w:rPr>
                <w:sz w:val="20"/>
                <w:lang w:eastAsia="en-AU"/>
              </w:rPr>
              <w:t xml:space="preserve">genotypic); and </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 xml:space="preserve">Either: </w:t>
            </w:r>
          </w:p>
          <w:p w:rsidR="00065467" w:rsidRPr="00E106BD" w:rsidRDefault="00E54F24" w:rsidP="00E54F24">
            <w:pPr>
              <w:spacing w:before="60" w:after="60" w:line="240" w:lineRule="auto"/>
              <w:ind w:left="681" w:hanging="397"/>
              <w:rPr>
                <w:sz w:val="20"/>
                <w:lang w:eastAsia="en-AU"/>
              </w:rPr>
            </w:pPr>
            <w:r w:rsidRPr="00E106BD">
              <w:rPr>
                <w:sz w:val="20"/>
                <w:lang w:eastAsia="en-AU"/>
              </w:rPr>
              <w:t>(a)</w:t>
            </w:r>
            <w:r w:rsidRPr="00E106BD">
              <w:rPr>
                <w:sz w:val="20"/>
                <w:lang w:eastAsia="en-AU"/>
              </w:rPr>
              <w:tab/>
            </w:r>
            <w:r w:rsidR="00065467" w:rsidRPr="00E106BD">
              <w:rPr>
                <w:sz w:val="20"/>
                <w:lang w:eastAsia="en-AU"/>
              </w:rPr>
              <w:t xml:space="preserve">SOFOSBUVIR with VELPATASVIR for 12 weeks; or </w:t>
            </w:r>
          </w:p>
          <w:p w:rsidR="00065467" w:rsidRPr="00E106BD" w:rsidRDefault="00E54F24" w:rsidP="00E54F24">
            <w:pPr>
              <w:spacing w:before="60" w:after="60" w:line="240" w:lineRule="auto"/>
              <w:ind w:left="681" w:hanging="397"/>
              <w:rPr>
                <w:sz w:val="20"/>
                <w:lang w:eastAsia="en-AU"/>
              </w:rPr>
            </w:pPr>
            <w:r w:rsidRPr="00E106BD">
              <w:rPr>
                <w:sz w:val="20"/>
                <w:lang w:eastAsia="en-AU"/>
              </w:rPr>
              <w:t>(b)</w:t>
            </w:r>
            <w:r w:rsidRPr="00E106BD">
              <w:rPr>
                <w:sz w:val="20"/>
                <w:lang w:eastAsia="en-AU"/>
              </w:rPr>
              <w:tab/>
            </w:r>
            <w:r w:rsidR="00065467" w:rsidRPr="00E106BD">
              <w:rPr>
                <w:sz w:val="20"/>
                <w:lang w:eastAsia="en-AU"/>
              </w:rPr>
              <w:t>SOFOSBUVIR with VELPATASVIR and VOXILAPREVIR for 12 weeks; or</w:t>
            </w:r>
          </w:p>
          <w:p w:rsidR="00065467" w:rsidRPr="00E106BD" w:rsidRDefault="00E54F24" w:rsidP="00E54F24">
            <w:pPr>
              <w:spacing w:before="60" w:after="60" w:line="240" w:lineRule="auto"/>
              <w:ind w:left="681" w:hanging="397"/>
              <w:rPr>
                <w:sz w:val="20"/>
                <w:lang w:eastAsia="en-AU"/>
              </w:rPr>
            </w:pPr>
            <w:r w:rsidRPr="00E106BD">
              <w:rPr>
                <w:sz w:val="20"/>
                <w:lang w:eastAsia="en-AU"/>
              </w:rPr>
              <w:t>(c)</w:t>
            </w:r>
            <w:r w:rsidRPr="00E106BD">
              <w:rPr>
                <w:sz w:val="20"/>
                <w:lang w:eastAsia="en-AU"/>
              </w:rPr>
              <w:tab/>
            </w:r>
            <w:r w:rsidR="00065467" w:rsidRPr="00E106BD">
              <w:rPr>
                <w:sz w:val="20"/>
                <w:lang w:eastAsia="en-AU"/>
              </w:rPr>
              <w:t>GLECAPREVIR with PIBRENTASVIR for 8 weeks; or</w:t>
            </w:r>
          </w:p>
          <w:p w:rsidR="00065467" w:rsidRPr="00E106BD" w:rsidRDefault="00E54F24" w:rsidP="00E54F24">
            <w:pPr>
              <w:spacing w:before="60" w:after="60" w:line="240" w:lineRule="auto"/>
              <w:ind w:left="681" w:hanging="397"/>
              <w:rPr>
                <w:sz w:val="20"/>
                <w:lang w:eastAsia="en-AU"/>
              </w:rPr>
            </w:pPr>
            <w:r w:rsidRPr="00E106BD">
              <w:rPr>
                <w:sz w:val="20"/>
                <w:lang w:eastAsia="en-AU"/>
              </w:rPr>
              <w:t>(d)</w:t>
            </w:r>
            <w:r w:rsidRPr="00E106BD">
              <w:rPr>
                <w:sz w:val="20"/>
                <w:lang w:eastAsia="en-AU"/>
              </w:rPr>
              <w:tab/>
            </w:r>
            <w:r w:rsidR="00065467" w:rsidRPr="00E106BD">
              <w:rPr>
                <w:sz w:val="20"/>
                <w:lang w:eastAsia="en-AU"/>
              </w:rPr>
              <w:t xml:space="preserve">GLECAPREVIR with PIBRENTASVIR for 12 weeks; or </w:t>
            </w:r>
          </w:p>
          <w:p w:rsidR="00065467" w:rsidRPr="00E106BD" w:rsidRDefault="00E54F24" w:rsidP="00E54F24">
            <w:pPr>
              <w:spacing w:before="60" w:after="60" w:line="240" w:lineRule="auto"/>
              <w:ind w:left="681" w:hanging="397"/>
              <w:rPr>
                <w:sz w:val="20"/>
                <w:lang w:eastAsia="en-AU"/>
              </w:rPr>
            </w:pPr>
            <w:r w:rsidRPr="00E106BD">
              <w:rPr>
                <w:sz w:val="20"/>
                <w:lang w:eastAsia="en-AU"/>
              </w:rPr>
              <w:t>(e)</w:t>
            </w:r>
            <w:r w:rsidRPr="00E106BD">
              <w:rPr>
                <w:sz w:val="20"/>
                <w:lang w:eastAsia="en-AU"/>
              </w:rPr>
              <w:tab/>
            </w:r>
            <w:r w:rsidR="00065467" w:rsidRPr="00E106BD">
              <w:rPr>
                <w:sz w:val="20"/>
                <w:lang w:eastAsia="en-AU"/>
              </w:rPr>
              <w:t>GLECAPREVIR with PIBRENTASVIR 16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trike/>
                <w:szCs w:val="22"/>
                <w:lang w:eastAsia="en-AU"/>
              </w:rPr>
            </w:pPr>
            <w:r w:rsidRPr="00E106BD">
              <w:rPr>
                <w:sz w:val="20"/>
                <w:lang w:eastAsia="en-AU"/>
              </w:rPr>
              <w:t>3</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1;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LEDIPASVIR with SOFOSBUVIR for 8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LEDIPASVIR with SOFOSBUVIR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DACLATASVIR and SOFOSBUVIR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(d)</w:t>
            </w:r>
            <w:r w:rsidRPr="00E106BD">
              <w:rPr>
                <w:rFonts w:cs="Times New Roman"/>
                <w:sz w:val="20"/>
                <w:lang w:eastAsia="en-AU"/>
              </w:rPr>
              <w:tab/>
            </w:r>
            <w:r w:rsidR="00065467" w:rsidRPr="00E106BD">
              <w:rPr>
                <w:sz w:val="20"/>
                <w:lang w:eastAsia="en-AU"/>
              </w:rPr>
              <w:t>GRAZOPREVIR with ELBASVIR for 12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trike/>
                <w:szCs w:val="22"/>
                <w:lang w:eastAsia="en-AU"/>
              </w:rPr>
            </w:pPr>
            <w:r w:rsidRPr="00E106BD">
              <w:rPr>
                <w:sz w:val="20"/>
                <w:lang w:eastAsia="en-AU"/>
              </w:rPr>
              <w:t>4</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Patient:</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1; and</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Either: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LEDIPASVIR with SOFOSBUVIR for 12 weeks; or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DACLATASVIR and SOFOSBUVIR for 12 weeks; or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DACLATASVIR and SOFOSBUVIR for 24 weeks; or</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(d)</w:t>
            </w:r>
            <w:r w:rsidRPr="00E106BD">
              <w:rPr>
                <w:rFonts w:cs="Times New Roman"/>
                <w:sz w:val="20"/>
                <w:szCs w:val="22"/>
                <w:lang w:eastAsia="en-AU"/>
              </w:rPr>
              <w:tab/>
            </w:r>
            <w:r w:rsidR="00065467" w:rsidRPr="00E106BD">
              <w:rPr>
                <w:sz w:val="20"/>
                <w:lang w:eastAsia="en-AU"/>
              </w:rPr>
              <w:t>GRAZOPREVIR with ELBASVIR for 12 weeks; or</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(e)</w:t>
            </w:r>
            <w:r w:rsidRPr="00E106BD">
              <w:rPr>
                <w:rFonts w:cs="Times New Roman"/>
                <w:sz w:val="20"/>
                <w:szCs w:val="22"/>
                <w:lang w:eastAsia="en-AU"/>
              </w:rPr>
              <w:tab/>
            </w:r>
            <w:r w:rsidR="00065467" w:rsidRPr="00E106BD">
              <w:rPr>
                <w:sz w:val="20"/>
                <w:lang w:eastAsia="en-AU"/>
              </w:rPr>
              <w:t>GRAZOPREVIR with ELBASVIR and RIBAVIRIN for 16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5</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color w:val="000000"/>
                <w:sz w:val="20"/>
                <w:lang w:eastAsia="en-AU"/>
              </w:rPr>
              <w:t>Patient:</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(a)</w:t>
            </w:r>
            <w:r w:rsidRPr="00E106BD">
              <w:rPr>
                <w:rFonts w:cs="Times New Roman"/>
                <w:color w:val="000000"/>
                <w:sz w:val="20"/>
                <w:lang w:eastAsia="en-AU"/>
              </w:rPr>
              <w:tab/>
            </w:r>
            <w:r w:rsidR="00065467" w:rsidRPr="00E106BD">
              <w:rPr>
                <w:color w:val="000000"/>
                <w:sz w:val="20"/>
                <w:lang w:eastAsia="en-AU"/>
              </w:rPr>
              <w:t>with Genotype 2;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(b)</w:t>
            </w:r>
            <w:r w:rsidRPr="00E106BD">
              <w:rPr>
                <w:rFonts w:cs="Times New Roman"/>
                <w:color w:val="000000"/>
                <w:sz w:val="20"/>
                <w:lang w:eastAsia="en-AU"/>
              </w:rPr>
              <w:tab/>
            </w:r>
            <w:r w:rsidR="00065467" w:rsidRPr="00E106BD">
              <w:rPr>
                <w:color w:val="000000"/>
                <w:sz w:val="20"/>
                <w:lang w:eastAsia="en-AU"/>
              </w:rPr>
              <w:t>who is treatment naïve;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(c)</w:t>
            </w:r>
            <w:r w:rsidRPr="00E106BD">
              <w:rPr>
                <w:rFonts w:cs="Times New Roman"/>
                <w:color w:val="000000"/>
                <w:sz w:val="20"/>
                <w:lang w:eastAsia="en-AU"/>
              </w:rPr>
              <w:tab/>
            </w:r>
            <w:r w:rsidR="00065467" w:rsidRPr="00E106BD">
              <w:rPr>
                <w:color w:val="000000"/>
                <w:sz w:val="20"/>
                <w:lang w:eastAsia="en-AU"/>
              </w:rPr>
              <w:t>who is non</w:t>
            </w:r>
            <w:r w:rsidR="00E106BD">
              <w:rPr>
                <w:color w:val="000000"/>
                <w:sz w:val="20"/>
                <w:lang w:eastAsia="en-AU"/>
              </w:rPr>
              <w:noBreakHyphen/>
            </w:r>
            <w:r w:rsidR="00065467" w:rsidRPr="00E106BD">
              <w:rPr>
                <w:color w:val="000000"/>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lang w:eastAsia="en-AU"/>
              </w:rPr>
            </w:pPr>
            <w:r w:rsidRPr="00E106BD">
              <w:rPr>
                <w:color w:val="000000"/>
                <w:sz w:val="20"/>
                <w:lang w:eastAsia="en-AU"/>
              </w:rPr>
              <w:t>SOFOSBUVIR and RIBAVIRIN for 12 weeks</w:t>
            </w:r>
            <w:r w:rsidRPr="00E106BD">
              <w:rPr>
                <w:sz w:val="20"/>
                <w:lang w:eastAsia="en-AU"/>
              </w:rPr>
              <w:t>.</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6</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color w:val="000000"/>
                <w:sz w:val="20"/>
                <w:lang w:eastAsia="en-AU"/>
              </w:rPr>
              <w:t>Patient:</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(a)</w:t>
            </w:r>
            <w:r w:rsidRPr="00E106BD">
              <w:rPr>
                <w:rFonts w:cs="Times New Roman"/>
                <w:color w:val="000000"/>
                <w:sz w:val="20"/>
                <w:lang w:eastAsia="en-AU"/>
              </w:rPr>
              <w:tab/>
            </w:r>
            <w:r w:rsidR="00065467" w:rsidRPr="00E106BD">
              <w:rPr>
                <w:color w:val="000000"/>
                <w:sz w:val="20"/>
                <w:lang w:eastAsia="en-AU"/>
              </w:rPr>
              <w:t>with Genotype 2;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(b)</w:t>
            </w:r>
            <w:r w:rsidRPr="00E106BD">
              <w:rPr>
                <w:rFonts w:cs="Times New Roman"/>
                <w:color w:val="000000"/>
                <w:sz w:val="20"/>
                <w:lang w:eastAsia="en-AU"/>
              </w:rPr>
              <w:tab/>
            </w:r>
            <w:r w:rsidR="00065467" w:rsidRPr="00E106BD">
              <w:rPr>
                <w:color w:val="000000"/>
                <w:sz w:val="20"/>
                <w:lang w:eastAsia="en-AU"/>
              </w:rPr>
              <w:t>who is treatment experienced;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(c)</w:t>
            </w:r>
            <w:r w:rsidRPr="00E106BD">
              <w:rPr>
                <w:rFonts w:cs="Times New Roman"/>
                <w:color w:val="000000"/>
                <w:sz w:val="20"/>
                <w:lang w:eastAsia="en-AU"/>
              </w:rPr>
              <w:tab/>
            </w:r>
            <w:r w:rsidR="00065467" w:rsidRPr="00E106BD">
              <w:rPr>
                <w:color w:val="000000"/>
                <w:sz w:val="20"/>
                <w:lang w:eastAsia="en-AU"/>
              </w:rPr>
              <w:t>who is non</w:t>
            </w:r>
            <w:r w:rsidR="00E106BD">
              <w:rPr>
                <w:color w:val="000000"/>
                <w:sz w:val="20"/>
                <w:lang w:eastAsia="en-AU"/>
              </w:rPr>
              <w:noBreakHyphen/>
            </w:r>
            <w:r w:rsidR="00065467" w:rsidRPr="00E106BD">
              <w:rPr>
                <w:color w:val="000000"/>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lang w:eastAsia="en-AU"/>
              </w:rPr>
            </w:pPr>
            <w:r w:rsidRPr="00E106BD">
              <w:rPr>
                <w:color w:val="000000"/>
                <w:sz w:val="20"/>
                <w:lang w:eastAsia="en-AU"/>
              </w:rPr>
              <w:t>SOFOSBUVIR and RIBAVIRIN for 12 weeks</w:t>
            </w:r>
            <w:r w:rsidRPr="00E106BD">
              <w:rPr>
                <w:sz w:val="20"/>
                <w:lang w:eastAsia="en-AU"/>
              </w:rPr>
              <w:t>.</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trike/>
                <w:szCs w:val="22"/>
                <w:lang w:eastAsia="en-AU"/>
              </w:rPr>
            </w:pPr>
            <w:r w:rsidRPr="00E106BD">
              <w:rPr>
                <w:sz w:val="20"/>
                <w:lang w:eastAsia="en-AU"/>
              </w:rPr>
              <w:t>7</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3;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DACLATASVIR and SOFOSBUVIR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SOFOSBUVIR and RIBAVIRIN for 24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8</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3;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DACLATASVIR and SOFOSBUVIR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SOFOSBUVIR and RIBAVIRIN for 24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9</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4;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lang w:eastAsia="en-AU"/>
              </w:rPr>
            </w:pPr>
            <w:r w:rsidRPr="00E106BD">
              <w:rPr>
                <w:sz w:val="20"/>
                <w:lang w:eastAsia="en-AU"/>
              </w:rPr>
              <w:t>GRAZOPREVIR with ELBASVIR for 12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10</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Patient:</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(a)</w:t>
            </w:r>
            <w:r w:rsidRPr="00E106BD">
              <w:rPr>
                <w:rFonts w:cs="Times New Roman"/>
                <w:sz w:val="20"/>
                <w:szCs w:val="22"/>
                <w:lang w:eastAsia="en-AU"/>
              </w:rPr>
              <w:tab/>
            </w:r>
            <w:r w:rsidR="00065467" w:rsidRPr="00E106BD">
              <w:rPr>
                <w:sz w:val="20"/>
                <w:lang w:eastAsia="en-AU"/>
              </w:rPr>
              <w:t>with Genotype 4; and</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(b)</w:t>
            </w:r>
            <w:r w:rsidRPr="00E106BD">
              <w:rPr>
                <w:rFonts w:cs="Times New Roman"/>
                <w:sz w:val="20"/>
                <w:szCs w:val="22"/>
                <w:lang w:eastAsia="en-AU"/>
              </w:rPr>
              <w:tab/>
            </w:r>
            <w:r w:rsidR="00065467" w:rsidRPr="00E106BD">
              <w:rPr>
                <w:sz w:val="20"/>
                <w:lang w:eastAsia="en-AU"/>
              </w:rPr>
              <w:t>who is treatment experienced; and</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(c)</w:t>
            </w:r>
            <w:r w:rsidRPr="00E106BD">
              <w:rPr>
                <w:rFonts w:cs="Times New Roman"/>
                <w:sz w:val="20"/>
                <w:szCs w:val="22"/>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Either:</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(a)</w:t>
            </w:r>
            <w:r w:rsidRPr="00E106BD">
              <w:rPr>
                <w:rFonts w:cs="Times New Roman"/>
                <w:sz w:val="20"/>
                <w:szCs w:val="22"/>
                <w:lang w:eastAsia="en-AU"/>
              </w:rPr>
              <w:tab/>
            </w:r>
            <w:r w:rsidR="00065467" w:rsidRPr="00E106BD">
              <w:rPr>
                <w:sz w:val="20"/>
                <w:lang w:eastAsia="en-AU"/>
              </w:rPr>
              <w:t>GRAZOPREVIR with ELBASVIR for 12 weeks; or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GRAZOPREVIR with ELBASVIR and RIBAVIRIN for 16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11</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w:t>
            </w:r>
          </w:p>
          <w:p w:rsidR="00065467" w:rsidRPr="00E106BD" w:rsidRDefault="00E54F24" w:rsidP="00E54F24">
            <w:pPr>
              <w:spacing w:before="60" w:after="60" w:line="240" w:lineRule="auto"/>
              <w:ind w:left="1135" w:hanging="284"/>
              <w:rPr>
                <w:lang w:eastAsia="en-AU"/>
              </w:rPr>
            </w:pPr>
            <w:r w:rsidRPr="00E106BD">
              <w:rPr>
                <w:sz w:val="20"/>
                <w:lang w:eastAsia="en-AU"/>
              </w:rPr>
              <w:t>(i)</w:t>
            </w:r>
            <w:r w:rsidRPr="00E106BD">
              <w:rPr>
                <w:sz w:val="20"/>
                <w:lang w:eastAsia="en-AU"/>
              </w:rPr>
              <w:tab/>
            </w:r>
            <w:r w:rsidR="00065467" w:rsidRPr="00E106BD">
              <w:rPr>
                <w:sz w:val="20"/>
                <w:lang w:eastAsia="en-AU"/>
              </w:rPr>
              <w:t>Genotype 5; or</w:t>
            </w:r>
          </w:p>
          <w:p w:rsidR="00065467" w:rsidRPr="00E106BD" w:rsidRDefault="00E54F24" w:rsidP="00E54F24">
            <w:pPr>
              <w:spacing w:before="60" w:after="60" w:line="240" w:lineRule="auto"/>
              <w:ind w:left="1135" w:hanging="284"/>
              <w:rPr>
                <w:lang w:eastAsia="en-AU"/>
              </w:rPr>
            </w:pPr>
            <w:r w:rsidRPr="00E106BD">
              <w:rPr>
                <w:sz w:val="20"/>
                <w:lang w:eastAsia="en-AU"/>
              </w:rPr>
              <w:t>(ii)</w:t>
            </w:r>
            <w:r w:rsidRPr="00E106BD">
              <w:rPr>
                <w:sz w:val="20"/>
                <w:lang w:eastAsia="en-AU"/>
              </w:rPr>
              <w:tab/>
            </w:r>
            <w:r w:rsidR="00065467" w:rsidRPr="00E106BD">
              <w:rPr>
                <w:sz w:val="20"/>
                <w:lang w:eastAsia="en-AU"/>
              </w:rPr>
              <w:t>Genotype 6;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 w:val="20"/>
                <w:lang w:eastAsia="en-AU"/>
              </w:rPr>
            </w:pPr>
            <w:r w:rsidRPr="00E106BD">
              <w:rPr>
                <w:sz w:val="20"/>
                <w:lang w:eastAsia="en-AU"/>
              </w:rPr>
              <w:t>Refer to item</w:t>
            </w:r>
            <w:r w:rsidR="00E106BD">
              <w:rPr>
                <w:sz w:val="20"/>
                <w:lang w:eastAsia="en-AU"/>
              </w:rPr>
              <w:t> </w:t>
            </w:r>
            <w:r w:rsidRPr="00E106BD">
              <w:rPr>
                <w:sz w:val="20"/>
                <w:lang w:eastAsia="en-AU"/>
              </w:rPr>
              <w:t>1 above (pan</w:t>
            </w:r>
            <w:r w:rsidR="00E106BD">
              <w:rPr>
                <w:sz w:val="20"/>
                <w:lang w:eastAsia="en-AU"/>
              </w:rPr>
              <w:noBreakHyphen/>
            </w:r>
            <w:r w:rsidRPr="00E106BD">
              <w:rPr>
                <w:sz w:val="20"/>
                <w:lang w:eastAsia="en-AU"/>
              </w:rPr>
              <w:t>genotypic, treatment naïve and non</w:t>
            </w:r>
            <w:r w:rsidR="00E106BD">
              <w:rPr>
                <w:sz w:val="20"/>
                <w:lang w:eastAsia="en-AU"/>
              </w:rPr>
              <w:noBreakHyphen/>
            </w:r>
            <w:r w:rsidRPr="00E106BD">
              <w:rPr>
                <w:sz w:val="20"/>
                <w:lang w:eastAsia="en-AU"/>
              </w:rPr>
              <w:t>cirrhotic regimens).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12</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w:t>
            </w:r>
          </w:p>
          <w:p w:rsidR="00065467" w:rsidRPr="00E106BD" w:rsidRDefault="00E54F24" w:rsidP="00E54F24">
            <w:pPr>
              <w:spacing w:before="60" w:after="60" w:line="240" w:lineRule="auto"/>
              <w:ind w:left="1135" w:hanging="284"/>
              <w:rPr>
                <w:lang w:eastAsia="en-AU"/>
              </w:rPr>
            </w:pPr>
            <w:r w:rsidRPr="00E106BD">
              <w:rPr>
                <w:sz w:val="20"/>
                <w:lang w:eastAsia="en-AU"/>
              </w:rPr>
              <w:t>(i)</w:t>
            </w:r>
            <w:r w:rsidRPr="00E106BD">
              <w:rPr>
                <w:sz w:val="20"/>
                <w:lang w:eastAsia="en-AU"/>
              </w:rPr>
              <w:tab/>
            </w:r>
            <w:r w:rsidR="00065467" w:rsidRPr="00E106BD">
              <w:rPr>
                <w:sz w:val="20"/>
                <w:lang w:eastAsia="en-AU"/>
              </w:rPr>
              <w:t>Genotype 5; or</w:t>
            </w:r>
          </w:p>
          <w:p w:rsidR="00065467" w:rsidRPr="00E106BD" w:rsidRDefault="00E54F24" w:rsidP="00E54F24">
            <w:pPr>
              <w:spacing w:before="60" w:after="60" w:line="240" w:lineRule="auto"/>
              <w:ind w:left="1135" w:hanging="284"/>
              <w:rPr>
                <w:lang w:eastAsia="en-AU"/>
              </w:rPr>
            </w:pPr>
            <w:r w:rsidRPr="00E106BD">
              <w:rPr>
                <w:sz w:val="20"/>
                <w:lang w:eastAsia="en-AU"/>
              </w:rPr>
              <w:t>(ii)</w:t>
            </w:r>
            <w:r w:rsidRPr="00E106BD">
              <w:rPr>
                <w:sz w:val="20"/>
                <w:lang w:eastAsia="en-AU"/>
              </w:rPr>
              <w:tab/>
            </w:r>
            <w:r w:rsidR="00065467" w:rsidRPr="00E106BD">
              <w:rPr>
                <w:sz w:val="20"/>
                <w:lang w:eastAsia="en-AU"/>
              </w:rPr>
              <w:t>Genotype 6;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lang w:eastAsia="en-AU"/>
              </w:rPr>
            </w:pPr>
            <w:r w:rsidRPr="00E106BD">
              <w:rPr>
                <w:sz w:val="20"/>
                <w:lang w:eastAsia="en-AU"/>
              </w:rPr>
              <w:t>Refer to item</w:t>
            </w:r>
            <w:r w:rsidR="00E106BD">
              <w:rPr>
                <w:sz w:val="20"/>
                <w:lang w:eastAsia="en-AU"/>
              </w:rPr>
              <w:t> </w:t>
            </w:r>
            <w:r w:rsidRPr="00E106BD">
              <w:rPr>
                <w:sz w:val="20"/>
                <w:lang w:eastAsia="en-AU"/>
              </w:rPr>
              <w:t>1 above (pan</w:t>
            </w:r>
            <w:r w:rsidR="00E106BD">
              <w:rPr>
                <w:sz w:val="20"/>
                <w:lang w:eastAsia="en-AU"/>
              </w:rPr>
              <w:noBreakHyphen/>
            </w:r>
            <w:r w:rsidRPr="00E106BD">
              <w:rPr>
                <w:sz w:val="20"/>
                <w:lang w:eastAsia="en-AU"/>
              </w:rPr>
              <w:t>genotypic, treatment experienced and non</w:t>
            </w:r>
            <w:r w:rsidR="00E106BD">
              <w:rPr>
                <w:sz w:val="20"/>
                <w:lang w:eastAsia="en-AU"/>
              </w:rPr>
              <w:noBreakHyphen/>
            </w:r>
            <w:r w:rsidRPr="00E106BD">
              <w:rPr>
                <w:sz w:val="20"/>
                <w:lang w:eastAsia="en-AU"/>
              </w:rPr>
              <w:t>cirrhotic regimens).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13</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all genotypes (pan</w:t>
            </w:r>
            <w:r w:rsidR="00E106BD">
              <w:rPr>
                <w:sz w:val="20"/>
                <w:lang w:eastAsia="en-AU"/>
              </w:rPr>
              <w:noBreakHyphen/>
            </w:r>
            <w:r w:rsidR="00065467" w:rsidRPr="00E106BD">
              <w:rPr>
                <w:sz w:val="20"/>
                <w:lang w:eastAsia="en-AU"/>
              </w:rPr>
              <w:t xml:space="preserve">genotypic); and </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 xml:space="preserve">Either: </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 xml:space="preserve">SOFOSBUVIR with VELPATASVIR for 12 weeks; or </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GLECAPREVIR with PIBRENTASVIR for 12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14</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all genotypes (pan</w:t>
            </w:r>
            <w:r w:rsidR="00E106BD">
              <w:rPr>
                <w:sz w:val="20"/>
                <w:lang w:eastAsia="en-AU"/>
              </w:rPr>
              <w:noBreakHyphen/>
            </w:r>
            <w:r w:rsidR="00065467" w:rsidRPr="00E106BD">
              <w:rPr>
                <w:sz w:val="20"/>
                <w:lang w:eastAsia="en-AU"/>
              </w:rPr>
              <w:t>genotypic);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 xml:space="preserve">Either: </w:t>
            </w:r>
          </w:p>
          <w:p w:rsidR="00065467" w:rsidRPr="00E106BD" w:rsidRDefault="00E54F24" w:rsidP="00E54F24">
            <w:pPr>
              <w:spacing w:before="60" w:after="60" w:line="240" w:lineRule="auto"/>
              <w:ind w:left="681" w:hanging="397"/>
              <w:rPr>
                <w:sz w:val="20"/>
                <w:lang w:eastAsia="en-AU"/>
              </w:rPr>
            </w:pPr>
            <w:r w:rsidRPr="00E106BD">
              <w:rPr>
                <w:sz w:val="20"/>
                <w:lang w:eastAsia="en-AU"/>
              </w:rPr>
              <w:t>(a)</w:t>
            </w:r>
            <w:r w:rsidRPr="00E106BD">
              <w:rPr>
                <w:sz w:val="20"/>
                <w:lang w:eastAsia="en-AU"/>
              </w:rPr>
              <w:tab/>
            </w:r>
            <w:r w:rsidR="00065467" w:rsidRPr="00E106BD">
              <w:rPr>
                <w:sz w:val="20"/>
                <w:lang w:eastAsia="en-AU"/>
              </w:rPr>
              <w:t xml:space="preserve">SOFOSBUVIR with VELPATASVIR for 12 weeks; or </w:t>
            </w:r>
          </w:p>
          <w:p w:rsidR="00065467" w:rsidRPr="00E106BD" w:rsidRDefault="00E54F24" w:rsidP="00E54F24">
            <w:pPr>
              <w:spacing w:before="60" w:after="60" w:line="240" w:lineRule="auto"/>
              <w:ind w:left="681" w:hanging="397"/>
              <w:rPr>
                <w:sz w:val="20"/>
                <w:lang w:eastAsia="en-AU"/>
              </w:rPr>
            </w:pPr>
            <w:r w:rsidRPr="00E106BD">
              <w:rPr>
                <w:sz w:val="20"/>
                <w:lang w:eastAsia="en-AU"/>
              </w:rPr>
              <w:t>(b)</w:t>
            </w:r>
            <w:r w:rsidRPr="00E106BD">
              <w:rPr>
                <w:sz w:val="20"/>
                <w:lang w:eastAsia="en-AU"/>
              </w:rPr>
              <w:tab/>
            </w:r>
            <w:r w:rsidR="00065467" w:rsidRPr="00E106BD">
              <w:rPr>
                <w:sz w:val="20"/>
                <w:lang w:eastAsia="en-AU"/>
              </w:rPr>
              <w:t>SOFOSBUVIR with VELPATASVIR and VOXILAPREVIR for 12 weeks; or</w:t>
            </w:r>
          </w:p>
          <w:p w:rsidR="00065467" w:rsidRPr="00E106BD" w:rsidRDefault="00E54F24" w:rsidP="00E54F24">
            <w:pPr>
              <w:spacing w:before="60" w:after="60" w:line="240" w:lineRule="auto"/>
              <w:ind w:left="681" w:hanging="397"/>
              <w:rPr>
                <w:sz w:val="20"/>
                <w:lang w:eastAsia="en-AU"/>
              </w:rPr>
            </w:pPr>
            <w:r w:rsidRPr="00E106BD">
              <w:rPr>
                <w:sz w:val="20"/>
                <w:lang w:eastAsia="en-AU"/>
              </w:rPr>
              <w:t>(c)</w:t>
            </w:r>
            <w:r w:rsidRPr="00E106BD">
              <w:rPr>
                <w:sz w:val="20"/>
                <w:lang w:eastAsia="en-AU"/>
              </w:rPr>
              <w:tab/>
            </w:r>
            <w:r w:rsidR="00065467" w:rsidRPr="00E106BD">
              <w:rPr>
                <w:sz w:val="20"/>
                <w:lang w:eastAsia="en-AU"/>
              </w:rPr>
              <w:t xml:space="preserve">GLECAPREVIR with PIBRENTASVIR for 12 weeks; or </w:t>
            </w:r>
          </w:p>
          <w:p w:rsidR="00065467" w:rsidRPr="00E106BD" w:rsidRDefault="00E54F24" w:rsidP="00E54F24">
            <w:pPr>
              <w:spacing w:before="60" w:after="60" w:line="240" w:lineRule="auto"/>
              <w:ind w:left="681" w:hanging="397"/>
              <w:rPr>
                <w:sz w:val="20"/>
                <w:lang w:eastAsia="en-AU"/>
              </w:rPr>
            </w:pPr>
            <w:r w:rsidRPr="00E106BD">
              <w:rPr>
                <w:sz w:val="20"/>
                <w:lang w:eastAsia="en-AU"/>
              </w:rPr>
              <w:t>(d)</w:t>
            </w:r>
            <w:r w:rsidRPr="00E106BD">
              <w:rPr>
                <w:sz w:val="20"/>
                <w:lang w:eastAsia="en-AU"/>
              </w:rPr>
              <w:tab/>
            </w:r>
            <w:r w:rsidR="00065467" w:rsidRPr="00E106BD">
              <w:rPr>
                <w:sz w:val="20"/>
                <w:lang w:eastAsia="en-AU"/>
              </w:rPr>
              <w:t>GLECAPREVIR with PIBRENTASVIR 16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15</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Patient:</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1; and</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Either: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LEDIPASVIR with SOFOSBUVIR for 12 weeks; or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DACLATASVIR and SOFOSBUVIR and RIBAVIRIN for 12 weeks; or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DACLATASVIR and SOFOSBUVIR for 24 weeks; or</w:t>
            </w:r>
          </w:p>
          <w:p w:rsidR="00065467" w:rsidRPr="00E106BD" w:rsidRDefault="00E54F24" w:rsidP="00E54F24">
            <w:pPr>
              <w:keepNext/>
              <w:spacing w:before="60" w:after="60" w:line="240" w:lineRule="auto"/>
              <w:ind w:left="681" w:hanging="397"/>
              <w:rPr>
                <w:strike/>
                <w:lang w:eastAsia="en-AU"/>
              </w:rPr>
            </w:pPr>
            <w:r w:rsidRPr="00E106BD">
              <w:rPr>
                <w:rFonts w:cs="Times New Roman"/>
                <w:sz w:val="20"/>
                <w:lang w:eastAsia="en-AU"/>
              </w:rPr>
              <w:t>(d)</w:t>
            </w:r>
            <w:r w:rsidRPr="00E106BD">
              <w:rPr>
                <w:rFonts w:cs="Times New Roman"/>
                <w:sz w:val="20"/>
                <w:lang w:eastAsia="en-AU"/>
              </w:rPr>
              <w:tab/>
            </w:r>
            <w:r w:rsidR="00065467" w:rsidRPr="00E106BD">
              <w:rPr>
                <w:sz w:val="20"/>
                <w:lang w:eastAsia="en-AU"/>
              </w:rPr>
              <w:t>GRAZOPREVIR with ELBASVIR for 12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sz w:val="20"/>
                <w:lang w:eastAsia="en-AU"/>
              </w:rPr>
              <w:t>16</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color w:val="000000"/>
                <w:sz w:val="20"/>
                <w:lang w:eastAsia="en-AU"/>
              </w:rPr>
              <w:t>Patient:</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(a)</w:t>
            </w:r>
            <w:r w:rsidRPr="00E106BD">
              <w:rPr>
                <w:rFonts w:cs="Times New Roman"/>
                <w:color w:val="000000"/>
                <w:sz w:val="20"/>
                <w:lang w:eastAsia="en-AU"/>
              </w:rPr>
              <w:tab/>
            </w:r>
            <w:r w:rsidR="00065467" w:rsidRPr="00E106BD">
              <w:rPr>
                <w:color w:val="000000"/>
                <w:sz w:val="20"/>
                <w:lang w:eastAsia="en-AU"/>
              </w:rPr>
              <w:t>with Genotype 1;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(b)</w:t>
            </w:r>
            <w:r w:rsidRPr="00E106BD">
              <w:rPr>
                <w:rFonts w:cs="Times New Roman"/>
                <w:color w:val="000000"/>
                <w:sz w:val="20"/>
                <w:lang w:eastAsia="en-AU"/>
              </w:rPr>
              <w:tab/>
            </w:r>
            <w:r w:rsidR="00065467" w:rsidRPr="00E106BD">
              <w:rPr>
                <w:color w:val="000000"/>
                <w:sz w:val="20"/>
                <w:lang w:eastAsia="en-AU"/>
              </w:rPr>
              <w:t>who is treatment experienced;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(c)</w:t>
            </w:r>
            <w:r w:rsidRPr="00E106BD">
              <w:rPr>
                <w:rFonts w:cs="Times New Roman"/>
                <w:color w:val="000000"/>
                <w:sz w:val="20"/>
                <w:lang w:eastAsia="en-AU"/>
              </w:rPr>
              <w:tab/>
            </w:r>
            <w:r w:rsidR="00065467" w:rsidRPr="00E106BD">
              <w:rPr>
                <w:color w:val="000000"/>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color w:val="000000"/>
                <w:sz w:val="20"/>
                <w:lang w:eastAsia="en-AU"/>
              </w:rPr>
              <w:t>Either:</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(a)</w:t>
            </w:r>
            <w:r w:rsidRPr="00E106BD">
              <w:rPr>
                <w:rFonts w:cs="Times New Roman"/>
                <w:color w:val="000000"/>
                <w:sz w:val="20"/>
                <w:lang w:eastAsia="en-AU"/>
              </w:rPr>
              <w:tab/>
            </w:r>
            <w:r w:rsidR="00065467" w:rsidRPr="00E106BD">
              <w:rPr>
                <w:color w:val="000000"/>
                <w:sz w:val="20"/>
                <w:lang w:eastAsia="en-AU"/>
              </w:rPr>
              <w:t>LEDIPASVIR with SOFOSBUVIR for 24 weeks; or</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(b)</w:t>
            </w:r>
            <w:r w:rsidRPr="00E106BD">
              <w:rPr>
                <w:rFonts w:cs="Times New Roman"/>
                <w:color w:val="000000"/>
                <w:sz w:val="20"/>
                <w:lang w:eastAsia="en-AU"/>
              </w:rPr>
              <w:tab/>
            </w:r>
            <w:r w:rsidR="00065467" w:rsidRPr="00E106BD">
              <w:rPr>
                <w:color w:val="000000"/>
                <w:sz w:val="20"/>
                <w:lang w:eastAsia="en-AU"/>
              </w:rPr>
              <w:t>DACLATASVIR and SOFOSBUVIR for 24 weeks; or</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(c)</w:t>
            </w:r>
            <w:r w:rsidRPr="00E106BD">
              <w:rPr>
                <w:rFonts w:cs="Times New Roman"/>
                <w:color w:val="000000"/>
                <w:sz w:val="20"/>
                <w:lang w:eastAsia="en-AU"/>
              </w:rPr>
              <w:tab/>
            </w:r>
            <w:r w:rsidR="00065467" w:rsidRPr="00E106BD">
              <w:rPr>
                <w:color w:val="000000"/>
                <w:sz w:val="20"/>
                <w:lang w:eastAsia="en-AU"/>
              </w:rPr>
              <w:t>DACLATASVIR and SOFOSBUVIR and RIBAVIRIN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(d)</w:t>
            </w:r>
            <w:r w:rsidRPr="00E106BD">
              <w:rPr>
                <w:rFonts w:cs="Times New Roman"/>
                <w:sz w:val="20"/>
                <w:lang w:eastAsia="en-AU"/>
              </w:rPr>
              <w:tab/>
            </w:r>
            <w:r w:rsidR="00065467" w:rsidRPr="00E106BD">
              <w:rPr>
                <w:sz w:val="20"/>
                <w:lang w:eastAsia="en-AU"/>
              </w:rPr>
              <w:t>GRAZOPREVIR with ELBASVIR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(e)</w:t>
            </w:r>
            <w:r w:rsidRPr="00E106BD">
              <w:rPr>
                <w:rFonts w:cs="Times New Roman"/>
                <w:sz w:val="20"/>
                <w:lang w:eastAsia="en-AU"/>
              </w:rPr>
              <w:tab/>
            </w:r>
            <w:r w:rsidR="00065467" w:rsidRPr="00E106BD">
              <w:rPr>
                <w:sz w:val="20"/>
                <w:lang w:eastAsia="en-AU"/>
              </w:rPr>
              <w:t xml:space="preserve">GRAZOPREVIR with ELBASVIR and </w:t>
            </w:r>
            <w:r w:rsidR="00065467" w:rsidRPr="00E106BD">
              <w:rPr>
                <w:color w:val="000000"/>
                <w:sz w:val="20"/>
                <w:lang w:eastAsia="en-AU"/>
              </w:rPr>
              <w:t>RIBAVIRIN for 16 weeks</w:t>
            </w:r>
            <w:r w:rsidR="00065467" w:rsidRPr="00E106BD">
              <w:rPr>
                <w:sz w:val="20"/>
                <w:lang w:eastAsia="en-AU"/>
              </w:rPr>
              <w:t>.</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17</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2;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lang w:eastAsia="en-AU"/>
              </w:rPr>
            </w:pPr>
            <w:r w:rsidRPr="00E106BD">
              <w:rPr>
                <w:color w:val="000000"/>
                <w:sz w:val="20"/>
                <w:lang w:eastAsia="en-AU"/>
              </w:rPr>
              <w:t>SOFOSBUVIR and RIBAVIRIN for 12 week</w:t>
            </w:r>
            <w:r w:rsidRPr="00E106BD">
              <w:rPr>
                <w:sz w:val="20"/>
                <w:lang w:eastAsia="en-AU"/>
              </w:rPr>
              <w:t>s.</w:t>
            </w:r>
            <w:r w:rsidRPr="00E106BD">
              <w:rPr>
                <w:strike/>
                <w:sz w:val="20"/>
                <w:lang w:eastAsia="en-AU"/>
              </w:rPr>
              <w:t xml:space="preserve"> </w:t>
            </w:r>
          </w:p>
          <w:p w:rsidR="00065467" w:rsidRPr="00E106BD" w:rsidRDefault="00065467" w:rsidP="00607286">
            <w:pPr>
              <w:spacing w:before="60" w:after="60"/>
              <w:ind w:left="723" w:hanging="360"/>
              <w:rPr>
                <w:color w:val="000000"/>
                <w:lang w:eastAsia="en-AU"/>
              </w:rPr>
            </w:pP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18</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2;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lang w:eastAsia="en-AU"/>
              </w:rPr>
            </w:pPr>
            <w:r w:rsidRPr="00E106BD">
              <w:rPr>
                <w:sz w:val="20"/>
                <w:lang w:eastAsia="en-AU"/>
              </w:rPr>
              <w:t>SOFOSBUVIR and RIBAVIRIN for 12 weeks.</w:t>
            </w:r>
          </w:p>
          <w:p w:rsidR="00065467" w:rsidRPr="00E106BD" w:rsidRDefault="00065467" w:rsidP="00607286">
            <w:pPr>
              <w:spacing w:before="60" w:after="60"/>
              <w:ind w:left="720" w:hanging="357"/>
              <w:rPr>
                <w:lang w:eastAsia="en-AU"/>
              </w:rPr>
            </w:pP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19</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3;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SOFOSBUVIR and RIBAVIRIN for 24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DACLATASVIR and SOFOSBUVIR for 24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DACLATASVIR and SOFOSBUVIR and RIBAVIRIN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(d)</w:t>
            </w:r>
            <w:r w:rsidRPr="00E106BD">
              <w:rPr>
                <w:rFonts w:cs="Times New Roman"/>
                <w:sz w:val="20"/>
                <w:lang w:eastAsia="en-AU"/>
              </w:rPr>
              <w:tab/>
            </w:r>
            <w:r w:rsidR="00065467" w:rsidRPr="00E106BD">
              <w:rPr>
                <w:sz w:val="20"/>
                <w:lang w:eastAsia="en-AU"/>
              </w:rPr>
              <w:t>DACLATASVIR and SOFOSBUVIR and RIBAVIRIN for 24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20</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3;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DACLATASVIR and SOFOSBUVIR for 24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SOFOSBUVIR and RIBAVIRIN for 24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DACLATASVIR and SOFOSBUVIR and RIBAVIRIN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(d)</w:t>
            </w:r>
            <w:r w:rsidRPr="00E106BD">
              <w:rPr>
                <w:rFonts w:cs="Times New Roman"/>
                <w:sz w:val="20"/>
                <w:lang w:eastAsia="en-AU"/>
              </w:rPr>
              <w:tab/>
            </w:r>
            <w:r w:rsidR="00065467" w:rsidRPr="00E106BD">
              <w:rPr>
                <w:sz w:val="20"/>
                <w:lang w:eastAsia="en-AU"/>
              </w:rPr>
              <w:t>DACLATASVIR and SOFOSBUVIR and RIBAVIRIN for 24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21</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(a)</w:t>
            </w:r>
            <w:r w:rsidRPr="00E106BD">
              <w:rPr>
                <w:rFonts w:cs="Times New Roman"/>
                <w:sz w:val="20"/>
                <w:szCs w:val="22"/>
                <w:lang w:eastAsia="en-AU"/>
              </w:rPr>
              <w:tab/>
            </w:r>
            <w:r w:rsidR="00065467" w:rsidRPr="00E106BD">
              <w:rPr>
                <w:sz w:val="20"/>
                <w:lang w:eastAsia="en-AU"/>
              </w:rPr>
              <w:t>with Genotype 4; and</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(b)</w:t>
            </w:r>
            <w:r w:rsidRPr="00E106BD">
              <w:rPr>
                <w:rFonts w:cs="Times New Roman"/>
                <w:sz w:val="20"/>
                <w:szCs w:val="22"/>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(c)</w:t>
            </w:r>
            <w:r w:rsidRPr="00E106BD">
              <w:rPr>
                <w:rFonts w:cs="Times New Roman"/>
                <w:sz w:val="20"/>
                <w:szCs w:val="22"/>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lang w:eastAsia="en-AU"/>
              </w:rPr>
            </w:pPr>
            <w:r w:rsidRPr="00E106BD">
              <w:rPr>
                <w:sz w:val="20"/>
                <w:lang w:eastAsia="en-AU"/>
              </w:rPr>
              <w:t>GRAZOPREVIR with ELBASVIR for 12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22</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(a)</w:t>
            </w:r>
            <w:r w:rsidRPr="00E106BD">
              <w:rPr>
                <w:rFonts w:cs="Times New Roman"/>
                <w:sz w:val="20"/>
                <w:szCs w:val="22"/>
                <w:lang w:eastAsia="en-AU"/>
              </w:rPr>
              <w:tab/>
            </w:r>
            <w:r w:rsidR="00065467" w:rsidRPr="00E106BD">
              <w:rPr>
                <w:sz w:val="20"/>
                <w:lang w:eastAsia="en-AU"/>
              </w:rPr>
              <w:t>with Genotype 4; and</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(b)</w:t>
            </w:r>
            <w:r w:rsidRPr="00E106BD">
              <w:rPr>
                <w:rFonts w:cs="Times New Roman"/>
                <w:sz w:val="20"/>
                <w:szCs w:val="22"/>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(c)</w:t>
            </w:r>
            <w:r w:rsidRPr="00E106BD">
              <w:rPr>
                <w:rFonts w:cs="Times New Roman"/>
                <w:sz w:val="20"/>
                <w:szCs w:val="22"/>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GRAZOPREVIR with ELBASVIR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GRAZOPREVIR with ELBASVIR and RIBAVIRIN for 16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23</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w:t>
            </w:r>
          </w:p>
          <w:p w:rsidR="00065467" w:rsidRPr="00E106BD" w:rsidRDefault="00E54F24" w:rsidP="00E54F24">
            <w:pPr>
              <w:spacing w:before="60" w:after="60" w:line="240" w:lineRule="auto"/>
              <w:ind w:left="1135" w:hanging="284"/>
              <w:rPr>
                <w:lang w:eastAsia="en-AU"/>
              </w:rPr>
            </w:pPr>
            <w:r w:rsidRPr="00E106BD">
              <w:rPr>
                <w:sz w:val="20"/>
                <w:lang w:eastAsia="en-AU"/>
              </w:rPr>
              <w:t>(i)</w:t>
            </w:r>
            <w:r w:rsidRPr="00E106BD">
              <w:rPr>
                <w:sz w:val="20"/>
                <w:lang w:eastAsia="en-AU"/>
              </w:rPr>
              <w:tab/>
            </w:r>
            <w:r w:rsidR="00065467" w:rsidRPr="00E106BD">
              <w:rPr>
                <w:sz w:val="20"/>
                <w:lang w:eastAsia="en-AU"/>
              </w:rPr>
              <w:t>Genotype 5; or</w:t>
            </w:r>
          </w:p>
          <w:p w:rsidR="00065467" w:rsidRPr="00E106BD" w:rsidRDefault="00E54F24" w:rsidP="00E54F24">
            <w:pPr>
              <w:spacing w:before="60" w:after="60" w:line="240" w:lineRule="auto"/>
              <w:ind w:left="1135" w:hanging="284"/>
              <w:rPr>
                <w:lang w:eastAsia="en-AU"/>
              </w:rPr>
            </w:pPr>
            <w:r w:rsidRPr="00E106BD">
              <w:rPr>
                <w:sz w:val="20"/>
                <w:lang w:eastAsia="en-AU"/>
              </w:rPr>
              <w:t>(ii)</w:t>
            </w:r>
            <w:r w:rsidRPr="00E106BD">
              <w:rPr>
                <w:sz w:val="20"/>
                <w:lang w:eastAsia="en-AU"/>
              </w:rPr>
              <w:tab/>
            </w:r>
            <w:r w:rsidR="00065467" w:rsidRPr="00E106BD">
              <w:rPr>
                <w:sz w:val="20"/>
                <w:lang w:eastAsia="en-AU"/>
              </w:rPr>
              <w:t>Genotype 6;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Refer to item</w:t>
            </w:r>
            <w:r w:rsidR="00E106BD">
              <w:rPr>
                <w:sz w:val="20"/>
                <w:lang w:eastAsia="en-AU"/>
              </w:rPr>
              <w:t> </w:t>
            </w:r>
            <w:r w:rsidRPr="00E106BD">
              <w:rPr>
                <w:sz w:val="20"/>
                <w:lang w:eastAsia="en-AU"/>
              </w:rPr>
              <w:t>13 above (pan</w:t>
            </w:r>
            <w:r w:rsidR="00E106BD">
              <w:rPr>
                <w:sz w:val="20"/>
                <w:lang w:eastAsia="en-AU"/>
              </w:rPr>
              <w:noBreakHyphen/>
            </w:r>
            <w:r w:rsidRPr="00E106BD">
              <w:rPr>
                <w:sz w:val="20"/>
                <w:lang w:eastAsia="en-AU"/>
              </w:rPr>
              <w:t>genotypic, treatment naïve and cirrhotic regimens).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24</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w:t>
            </w:r>
          </w:p>
          <w:p w:rsidR="00065467" w:rsidRPr="00E106BD" w:rsidRDefault="00E54F24" w:rsidP="00E54F24">
            <w:pPr>
              <w:spacing w:before="60" w:after="60" w:line="240" w:lineRule="auto"/>
              <w:ind w:left="1135" w:hanging="284"/>
              <w:rPr>
                <w:lang w:eastAsia="en-AU"/>
              </w:rPr>
            </w:pPr>
            <w:r w:rsidRPr="00E106BD">
              <w:rPr>
                <w:sz w:val="20"/>
                <w:lang w:eastAsia="en-AU"/>
              </w:rPr>
              <w:t>(i)</w:t>
            </w:r>
            <w:r w:rsidRPr="00E106BD">
              <w:rPr>
                <w:sz w:val="20"/>
                <w:lang w:eastAsia="en-AU"/>
              </w:rPr>
              <w:tab/>
            </w:r>
            <w:r w:rsidR="00065467" w:rsidRPr="00E106BD">
              <w:rPr>
                <w:sz w:val="20"/>
                <w:lang w:eastAsia="en-AU"/>
              </w:rPr>
              <w:t>Genotype 5; or</w:t>
            </w:r>
          </w:p>
          <w:p w:rsidR="00065467" w:rsidRPr="00E106BD" w:rsidRDefault="00E54F24" w:rsidP="00E54F24">
            <w:pPr>
              <w:spacing w:before="60" w:after="60" w:line="240" w:lineRule="auto"/>
              <w:ind w:left="1135" w:hanging="284"/>
              <w:rPr>
                <w:lang w:eastAsia="en-AU"/>
              </w:rPr>
            </w:pPr>
            <w:r w:rsidRPr="00E106BD">
              <w:rPr>
                <w:sz w:val="20"/>
                <w:lang w:eastAsia="en-AU"/>
              </w:rPr>
              <w:t>(ii)</w:t>
            </w:r>
            <w:r w:rsidRPr="00E106BD">
              <w:rPr>
                <w:sz w:val="20"/>
                <w:lang w:eastAsia="en-AU"/>
              </w:rPr>
              <w:tab/>
            </w:r>
            <w:r w:rsidR="00065467" w:rsidRPr="00E106BD">
              <w:rPr>
                <w:sz w:val="20"/>
                <w:lang w:eastAsia="en-AU"/>
              </w:rPr>
              <w:t>Genotype 6;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lang w:eastAsia="en-AU"/>
              </w:rPr>
            </w:pPr>
            <w:r w:rsidRPr="00E106BD">
              <w:rPr>
                <w:sz w:val="20"/>
                <w:lang w:eastAsia="en-AU"/>
              </w:rPr>
              <w:t>Refer to item</w:t>
            </w:r>
            <w:r w:rsidR="00E106BD">
              <w:rPr>
                <w:sz w:val="20"/>
                <w:lang w:eastAsia="en-AU"/>
              </w:rPr>
              <w:t> </w:t>
            </w:r>
            <w:r w:rsidRPr="00E106BD">
              <w:rPr>
                <w:sz w:val="20"/>
                <w:lang w:eastAsia="en-AU"/>
              </w:rPr>
              <w:t>14 above (pan</w:t>
            </w:r>
            <w:r w:rsidR="00E106BD">
              <w:rPr>
                <w:sz w:val="20"/>
                <w:lang w:eastAsia="en-AU"/>
              </w:rPr>
              <w:noBreakHyphen/>
            </w:r>
            <w:r w:rsidRPr="00E106BD">
              <w:rPr>
                <w:sz w:val="20"/>
                <w:lang w:eastAsia="en-AU"/>
              </w:rPr>
              <w:t>genotypic, treatment experienced and cirrhotic regimens).</w:t>
            </w:r>
          </w:p>
        </w:tc>
      </w:tr>
    </w:tbl>
    <w:p w:rsidR="00036D32" w:rsidRPr="00E106BD" w:rsidRDefault="00036D32" w:rsidP="00036D32">
      <w:pPr>
        <w:sectPr w:rsidR="00036D32" w:rsidRPr="00E106BD" w:rsidSect="00AF69B5">
          <w:headerReference w:type="even" r:id="rId46"/>
          <w:headerReference w:type="default" r:id="rId47"/>
          <w:footerReference w:type="even" r:id="rId48"/>
          <w:footerReference w:type="default" r:id="rId49"/>
          <w:headerReference w:type="first" r:id="rId50"/>
          <w:footerReference w:type="first" r:id="rId51"/>
          <w:pgSz w:w="11907" w:h="16839" w:code="9"/>
          <w:pgMar w:top="1440" w:right="1797" w:bottom="1440" w:left="1797" w:header="720" w:footer="709" w:gutter="0"/>
          <w:cols w:space="720"/>
          <w:docGrid w:linePitch="299"/>
        </w:sectPr>
      </w:pPr>
    </w:p>
    <w:p w:rsidR="00461817" w:rsidRPr="00E106BD" w:rsidRDefault="00295F4A" w:rsidP="004E4760">
      <w:pPr>
        <w:pStyle w:val="ActHead1"/>
        <w:keepNext w:val="0"/>
        <w:keepLines w:val="0"/>
        <w:pageBreakBefore/>
      </w:pPr>
      <w:bookmarkStart w:id="285" w:name="_Toc53559007"/>
      <w:r w:rsidRPr="00E106BD">
        <w:rPr>
          <w:rStyle w:val="CharChapNo"/>
        </w:rPr>
        <w:t>Schedule</w:t>
      </w:r>
      <w:r w:rsidR="00E106BD">
        <w:rPr>
          <w:rStyle w:val="CharChapNo"/>
        </w:rPr>
        <w:t> </w:t>
      </w:r>
      <w:r w:rsidR="00461817" w:rsidRPr="00E106BD">
        <w:rPr>
          <w:rStyle w:val="CharChapNo"/>
        </w:rPr>
        <w:t>4</w:t>
      </w:r>
      <w:r w:rsidRPr="00E106BD">
        <w:t>—</w:t>
      </w:r>
      <w:r w:rsidR="00461817" w:rsidRPr="00E106BD">
        <w:rPr>
          <w:rStyle w:val="CharChapText"/>
        </w:rPr>
        <w:t>Patient contributions</w:t>
      </w:r>
      <w:bookmarkEnd w:id="285"/>
    </w:p>
    <w:p w:rsidR="007B2F82" w:rsidRPr="00E106BD" w:rsidRDefault="007B2F82" w:rsidP="007B2F82">
      <w:pPr>
        <w:pStyle w:val="Tabletext"/>
      </w:pPr>
      <w:bookmarkStart w:id="286" w:name="OPCSB_LandscapeBodyPrinA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67"/>
        <w:gridCol w:w="2234"/>
        <w:gridCol w:w="1970"/>
        <w:gridCol w:w="1437"/>
        <w:gridCol w:w="2472"/>
        <w:gridCol w:w="1398"/>
      </w:tblGrid>
      <w:tr w:rsidR="007B2F82" w:rsidRPr="00E106BD" w:rsidTr="008C4B3C">
        <w:tc>
          <w:tcPr>
            <w:tcW w:w="810" w:type="pct"/>
            <w:tcBorders>
              <w:top w:val="single" w:sz="12" w:space="0" w:color="auto"/>
              <w:bottom w:val="single" w:sz="12" w:space="0" w:color="auto"/>
            </w:tcBorders>
            <w:shd w:val="clear" w:color="auto" w:fill="auto"/>
          </w:tcPr>
          <w:p w:rsidR="007B2F82" w:rsidRPr="00E106BD" w:rsidRDefault="007B2F82" w:rsidP="00867822">
            <w:pPr>
              <w:pStyle w:val="ListParagraph"/>
              <w:ind w:left="0"/>
              <w:jc w:val="center"/>
              <w:rPr>
                <w:rFonts w:ascii="Arial" w:hAnsi="Arial" w:cs="Arial"/>
                <w:b/>
                <w:sz w:val="16"/>
                <w:szCs w:val="16"/>
              </w:rPr>
            </w:pPr>
            <w:r w:rsidRPr="00E106BD">
              <w:rPr>
                <w:rFonts w:ascii="Arial" w:hAnsi="Arial" w:cs="Arial"/>
                <w:b/>
                <w:sz w:val="16"/>
                <w:szCs w:val="16"/>
              </w:rPr>
              <w:t>Listed Drug</w:t>
            </w:r>
          </w:p>
        </w:tc>
        <w:tc>
          <w:tcPr>
            <w:tcW w:w="835"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Form (strength, type, size, etc.)</w:t>
            </w:r>
          </w:p>
        </w:tc>
        <w:tc>
          <w:tcPr>
            <w:tcW w:w="788"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Manner of Administration</w:t>
            </w:r>
          </w:p>
        </w:tc>
        <w:tc>
          <w:tcPr>
            <w:tcW w:w="695"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Brand</w:t>
            </w:r>
          </w:p>
        </w:tc>
        <w:tc>
          <w:tcPr>
            <w:tcW w:w="507"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Pack Quantity</w:t>
            </w:r>
          </w:p>
        </w:tc>
        <w:tc>
          <w:tcPr>
            <w:tcW w:w="872"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Approved Ex</w:t>
            </w:r>
            <w:r w:rsidR="00E106BD">
              <w:rPr>
                <w:rFonts w:ascii="Arial" w:hAnsi="Arial" w:cs="Arial"/>
                <w:b/>
                <w:sz w:val="16"/>
                <w:szCs w:val="16"/>
              </w:rPr>
              <w:noBreakHyphen/>
            </w:r>
            <w:r w:rsidRPr="00E106BD">
              <w:rPr>
                <w:rFonts w:ascii="Arial" w:hAnsi="Arial" w:cs="Arial"/>
                <w:b/>
                <w:sz w:val="16"/>
                <w:szCs w:val="16"/>
              </w:rPr>
              <w:t>manufacturer Price or Proportional Ex</w:t>
            </w:r>
            <w:r w:rsidR="00E106BD">
              <w:rPr>
                <w:rFonts w:ascii="Arial" w:hAnsi="Arial" w:cs="Arial"/>
                <w:b/>
                <w:sz w:val="16"/>
                <w:szCs w:val="16"/>
              </w:rPr>
              <w:noBreakHyphen/>
            </w:r>
            <w:r w:rsidRPr="00E106BD">
              <w:rPr>
                <w:rFonts w:ascii="Arial" w:hAnsi="Arial" w:cs="Arial"/>
                <w:b/>
                <w:sz w:val="16"/>
                <w:szCs w:val="16"/>
              </w:rPr>
              <w:t>manufacturer Price</w:t>
            </w:r>
          </w:p>
          <w:p w:rsidR="007B2F82" w:rsidRPr="00E106BD" w:rsidRDefault="007B2F82" w:rsidP="00867822">
            <w:pPr>
              <w:jc w:val="center"/>
              <w:rPr>
                <w:rFonts w:ascii="Arial" w:hAnsi="Arial" w:cs="Arial"/>
                <w:b/>
                <w:sz w:val="16"/>
                <w:szCs w:val="16"/>
              </w:rPr>
            </w:pPr>
            <w:r w:rsidRPr="00E106BD">
              <w:rPr>
                <w:rFonts w:ascii="Arial" w:hAnsi="Arial" w:cs="Arial"/>
                <w:b/>
                <w:sz w:val="16"/>
                <w:szCs w:val="16"/>
              </w:rPr>
              <w:t>$</w:t>
            </w:r>
          </w:p>
        </w:tc>
        <w:tc>
          <w:tcPr>
            <w:tcW w:w="493"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Claimed price</w:t>
            </w:r>
          </w:p>
          <w:p w:rsidR="007B2F82" w:rsidRPr="00E106BD" w:rsidRDefault="007B2F82" w:rsidP="00867822">
            <w:pPr>
              <w:jc w:val="center"/>
              <w:rPr>
                <w:rFonts w:ascii="Arial" w:hAnsi="Arial" w:cs="Arial"/>
                <w:b/>
                <w:sz w:val="16"/>
                <w:szCs w:val="16"/>
              </w:rPr>
            </w:pPr>
            <w:r w:rsidRPr="00E106BD">
              <w:rPr>
                <w:rFonts w:ascii="Arial" w:hAnsi="Arial" w:cs="Arial"/>
                <w:b/>
                <w:sz w:val="16"/>
                <w:szCs w:val="16"/>
              </w:rPr>
              <w:t>$</w:t>
            </w:r>
          </w:p>
        </w:tc>
      </w:tr>
      <w:tr w:rsidR="007B2F82" w:rsidRPr="00E106BD" w:rsidTr="008C4B3C">
        <w:tc>
          <w:tcPr>
            <w:tcW w:w="810" w:type="pct"/>
            <w:tcBorders>
              <w:top w:val="single" w:sz="12" w:space="0" w:color="auto"/>
              <w:bottom w:val="single" w:sz="4" w:space="0" w:color="auto"/>
            </w:tcBorders>
            <w:shd w:val="clear" w:color="auto" w:fill="auto"/>
            <w:vAlign w:val="center"/>
          </w:tcPr>
          <w:p w:rsidR="007B2F82" w:rsidRPr="00E106BD" w:rsidRDefault="007B2F82" w:rsidP="004A33EA">
            <w:pPr>
              <w:pStyle w:val="ListParagraph"/>
              <w:spacing w:before="60" w:line="360" w:lineRule="auto"/>
              <w:ind w:left="0"/>
              <w:jc w:val="center"/>
              <w:rPr>
                <w:rFonts w:ascii="Arial" w:hAnsi="Arial" w:cs="Arial"/>
                <w:sz w:val="16"/>
                <w:szCs w:val="16"/>
              </w:rPr>
            </w:pPr>
            <w:r w:rsidRPr="00E106BD">
              <w:rPr>
                <w:rFonts w:ascii="Arial" w:hAnsi="Arial" w:cs="Arial"/>
                <w:sz w:val="16"/>
                <w:szCs w:val="16"/>
              </w:rPr>
              <w:t>Lamivudine</w:t>
            </w:r>
          </w:p>
        </w:tc>
        <w:tc>
          <w:tcPr>
            <w:tcW w:w="835" w:type="pct"/>
            <w:tcBorders>
              <w:top w:val="single" w:sz="12" w:space="0" w:color="auto"/>
              <w:bottom w:val="single" w:sz="4" w:space="0" w:color="auto"/>
            </w:tcBorders>
            <w:shd w:val="clear" w:color="auto" w:fill="auto"/>
            <w:vAlign w:val="center"/>
          </w:tcPr>
          <w:p w:rsidR="007B2F82" w:rsidRPr="00E106BD" w:rsidRDefault="007B2F82"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Tablet 100 mg</w:t>
            </w:r>
          </w:p>
        </w:tc>
        <w:tc>
          <w:tcPr>
            <w:tcW w:w="788" w:type="pct"/>
            <w:tcBorders>
              <w:top w:val="single" w:sz="12" w:space="0" w:color="auto"/>
              <w:bottom w:val="single" w:sz="4" w:space="0" w:color="auto"/>
            </w:tcBorders>
            <w:shd w:val="clear" w:color="auto" w:fill="auto"/>
            <w:vAlign w:val="center"/>
          </w:tcPr>
          <w:p w:rsidR="007B2F82" w:rsidRPr="00E106BD" w:rsidRDefault="007B2F82"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Oral</w:t>
            </w:r>
          </w:p>
        </w:tc>
        <w:tc>
          <w:tcPr>
            <w:tcW w:w="695" w:type="pct"/>
            <w:tcBorders>
              <w:top w:val="single" w:sz="12" w:space="0" w:color="auto"/>
              <w:bottom w:val="single" w:sz="4" w:space="0" w:color="auto"/>
            </w:tcBorders>
            <w:shd w:val="clear" w:color="auto" w:fill="auto"/>
            <w:vAlign w:val="center"/>
          </w:tcPr>
          <w:p w:rsidR="007B2F82" w:rsidRPr="00E106BD" w:rsidRDefault="007B2F82"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Zeffix</w:t>
            </w:r>
          </w:p>
        </w:tc>
        <w:tc>
          <w:tcPr>
            <w:tcW w:w="507" w:type="pct"/>
            <w:tcBorders>
              <w:top w:val="single" w:sz="12" w:space="0" w:color="auto"/>
              <w:bottom w:val="single" w:sz="4" w:space="0" w:color="auto"/>
            </w:tcBorders>
            <w:shd w:val="clear" w:color="auto" w:fill="auto"/>
            <w:vAlign w:val="center"/>
          </w:tcPr>
          <w:p w:rsidR="007B2F82" w:rsidRPr="00E106BD" w:rsidRDefault="007B2F82"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28</w:t>
            </w:r>
          </w:p>
        </w:tc>
        <w:tc>
          <w:tcPr>
            <w:tcW w:w="872" w:type="pct"/>
            <w:tcBorders>
              <w:top w:val="single" w:sz="12" w:space="0" w:color="auto"/>
              <w:bottom w:val="single" w:sz="4" w:space="0" w:color="auto"/>
            </w:tcBorders>
            <w:shd w:val="clear" w:color="auto" w:fill="auto"/>
            <w:vAlign w:val="center"/>
          </w:tcPr>
          <w:p w:rsidR="007B2F82" w:rsidRPr="00E106BD" w:rsidRDefault="00C96C7E"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$34.70</w:t>
            </w:r>
          </w:p>
        </w:tc>
        <w:tc>
          <w:tcPr>
            <w:tcW w:w="493" w:type="pct"/>
            <w:tcBorders>
              <w:top w:val="single" w:sz="12" w:space="0" w:color="auto"/>
              <w:bottom w:val="single" w:sz="4" w:space="0" w:color="auto"/>
            </w:tcBorders>
            <w:shd w:val="clear" w:color="auto" w:fill="auto"/>
            <w:vAlign w:val="center"/>
          </w:tcPr>
          <w:p w:rsidR="007B2F82" w:rsidRPr="00E106BD" w:rsidRDefault="00C96C7E"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$35.30</w:t>
            </w:r>
          </w:p>
        </w:tc>
      </w:tr>
      <w:tr w:rsidR="007B2F82" w:rsidRPr="00E106BD" w:rsidTr="00867822">
        <w:tc>
          <w:tcPr>
            <w:tcW w:w="810" w:type="pct"/>
            <w:tcBorders>
              <w:top w:val="single" w:sz="4" w:space="0" w:color="auto"/>
              <w:bottom w:val="single" w:sz="12" w:space="0" w:color="auto"/>
            </w:tcBorders>
            <w:shd w:val="clear" w:color="auto" w:fill="auto"/>
            <w:vAlign w:val="center"/>
          </w:tcPr>
          <w:p w:rsidR="007B2F82" w:rsidRPr="00E106BD" w:rsidRDefault="007B2F82" w:rsidP="00867822">
            <w:pPr>
              <w:pStyle w:val="ListParagraph"/>
              <w:spacing w:line="360" w:lineRule="auto"/>
              <w:ind w:left="0"/>
              <w:jc w:val="center"/>
              <w:rPr>
                <w:rFonts w:ascii="Arial" w:hAnsi="Arial" w:cs="Arial"/>
                <w:sz w:val="16"/>
                <w:szCs w:val="16"/>
              </w:rPr>
            </w:pPr>
            <w:r w:rsidRPr="00E106BD">
              <w:rPr>
                <w:rFonts w:ascii="Arial" w:hAnsi="Arial" w:cs="Arial"/>
                <w:sz w:val="16"/>
                <w:szCs w:val="16"/>
              </w:rPr>
              <w:t>Valaciclovir</w:t>
            </w:r>
          </w:p>
        </w:tc>
        <w:tc>
          <w:tcPr>
            <w:tcW w:w="835" w:type="pct"/>
            <w:tcBorders>
              <w:top w:val="single" w:sz="4" w:space="0" w:color="auto"/>
              <w:bottom w:val="single" w:sz="12" w:space="0" w:color="auto"/>
            </w:tcBorders>
            <w:shd w:val="clear" w:color="auto" w:fill="auto"/>
            <w:vAlign w:val="center"/>
          </w:tcPr>
          <w:p w:rsidR="007B2F82" w:rsidRPr="00E106BD" w:rsidRDefault="007B2F82" w:rsidP="00867822">
            <w:pPr>
              <w:spacing w:line="360" w:lineRule="auto"/>
              <w:jc w:val="center"/>
              <w:rPr>
                <w:rFonts w:ascii="Arial" w:hAnsi="Arial" w:cs="Arial"/>
                <w:sz w:val="16"/>
                <w:szCs w:val="16"/>
              </w:rPr>
            </w:pPr>
            <w:r w:rsidRPr="00E106BD">
              <w:rPr>
                <w:rFonts w:ascii="Arial" w:hAnsi="Arial" w:cs="Arial"/>
                <w:sz w:val="16"/>
                <w:szCs w:val="16"/>
              </w:rPr>
              <w:t>Tablet 500 mg (as hydrochloride)</w:t>
            </w:r>
          </w:p>
        </w:tc>
        <w:tc>
          <w:tcPr>
            <w:tcW w:w="788" w:type="pct"/>
            <w:tcBorders>
              <w:top w:val="single" w:sz="4" w:space="0" w:color="auto"/>
              <w:bottom w:val="single" w:sz="12" w:space="0" w:color="auto"/>
            </w:tcBorders>
            <w:shd w:val="clear" w:color="auto" w:fill="auto"/>
            <w:vAlign w:val="center"/>
          </w:tcPr>
          <w:p w:rsidR="007B2F82" w:rsidRPr="00E106BD" w:rsidRDefault="007B2F82" w:rsidP="00867822">
            <w:pPr>
              <w:spacing w:line="360" w:lineRule="auto"/>
              <w:jc w:val="center"/>
              <w:rPr>
                <w:rFonts w:ascii="Arial" w:hAnsi="Arial" w:cs="Arial"/>
                <w:sz w:val="16"/>
                <w:szCs w:val="16"/>
              </w:rPr>
            </w:pPr>
            <w:r w:rsidRPr="00E106BD">
              <w:rPr>
                <w:rFonts w:ascii="Arial" w:hAnsi="Arial" w:cs="Arial"/>
                <w:sz w:val="16"/>
                <w:szCs w:val="16"/>
              </w:rPr>
              <w:t>Oral</w:t>
            </w:r>
          </w:p>
        </w:tc>
        <w:tc>
          <w:tcPr>
            <w:tcW w:w="695" w:type="pct"/>
            <w:tcBorders>
              <w:top w:val="single" w:sz="4" w:space="0" w:color="auto"/>
              <w:bottom w:val="single" w:sz="12" w:space="0" w:color="auto"/>
            </w:tcBorders>
            <w:shd w:val="clear" w:color="auto" w:fill="auto"/>
            <w:vAlign w:val="center"/>
          </w:tcPr>
          <w:p w:rsidR="007B2F82" w:rsidRPr="00E106BD" w:rsidRDefault="007B2F82" w:rsidP="00867822">
            <w:pPr>
              <w:spacing w:line="360" w:lineRule="auto"/>
              <w:jc w:val="center"/>
              <w:rPr>
                <w:rFonts w:ascii="Arial" w:hAnsi="Arial" w:cs="Arial"/>
                <w:sz w:val="16"/>
                <w:szCs w:val="16"/>
              </w:rPr>
            </w:pPr>
            <w:r w:rsidRPr="00E106BD">
              <w:rPr>
                <w:rFonts w:ascii="Arial" w:hAnsi="Arial" w:cs="Arial"/>
                <w:sz w:val="16"/>
                <w:szCs w:val="16"/>
              </w:rPr>
              <w:t>Valtrex</w:t>
            </w:r>
          </w:p>
        </w:tc>
        <w:tc>
          <w:tcPr>
            <w:tcW w:w="507" w:type="pct"/>
            <w:tcBorders>
              <w:top w:val="single" w:sz="4" w:space="0" w:color="auto"/>
              <w:bottom w:val="single" w:sz="12" w:space="0" w:color="auto"/>
            </w:tcBorders>
            <w:shd w:val="clear" w:color="auto" w:fill="auto"/>
            <w:vAlign w:val="center"/>
          </w:tcPr>
          <w:p w:rsidR="007B2F82" w:rsidRPr="00E106BD" w:rsidRDefault="007B2F82" w:rsidP="00867822">
            <w:pPr>
              <w:spacing w:line="360" w:lineRule="auto"/>
              <w:jc w:val="center"/>
              <w:rPr>
                <w:rFonts w:ascii="Arial" w:hAnsi="Arial" w:cs="Arial"/>
                <w:sz w:val="16"/>
                <w:szCs w:val="16"/>
              </w:rPr>
            </w:pPr>
            <w:r w:rsidRPr="00E106BD">
              <w:rPr>
                <w:rFonts w:ascii="Arial" w:hAnsi="Arial" w:cs="Arial"/>
                <w:sz w:val="16"/>
                <w:szCs w:val="16"/>
              </w:rPr>
              <w:t>100</w:t>
            </w:r>
          </w:p>
        </w:tc>
        <w:tc>
          <w:tcPr>
            <w:tcW w:w="872" w:type="pct"/>
            <w:tcBorders>
              <w:top w:val="single" w:sz="4" w:space="0" w:color="auto"/>
              <w:bottom w:val="single" w:sz="12" w:space="0" w:color="auto"/>
            </w:tcBorders>
            <w:shd w:val="clear" w:color="auto" w:fill="auto"/>
            <w:vAlign w:val="center"/>
          </w:tcPr>
          <w:p w:rsidR="007B2F82" w:rsidRPr="00E106BD" w:rsidRDefault="00C96C7E" w:rsidP="00867822">
            <w:pPr>
              <w:spacing w:line="360" w:lineRule="auto"/>
              <w:jc w:val="center"/>
              <w:rPr>
                <w:rFonts w:ascii="Arial" w:hAnsi="Arial" w:cs="Arial"/>
                <w:sz w:val="16"/>
                <w:szCs w:val="16"/>
              </w:rPr>
            </w:pPr>
            <w:r w:rsidRPr="00E106BD">
              <w:rPr>
                <w:rFonts w:ascii="Arial" w:hAnsi="Arial" w:cs="Arial"/>
                <w:sz w:val="16"/>
                <w:szCs w:val="16"/>
              </w:rPr>
              <w:t>$44.20</w:t>
            </w:r>
          </w:p>
        </w:tc>
        <w:tc>
          <w:tcPr>
            <w:tcW w:w="493" w:type="pct"/>
            <w:tcBorders>
              <w:top w:val="single" w:sz="4" w:space="0" w:color="auto"/>
              <w:bottom w:val="single" w:sz="12" w:space="0" w:color="auto"/>
            </w:tcBorders>
            <w:shd w:val="clear" w:color="auto" w:fill="auto"/>
            <w:vAlign w:val="center"/>
          </w:tcPr>
          <w:p w:rsidR="007B2F82" w:rsidRPr="00E106BD" w:rsidRDefault="00C96C7E" w:rsidP="00867822">
            <w:pPr>
              <w:spacing w:line="360" w:lineRule="auto"/>
              <w:jc w:val="center"/>
              <w:rPr>
                <w:rFonts w:ascii="Arial" w:hAnsi="Arial" w:cs="Arial"/>
                <w:sz w:val="16"/>
                <w:szCs w:val="16"/>
              </w:rPr>
            </w:pPr>
            <w:r w:rsidRPr="00E106BD">
              <w:rPr>
                <w:rFonts w:ascii="Arial" w:hAnsi="Arial" w:cs="Arial"/>
                <w:sz w:val="16"/>
                <w:szCs w:val="16"/>
              </w:rPr>
              <w:t>$44.64</w:t>
            </w:r>
          </w:p>
        </w:tc>
      </w:tr>
    </w:tbl>
    <w:p w:rsidR="007B2F82" w:rsidRDefault="007B2F82" w:rsidP="007E0907">
      <w:pPr>
        <w:pStyle w:val="Tabletext"/>
      </w:pPr>
    </w:p>
    <w:p w:rsidR="00D6304B" w:rsidRPr="00E106BD" w:rsidRDefault="00D6304B" w:rsidP="007E0907">
      <w:pPr>
        <w:pStyle w:val="Tabletext"/>
      </w:pPr>
    </w:p>
    <w:p w:rsidR="007E0907" w:rsidRPr="00E106BD" w:rsidRDefault="007E0907" w:rsidP="001D4A74">
      <w:pPr>
        <w:sectPr w:rsidR="007E0907" w:rsidRPr="00E106BD" w:rsidSect="00AF69B5">
          <w:headerReference w:type="even" r:id="rId52"/>
          <w:headerReference w:type="default" r:id="rId53"/>
          <w:footerReference w:type="even" r:id="rId54"/>
          <w:footerReference w:type="default" r:id="rId55"/>
          <w:headerReference w:type="first" r:id="rId56"/>
          <w:footerReference w:type="first" r:id="rId57"/>
          <w:pgSz w:w="16839" w:h="11907" w:orient="landscape" w:code="9"/>
          <w:pgMar w:top="1797" w:right="1440" w:bottom="1797" w:left="1440" w:header="720" w:footer="709" w:gutter="0"/>
          <w:cols w:space="720"/>
          <w:docGrid w:linePitch="299"/>
        </w:sectPr>
      </w:pPr>
      <w:bookmarkStart w:id="287" w:name="OPCSB_LandScapeNonAmdSchA4"/>
    </w:p>
    <w:p w:rsidR="007E6891" w:rsidRPr="00A9722D" w:rsidRDefault="007E6891" w:rsidP="007E6891">
      <w:pPr>
        <w:pStyle w:val="ActHead1"/>
      </w:pPr>
      <w:bookmarkStart w:id="288" w:name="_Toc53559008"/>
      <w:bookmarkStart w:id="289" w:name="OPCSB_NonAmendSchClausesA4"/>
      <w:bookmarkEnd w:id="286"/>
      <w:bookmarkEnd w:id="287"/>
      <w:r w:rsidRPr="00B65989">
        <w:rPr>
          <w:rStyle w:val="CharChapNo"/>
        </w:rPr>
        <w:t>Schedule 5</w:t>
      </w:r>
      <w:r w:rsidRPr="00A9722D">
        <w:t>—</w:t>
      </w:r>
      <w:bookmarkStart w:id="290" w:name="BK_S3P7L32C12"/>
      <w:bookmarkEnd w:id="290"/>
      <w:r w:rsidRPr="00B65989">
        <w:rPr>
          <w:rStyle w:val="CharChapText"/>
        </w:rPr>
        <w:t>HSD pharmaceutical benefits with modified prescription circumstances during COVID</w:t>
      </w:r>
      <w:r w:rsidRPr="00B65989">
        <w:rPr>
          <w:rStyle w:val="CharChapText"/>
        </w:rPr>
        <w:noBreakHyphen/>
        <w:t>19 pandemic</w:t>
      </w:r>
      <w:bookmarkEnd w:id="288"/>
    </w:p>
    <w:p w:rsidR="007E6891" w:rsidRPr="00A9722D" w:rsidRDefault="007E6891" w:rsidP="007E6891">
      <w:pPr>
        <w:pStyle w:val="notemargin"/>
      </w:pPr>
      <w:r w:rsidRPr="00A9722D">
        <w:t>Note:</w:t>
      </w:r>
      <w:r w:rsidRPr="00A9722D">
        <w:tab/>
        <w:t>See section 9AA.</w:t>
      </w:r>
    </w:p>
    <w:p w:rsidR="007E6891" w:rsidRPr="00B65989" w:rsidRDefault="007E6891" w:rsidP="007E6891">
      <w:pPr>
        <w:pStyle w:val="Header"/>
      </w:pPr>
      <w:bookmarkStart w:id="291" w:name="f_Check_Lines_below"/>
      <w:bookmarkEnd w:id="291"/>
      <w:r w:rsidRPr="00B65989">
        <w:rPr>
          <w:rStyle w:val="CharPartNo"/>
        </w:rPr>
        <w:t xml:space="preserve"> </w:t>
      </w:r>
      <w:r w:rsidRPr="00B65989">
        <w:rPr>
          <w:rStyle w:val="CharPartText"/>
        </w:rPr>
        <w:t xml:space="preserve"> </w:t>
      </w:r>
    </w:p>
    <w:p w:rsidR="007E6891" w:rsidRPr="00B65989" w:rsidRDefault="007E6891" w:rsidP="007E6891">
      <w:pPr>
        <w:pStyle w:val="Header"/>
      </w:pPr>
      <w:r w:rsidRPr="00B65989">
        <w:rPr>
          <w:rStyle w:val="CharDivNo"/>
        </w:rPr>
        <w:t xml:space="preserve"> </w:t>
      </w:r>
      <w:r w:rsidRPr="00B65989">
        <w:rPr>
          <w:rStyle w:val="CharDivText"/>
        </w:rPr>
        <w:t xml:space="preserve"> </w:t>
      </w:r>
    </w:p>
    <w:p w:rsidR="008D3FF6" w:rsidRPr="00037848" w:rsidRDefault="008D3FF6" w:rsidP="00381C10"/>
    <w:tbl>
      <w:tblPr>
        <w:tblStyle w:val="TableGrid"/>
        <w:tblW w:w="843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843"/>
        <w:gridCol w:w="4281"/>
        <w:gridCol w:w="2306"/>
      </w:tblGrid>
      <w:tr w:rsidR="008D3FF6" w:rsidRPr="0042601A" w:rsidTr="00883E05">
        <w:trPr>
          <w:tblHeader/>
        </w:trPr>
        <w:tc>
          <w:tcPr>
            <w:tcW w:w="8430" w:type="dxa"/>
            <w:gridSpan w:val="3"/>
            <w:tcBorders>
              <w:top w:val="single" w:sz="12" w:space="0" w:color="auto"/>
              <w:bottom w:val="single" w:sz="6" w:space="0" w:color="auto"/>
            </w:tcBorders>
            <w:vAlign w:val="bottom"/>
          </w:tcPr>
          <w:p w:rsidR="008D3FF6" w:rsidRPr="0042601A" w:rsidRDefault="008D3FF6" w:rsidP="0042601A">
            <w:pPr>
              <w:pStyle w:val="TableHeading"/>
            </w:pPr>
            <w:r w:rsidRPr="0042601A">
              <w:t>Pharmaceutical items with modified prescription circumstances during COVID-19 pandemic</w:t>
            </w:r>
          </w:p>
        </w:tc>
      </w:tr>
      <w:tr w:rsidR="008D3FF6" w:rsidRPr="00037848" w:rsidTr="00883E05">
        <w:trPr>
          <w:tblHeader/>
        </w:trPr>
        <w:tc>
          <w:tcPr>
            <w:tcW w:w="1843" w:type="dxa"/>
            <w:tcBorders>
              <w:top w:val="single" w:sz="6" w:space="0" w:color="auto"/>
              <w:bottom w:val="single" w:sz="12" w:space="0" w:color="auto"/>
            </w:tcBorders>
            <w:vAlign w:val="bottom"/>
          </w:tcPr>
          <w:p w:rsidR="008D3FF6" w:rsidRPr="0042601A" w:rsidRDefault="008D3FF6" w:rsidP="0042601A">
            <w:pPr>
              <w:pStyle w:val="TableHeading"/>
            </w:pPr>
            <w:r w:rsidRPr="0042601A">
              <w:t>Listed drug</w:t>
            </w:r>
          </w:p>
        </w:tc>
        <w:tc>
          <w:tcPr>
            <w:tcW w:w="4281" w:type="dxa"/>
            <w:tcBorders>
              <w:top w:val="single" w:sz="6" w:space="0" w:color="auto"/>
              <w:bottom w:val="single" w:sz="12" w:space="0" w:color="auto"/>
            </w:tcBorders>
            <w:vAlign w:val="bottom"/>
          </w:tcPr>
          <w:p w:rsidR="008D3FF6" w:rsidRPr="0042601A" w:rsidRDefault="008D3FF6" w:rsidP="0042601A">
            <w:pPr>
              <w:pStyle w:val="TableHeading"/>
            </w:pPr>
            <w:r w:rsidRPr="0042601A">
              <w:t>Form</w:t>
            </w:r>
          </w:p>
        </w:tc>
        <w:tc>
          <w:tcPr>
            <w:tcW w:w="2306" w:type="dxa"/>
            <w:tcBorders>
              <w:top w:val="single" w:sz="6" w:space="0" w:color="auto"/>
              <w:bottom w:val="single" w:sz="12" w:space="0" w:color="auto"/>
            </w:tcBorders>
            <w:vAlign w:val="bottom"/>
          </w:tcPr>
          <w:p w:rsidR="008D3FF6" w:rsidRPr="0042601A" w:rsidRDefault="008D3FF6" w:rsidP="0042601A">
            <w:pPr>
              <w:pStyle w:val="TableHeading"/>
            </w:pPr>
            <w:r w:rsidRPr="0042601A">
              <w:t>Manner of administration</w:t>
            </w:r>
          </w:p>
        </w:tc>
      </w:tr>
      <w:tr w:rsidR="008D3FF6" w:rsidRPr="0042601A" w:rsidTr="0042601A">
        <w:tc>
          <w:tcPr>
            <w:tcW w:w="1843" w:type="dxa"/>
            <w:tcBorders>
              <w:top w:val="single" w:sz="12" w:space="0" w:color="auto"/>
              <w:bottom w:val="single" w:sz="2" w:space="0" w:color="auto"/>
            </w:tcBorders>
          </w:tcPr>
          <w:p w:rsidR="008D3FF6" w:rsidRPr="0042601A" w:rsidRDefault="008D3FF6" w:rsidP="0042601A">
            <w:pPr>
              <w:pStyle w:val="Tabletext"/>
            </w:pPr>
            <w:r w:rsidRPr="0042601A">
              <w:t>Abatacept</w:t>
            </w:r>
          </w:p>
        </w:tc>
        <w:tc>
          <w:tcPr>
            <w:tcW w:w="4281" w:type="dxa"/>
            <w:tcBorders>
              <w:top w:val="single" w:sz="12" w:space="0" w:color="auto"/>
              <w:bottom w:val="single" w:sz="2" w:space="0" w:color="auto"/>
            </w:tcBorders>
          </w:tcPr>
          <w:p w:rsidR="008D3FF6" w:rsidRPr="0042601A" w:rsidRDefault="008D3FF6" w:rsidP="0042601A">
            <w:pPr>
              <w:pStyle w:val="Tabletext"/>
            </w:pPr>
            <w:r w:rsidRPr="0042601A">
              <w:t>Powder for I.V. infusion 250 mg</w:t>
            </w:r>
          </w:p>
        </w:tc>
        <w:tc>
          <w:tcPr>
            <w:tcW w:w="2306" w:type="dxa"/>
            <w:tcBorders>
              <w:top w:val="single" w:sz="1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Adalimumab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20 mg in 0.4 mL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Adalimumab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40 mg in 0.8 mL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Adalimumab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40 mg in 0.8 mL pre</w:t>
            </w:r>
            <w:r w:rsidRPr="0042601A">
              <w:noBreakHyphen/>
              <w:t>filled pen</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Ambrisentan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Ambrisentan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Benralizumab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30 mg in 1 mL single dose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Benralizumab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30 mg in 1 mL single dose pre</w:t>
            </w:r>
            <w:r w:rsidRPr="0042601A">
              <w:noBreakHyphen/>
              <w:t>filled pen</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Bosentan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62.5 mg (as monohydrate)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Bosentan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125 mg (as monohydrate)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Dornase alfa</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Solution for inhalation 2.5 mg (2,500 units) in 2.5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Inhalation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Epoprostenol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500 micrograms (as sodium)</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Epoprostenol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500 micrograms (as sodium) with 2 vials diluent 50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Epoprostenol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1.5 mg (as sodium)</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Epoprostenol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1.5 mg (as sodium) with 2 vials diluent 50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Etanercept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set containing 4 vials powder for injection 25 mg and 4 pre</w:t>
            </w:r>
            <w:r w:rsidRPr="0042601A">
              <w:noBreakHyphen/>
              <w:t>filled syringes solvent 1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Etanercept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50 mg in 1 mL single use auto</w:t>
            </w:r>
            <w:r w:rsidRPr="0042601A">
              <w:noBreakHyphen/>
              <w:t>injector, 4</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Etanercept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Injections 50 mg in 1 mL single use pre</w:t>
            </w:r>
            <w:r w:rsidRPr="0042601A">
              <w:noBreakHyphen/>
              <w:t>filled syringes, 4</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Iloprost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Solution for inhalation 20 micrograms (as trometamol) in 2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Inhalation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Infliximab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100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Sachet containing granules 50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Sachet containing granules 75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150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Lenalidomide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Lenalidomide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10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Lenalidomide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15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Lenalidomide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25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 xml:space="preserve">Lumacaftor with </w:t>
            </w:r>
            <w:r w:rsidRPr="0042601A">
              <w:br/>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Sachet containing granules, lumacaftor 100 mg and ivacaftor 125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 xml:space="preserve">Lumacaftor with </w:t>
            </w:r>
            <w:r w:rsidRPr="0042601A">
              <w:br/>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Sachet containing granules, lumacaftor 150 mg and ivacaftor 188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 xml:space="preserve">Lumacaftor with </w:t>
            </w:r>
            <w:r w:rsidRPr="0042601A">
              <w:br/>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 xml:space="preserve">Tablet containing lumacaftor 100 mg with ivacaftor 125 mg </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 xml:space="preserve">Oral </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Lumacaftor with 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 xml:space="preserve">Tablet containing lumacaftor 200 mg with ivacaftor 125 mg </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 xml:space="preserve">Oral </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Macitentan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Mannitol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Pack containing 280 capsules containing powder for inhalation 40 mg and 2 inhalers</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Inhalation by mouth</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Mepolizumab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injection 100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Mepolizumab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100 mg in 1 mL single dose pre-filled pen</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Omalizumab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75 mg in 0.5 mL single dose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Omalizumab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150 mg in 1 mL single dose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Pomalidomide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3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Pomalidomide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4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500 micrograms</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2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2.5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Rituximab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Solution for I.V. infusion 500 mg in 50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Sildenafil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20 mg (as citrate)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Tadalafil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20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Tezacaftor with ivacaftor and 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Pack containing 28 tablets tezacaftor 100 mg with ivacaftor 150 mg and 28 tablets ivacaftor 150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Tocilizumab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Concentrate for injection 80 mg in 4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Tocilizumab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Concentrate for injection 200 mg in 10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Tocilizumab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Concentrate for injection 400 mg in 20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BE7E09">
        <w:tc>
          <w:tcPr>
            <w:tcW w:w="1843" w:type="dxa"/>
            <w:tcBorders>
              <w:top w:val="single" w:sz="2" w:space="0" w:color="auto"/>
              <w:bottom w:val="single" w:sz="2" w:space="0" w:color="auto"/>
            </w:tcBorders>
          </w:tcPr>
          <w:p w:rsidR="008D3FF6" w:rsidRPr="0042601A" w:rsidRDefault="008D3FF6" w:rsidP="0042601A">
            <w:pPr>
              <w:pStyle w:val="Tabletext"/>
            </w:pPr>
            <w:r w:rsidRPr="0042601A">
              <w:t>Ustekinumab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Solution for I.V. infusion 130 mg in 26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567B4E" w:rsidTr="00BE7E09">
        <w:tc>
          <w:tcPr>
            <w:tcW w:w="1843" w:type="dxa"/>
            <w:tcBorders>
              <w:top w:val="single" w:sz="2" w:space="0" w:color="auto"/>
              <w:bottom w:val="single" w:sz="12" w:space="0" w:color="auto"/>
            </w:tcBorders>
          </w:tcPr>
          <w:p w:rsidR="008D3FF6" w:rsidRPr="0042601A" w:rsidRDefault="008D3FF6" w:rsidP="0042601A">
            <w:pPr>
              <w:pStyle w:val="Tabletext"/>
            </w:pPr>
            <w:r w:rsidRPr="0042601A">
              <w:t>Vedolizumab</w:t>
            </w:r>
          </w:p>
        </w:tc>
        <w:tc>
          <w:tcPr>
            <w:tcW w:w="4281" w:type="dxa"/>
            <w:tcBorders>
              <w:top w:val="single" w:sz="2" w:space="0" w:color="auto"/>
              <w:bottom w:val="single" w:sz="12" w:space="0" w:color="auto"/>
            </w:tcBorders>
          </w:tcPr>
          <w:p w:rsidR="008D3FF6" w:rsidRPr="0042601A" w:rsidRDefault="008D3FF6" w:rsidP="0042601A">
            <w:pPr>
              <w:pStyle w:val="Tabletext"/>
            </w:pPr>
            <w:r w:rsidRPr="0042601A">
              <w:t>Powder for injection 300 mg</w:t>
            </w:r>
          </w:p>
        </w:tc>
        <w:tc>
          <w:tcPr>
            <w:tcW w:w="2306" w:type="dxa"/>
            <w:tcBorders>
              <w:top w:val="single" w:sz="2" w:space="0" w:color="auto"/>
              <w:bottom w:val="single" w:sz="12" w:space="0" w:color="auto"/>
            </w:tcBorders>
          </w:tcPr>
          <w:p w:rsidR="008D3FF6" w:rsidRPr="0042601A" w:rsidRDefault="008D3FF6" w:rsidP="0042601A">
            <w:pPr>
              <w:pStyle w:val="Tabletext"/>
            </w:pPr>
            <w:r w:rsidRPr="0042601A">
              <w:t>Injection</w:t>
            </w:r>
          </w:p>
        </w:tc>
      </w:tr>
    </w:tbl>
    <w:p w:rsidR="007E6891" w:rsidRPr="00A9722D" w:rsidRDefault="007E6891" w:rsidP="007E6891">
      <w:pPr>
        <w:pStyle w:val="Tabletext"/>
      </w:pPr>
    </w:p>
    <w:p w:rsidR="00D6304B" w:rsidRPr="00611621" w:rsidRDefault="00D6304B" w:rsidP="00D6304B">
      <w:pPr>
        <w:sectPr w:rsidR="00D6304B" w:rsidRPr="00611621" w:rsidSect="00AF69B5">
          <w:headerReference w:type="even" r:id="rId58"/>
          <w:headerReference w:type="default" r:id="rId59"/>
          <w:footerReference w:type="even" r:id="rId60"/>
          <w:footerReference w:type="default" r:id="rId61"/>
          <w:headerReference w:type="first" r:id="rId62"/>
          <w:footerReference w:type="first" r:id="rId63"/>
          <w:pgSz w:w="11907" w:h="16839" w:code="9"/>
          <w:pgMar w:top="1440" w:right="1797" w:bottom="1440" w:left="1797" w:header="720" w:footer="709" w:gutter="0"/>
          <w:cols w:space="720"/>
          <w:docGrid w:linePitch="299"/>
        </w:sectPr>
      </w:pPr>
    </w:p>
    <w:p w:rsidR="0043406F" w:rsidRPr="00E106BD" w:rsidRDefault="0043406F" w:rsidP="0043406F">
      <w:pPr>
        <w:pStyle w:val="ENotesHeading1"/>
        <w:pageBreakBefore/>
        <w:outlineLvl w:val="9"/>
      </w:pPr>
      <w:bookmarkStart w:id="292" w:name="_Toc53559009"/>
      <w:bookmarkEnd w:id="289"/>
      <w:r w:rsidRPr="00E106BD">
        <w:t>Endnotes</w:t>
      </w:r>
      <w:bookmarkEnd w:id="292"/>
    </w:p>
    <w:p w:rsidR="0069450D" w:rsidRPr="00E106BD" w:rsidRDefault="0069450D" w:rsidP="0069450D">
      <w:pPr>
        <w:pStyle w:val="ENotesHeading2"/>
        <w:spacing w:line="240" w:lineRule="auto"/>
        <w:outlineLvl w:val="9"/>
      </w:pPr>
      <w:bookmarkStart w:id="293" w:name="_Toc53559010"/>
      <w:r w:rsidRPr="00E106BD">
        <w:t>Endnote 1—About the endnotes</w:t>
      </w:r>
      <w:bookmarkEnd w:id="293"/>
    </w:p>
    <w:p w:rsidR="0069450D" w:rsidRPr="00E106BD" w:rsidRDefault="0069450D" w:rsidP="0069450D">
      <w:pPr>
        <w:spacing w:after="120"/>
      </w:pPr>
      <w:r w:rsidRPr="00E106BD">
        <w:t>The endnotes provide information about this compilation and the compiled law.</w:t>
      </w:r>
    </w:p>
    <w:p w:rsidR="0069450D" w:rsidRPr="00E106BD" w:rsidRDefault="0069450D" w:rsidP="0069450D">
      <w:pPr>
        <w:spacing w:after="120"/>
      </w:pPr>
      <w:r w:rsidRPr="00E106BD">
        <w:t>The following endnotes are included in every compilation:</w:t>
      </w:r>
    </w:p>
    <w:p w:rsidR="0069450D" w:rsidRPr="00E106BD" w:rsidRDefault="0069450D" w:rsidP="0069450D">
      <w:r w:rsidRPr="00E106BD">
        <w:t>Endnote 1—About the endnotes</w:t>
      </w:r>
    </w:p>
    <w:p w:rsidR="0069450D" w:rsidRPr="00E106BD" w:rsidRDefault="0069450D" w:rsidP="0069450D">
      <w:r w:rsidRPr="00E106BD">
        <w:t>Endnote 2—Abbreviation key</w:t>
      </w:r>
    </w:p>
    <w:p w:rsidR="0069450D" w:rsidRPr="00E106BD" w:rsidRDefault="0069450D" w:rsidP="0069450D">
      <w:r w:rsidRPr="00E106BD">
        <w:t>Endnote 3—Legislation history</w:t>
      </w:r>
    </w:p>
    <w:p w:rsidR="0069450D" w:rsidRPr="00E106BD" w:rsidRDefault="0069450D" w:rsidP="0069450D">
      <w:pPr>
        <w:spacing w:after="120"/>
      </w:pPr>
      <w:r w:rsidRPr="00E106BD">
        <w:t>Endnote 4—Amendment history</w:t>
      </w:r>
    </w:p>
    <w:p w:rsidR="0069450D" w:rsidRPr="00E106BD" w:rsidRDefault="0069450D" w:rsidP="0069450D">
      <w:r w:rsidRPr="00E106BD">
        <w:rPr>
          <w:b/>
        </w:rPr>
        <w:t>Abbreviation key—Endnote 2</w:t>
      </w:r>
    </w:p>
    <w:p w:rsidR="0069450D" w:rsidRPr="00E106BD" w:rsidRDefault="0069450D" w:rsidP="0069450D">
      <w:pPr>
        <w:spacing w:after="120"/>
      </w:pPr>
      <w:r w:rsidRPr="00E106BD">
        <w:t>The abbreviation key sets out abbreviations that may be used in the endnotes.</w:t>
      </w:r>
    </w:p>
    <w:p w:rsidR="0069450D" w:rsidRPr="00E106BD" w:rsidRDefault="0069450D" w:rsidP="0069450D">
      <w:pPr>
        <w:rPr>
          <w:b/>
        </w:rPr>
      </w:pPr>
      <w:r w:rsidRPr="00E106BD">
        <w:rPr>
          <w:b/>
        </w:rPr>
        <w:t>Legislation history and amendment history—Endnotes 3 and 4</w:t>
      </w:r>
    </w:p>
    <w:p w:rsidR="0069450D" w:rsidRPr="00E106BD" w:rsidRDefault="0069450D" w:rsidP="0069450D">
      <w:pPr>
        <w:spacing w:after="120"/>
      </w:pPr>
      <w:r w:rsidRPr="00E106BD">
        <w:t>Amending laws are annotated in the legislation history and amendment history.</w:t>
      </w:r>
    </w:p>
    <w:p w:rsidR="0069450D" w:rsidRPr="00E106BD" w:rsidRDefault="0069450D" w:rsidP="0069450D">
      <w:pPr>
        <w:spacing w:after="120"/>
      </w:pPr>
      <w:r w:rsidRPr="00E106B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9450D" w:rsidRPr="00E106BD" w:rsidRDefault="0069450D" w:rsidP="0069450D">
      <w:pPr>
        <w:spacing w:after="120"/>
      </w:pPr>
      <w:r w:rsidRPr="00E106B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9450D" w:rsidRPr="00E106BD" w:rsidRDefault="0069450D" w:rsidP="0069450D">
      <w:pPr>
        <w:rPr>
          <w:b/>
        </w:rPr>
      </w:pPr>
      <w:r w:rsidRPr="00E106BD">
        <w:rPr>
          <w:b/>
        </w:rPr>
        <w:t>Editorial changes</w:t>
      </w:r>
    </w:p>
    <w:p w:rsidR="0069450D" w:rsidRPr="00E106BD" w:rsidRDefault="0069450D" w:rsidP="0069450D">
      <w:pPr>
        <w:spacing w:after="120"/>
      </w:pPr>
      <w:r w:rsidRPr="00E106BD">
        <w:t xml:space="preserve">The </w:t>
      </w:r>
      <w:r w:rsidRPr="00E106BD">
        <w:rPr>
          <w:i/>
        </w:rPr>
        <w:t>Legislation Act 2003</w:t>
      </w:r>
      <w:r w:rsidRPr="00E106B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9450D" w:rsidRPr="00E106BD" w:rsidRDefault="0069450D" w:rsidP="0069450D">
      <w:pPr>
        <w:spacing w:after="120"/>
      </w:pPr>
      <w:r w:rsidRPr="00E106BD">
        <w:t xml:space="preserve">If the compilation includes editorial changes, the endnotes include a brief outline of the changes in general terms. Full details of any changes can be obtained from the Office of Parliamentary Counsel. </w:t>
      </w:r>
    </w:p>
    <w:p w:rsidR="0069450D" w:rsidRPr="00E106BD" w:rsidRDefault="0069450D" w:rsidP="0069450D">
      <w:pPr>
        <w:keepNext/>
      </w:pPr>
      <w:r w:rsidRPr="00E106BD">
        <w:rPr>
          <w:b/>
        </w:rPr>
        <w:t>Misdescribed amendments</w:t>
      </w:r>
    </w:p>
    <w:p w:rsidR="0069450D" w:rsidRPr="00E106BD" w:rsidRDefault="0069450D" w:rsidP="0069450D">
      <w:pPr>
        <w:spacing w:after="120"/>
      </w:pPr>
      <w:r w:rsidRPr="00E106B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9450D" w:rsidRPr="00E106BD" w:rsidRDefault="0069450D" w:rsidP="0069450D">
      <w:pPr>
        <w:spacing w:before="120"/>
      </w:pPr>
      <w:r w:rsidRPr="00E106BD">
        <w:t>If a misdescribed amendment cannot be given effect as intended, the abbreviation “(md not incorp)” is added to the details of the amendment included in the amendment history.</w:t>
      </w:r>
    </w:p>
    <w:p w:rsidR="001E5F9F" w:rsidRPr="00E106BD" w:rsidRDefault="001E5F9F" w:rsidP="001E5F9F"/>
    <w:p w:rsidR="0069450D" w:rsidRPr="00E106BD" w:rsidRDefault="0069450D" w:rsidP="0069450D">
      <w:pPr>
        <w:pStyle w:val="ENotesHeading2"/>
        <w:pageBreakBefore/>
        <w:outlineLvl w:val="9"/>
      </w:pPr>
      <w:bookmarkStart w:id="294" w:name="_Toc53559011"/>
      <w:r w:rsidRPr="00E106BD">
        <w:t>Endnote 2—Abbreviation key</w:t>
      </w:r>
      <w:bookmarkEnd w:id="294"/>
    </w:p>
    <w:p w:rsidR="0069450D" w:rsidRPr="00E106BD" w:rsidRDefault="0069450D" w:rsidP="0069450D">
      <w:pPr>
        <w:pStyle w:val="Tabletext"/>
      </w:pPr>
    </w:p>
    <w:tbl>
      <w:tblPr>
        <w:tblW w:w="7939" w:type="dxa"/>
        <w:tblInd w:w="108" w:type="dxa"/>
        <w:tblLayout w:type="fixed"/>
        <w:tblLook w:val="0000" w:firstRow="0" w:lastRow="0" w:firstColumn="0" w:lastColumn="0" w:noHBand="0" w:noVBand="0"/>
      </w:tblPr>
      <w:tblGrid>
        <w:gridCol w:w="4253"/>
        <w:gridCol w:w="3686"/>
      </w:tblGrid>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ad = added or inserted</w:t>
            </w:r>
          </w:p>
        </w:tc>
        <w:tc>
          <w:tcPr>
            <w:tcW w:w="3686" w:type="dxa"/>
            <w:shd w:val="clear" w:color="auto" w:fill="auto"/>
          </w:tcPr>
          <w:p w:rsidR="0069450D" w:rsidRPr="00E106BD" w:rsidRDefault="0069450D" w:rsidP="0069450D">
            <w:pPr>
              <w:spacing w:before="60"/>
              <w:ind w:left="34"/>
              <w:rPr>
                <w:sz w:val="20"/>
              </w:rPr>
            </w:pPr>
            <w:r w:rsidRPr="00E106BD">
              <w:rPr>
                <w:sz w:val="20"/>
              </w:rPr>
              <w:t>o = order(s)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am = amended</w:t>
            </w:r>
          </w:p>
        </w:tc>
        <w:tc>
          <w:tcPr>
            <w:tcW w:w="3686" w:type="dxa"/>
            <w:shd w:val="clear" w:color="auto" w:fill="auto"/>
          </w:tcPr>
          <w:p w:rsidR="0069450D" w:rsidRPr="00E106BD" w:rsidRDefault="0069450D" w:rsidP="0069450D">
            <w:pPr>
              <w:spacing w:before="60"/>
              <w:ind w:left="34"/>
              <w:rPr>
                <w:sz w:val="20"/>
              </w:rPr>
            </w:pPr>
            <w:r w:rsidRPr="00E106BD">
              <w:rPr>
                <w:sz w:val="20"/>
              </w:rPr>
              <w:t>Ord = Ordinance</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amdt = amendment</w:t>
            </w:r>
          </w:p>
        </w:tc>
        <w:tc>
          <w:tcPr>
            <w:tcW w:w="3686" w:type="dxa"/>
            <w:shd w:val="clear" w:color="auto" w:fill="auto"/>
          </w:tcPr>
          <w:p w:rsidR="0069450D" w:rsidRPr="00E106BD" w:rsidRDefault="0069450D" w:rsidP="0069450D">
            <w:pPr>
              <w:spacing w:before="60"/>
              <w:ind w:left="34"/>
              <w:rPr>
                <w:sz w:val="20"/>
              </w:rPr>
            </w:pPr>
            <w:r w:rsidRPr="00E106BD">
              <w:rPr>
                <w:sz w:val="20"/>
              </w:rPr>
              <w:t>orig = original</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c = clause(s)</w:t>
            </w:r>
          </w:p>
        </w:tc>
        <w:tc>
          <w:tcPr>
            <w:tcW w:w="3686" w:type="dxa"/>
            <w:shd w:val="clear" w:color="auto" w:fill="auto"/>
          </w:tcPr>
          <w:p w:rsidR="0069450D" w:rsidRPr="00E106BD" w:rsidRDefault="0069450D" w:rsidP="0069450D">
            <w:pPr>
              <w:spacing w:before="60"/>
              <w:ind w:left="34"/>
              <w:rPr>
                <w:sz w:val="20"/>
              </w:rPr>
            </w:pPr>
            <w:r w:rsidRPr="00E106BD">
              <w:rPr>
                <w:sz w:val="20"/>
              </w:rPr>
              <w:t>par = paragraph(s)/subparagraph(s)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C[x] = Compilation No. x</w:t>
            </w:r>
          </w:p>
        </w:tc>
        <w:tc>
          <w:tcPr>
            <w:tcW w:w="3686" w:type="dxa"/>
            <w:shd w:val="clear" w:color="auto" w:fill="auto"/>
          </w:tcPr>
          <w:p w:rsidR="0069450D" w:rsidRPr="00E106BD" w:rsidRDefault="00AD0D00" w:rsidP="00AD0D00">
            <w:pPr>
              <w:ind w:left="34" w:firstLine="249"/>
              <w:rPr>
                <w:sz w:val="20"/>
              </w:rPr>
            </w:pPr>
            <w:r w:rsidRPr="00E106BD">
              <w:rPr>
                <w:sz w:val="20"/>
              </w:rPr>
              <w:t>/</w:t>
            </w:r>
            <w:r w:rsidR="0069450D" w:rsidRPr="00E106BD">
              <w:rPr>
                <w:sz w:val="20"/>
              </w:rPr>
              <w:t>sub</w:t>
            </w:r>
            <w:r w:rsidR="00E106BD">
              <w:rPr>
                <w:sz w:val="20"/>
              </w:rPr>
              <w:noBreakHyphen/>
            </w:r>
            <w:r w:rsidR="0069450D" w:rsidRPr="00E106BD">
              <w:rPr>
                <w:sz w:val="20"/>
              </w:rPr>
              <w:t>subparagraph(s)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Ch = Chapter(s)</w:t>
            </w:r>
          </w:p>
        </w:tc>
        <w:tc>
          <w:tcPr>
            <w:tcW w:w="3686" w:type="dxa"/>
            <w:shd w:val="clear" w:color="auto" w:fill="auto"/>
          </w:tcPr>
          <w:p w:rsidR="0069450D" w:rsidRPr="00E106BD" w:rsidRDefault="0069450D" w:rsidP="0069450D">
            <w:pPr>
              <w:spacing w:before="60"/>
              <w:ind w:left="34"/>
              <w:rPr>
                <w:sz w:val="20"/>
              </w:rPr>
            </w:pPr>
            <w:r w:rsidRPr="00E106BD">
              <w:rPr>
                <w:sz w:val="20"/>
              </w:rPr>
              <w:t>pres = present</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def = definition(s)</w:t>
            </w:r>
          </w:p>
        </w:tc>
        <w:tc>
          <w:tcPr>
            <w:tcW w:w="3686" w:type="dxa"/>
            <w:shd w:val="clear" w:color="auto" w:fill="auto"/>
          </w:tcPr>
          <w:p w:rsidR="0069450D" w:rsidRPr="00E106BD" w:rsidRDefault="0069450D" w:rsidP="0069450D">
            <w:pPr>
              <w:spacing w:before="60"/>
              <w:ind w:left="34"/>
              <w:rPr>
                <w:sz w:val="20"/>
              </w:rPr>
            </w:pPr>
            <w:r w:rsidRPr="00E106BD">
              <w:rPr>
                <w:sz w:val="20"/>
              </w:rPr>
              <w:t>prev = previous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Dict = Dictionary</w:t>
            </w:r>
          </w:p>
        </w:tc>
        <w:tc>
          <w:tcPr>
            <w:tcW w:w="3686" w:type="dxa"/>
            <w:shd w:val="clear" w:color="auto" w:fill="auto"/>
          </w:tcPr>
          <w:p w:rsidR="0069450D" w:rsidRPr="00E106BD" w:rsidRDefault="0069450D" w:rsidP="0069450D">
            <w:pPr>
              <w:spacing w:before="60"/>
              <w:ind w:left="34"/>
              <w:rPr>
                <w:sz w:val="20"/>
              </w:rPr>
            </w:pPr>
            <w:r w:rsidRPr="00E106BD">
              <w:rPr>
                <w:sz w:val="20"/>
              </w:rPr>
              <w:t>(prev…) = previously</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disallowed = disallowed by Parliament</w:t>
            </w:r>
          </w:p>
        </w:tc>
        <w:tc>
          <w:tcPr>
            <w:tcW w:w="3686" w:type="dxa"/>
            <w:shd w:val="clear" w:color="auto" w:fill="auto"/>
          </w:tcPr>
          <w:p w:rsidR="0069450D" w:rsidRPr="00E106BD" w:rsidRDefault="0069450D" w:rsidP="0069450D">
            <w:pPr>
              <w:spacing w:before="60"/>
              <w:ind w:left="34"/>
              <w:rPr>
                <w:sz w:val="20"/>
              </w:rPr>
            </w:pPr>
            <w:r w:rsidRPr="00E106BD">
              <w:rPr>
                <w:sz w:val="20"/>
              </w:rPr>
              <w:t>Pt = Part(s)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Div = Division(s)</w:t>
            </w:r>
          </w:p>
        </w:tc>
        <w:tc>
          <w:tcPr>
            <w:tcW w:w="3686" w:type="dxa"/>
            <w:shd w:val="clear" w:color="auto" w:fill="auto"/>
          </w:tcPr>
          <w:p w:rsidR="0069450D" w:rsidRPr="00E106BD" w:rsidRDefault="0069450D" w:rsidP="0069450D">
            <w:pPr>
              <w:spacing w:before="60"/>
              <w:ind w:left="34"/>
              <w:rPr>
                <w:sz w:val="20"/>
              </w:rPr>
            </w:pPr>
            <w:r w:rsidRPr="00E106BD">
              <w:rPr>
                <w:sz w:val="20"/>
              </w:rPr>
              <w:t>r = regulation(s)/rule(s)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ed = editorial change</w:t>
            </w:r>
          </w:p>
        </w:tc>
        <w:tc>
          <w:tcPr>
            <w:tcW w:w="3686" w:type="dxa"/>
            <w:shd w:val="clear" w:color="auto" w:fill="auto"/>
          </w:tcPr>
          <w:p w:rsidR="0069450D" w:rsidRPr="00E106BD" w:rsidRDefault="0069450D" w:rsidP="0069450D">
            <w:pPr>
              <w:spacing w:before="60"/>
              <w:ind w:left="34"/>
              <w:rPr>
                <w:sz w:val="20"/>
              </w:rPr>
            </w:pPr>
            <w:r w:rsidRPr="00E106BD">
              <w:rPr>
                <w:sz w:val="20"/>
              </w:rPr>
              <w:t>reloc = relocated</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exp = expires/expired or ceases/ceased to have</w:t>
            </w:r>
          </w:p>
        </w:tc>
        <w:tc>
          <w:tcPr>
            <w:tcW w:w="3686" w:type="dxa"/>
            <w:shd w:val="clear" w:color="auto" w:fill="auto"/>
          </w:tcPr>
          <w:p w:rsidR="0069450D" w:rsidRPr="00E106BD" w:rsidRDefault="0069450D" w:rsidP="0069450D">
            <w:pPr>
              <w:spacing w:before="60"/>
              <w:ind w:left="34"/>
              <w:rPr>
                <w:sz w:val="20"/>
              </w:rPr>
            </w:pPr>
            <w:r w:rsidRPr="00E106BD">
              <w:rPr>
                <w:sz w:val="20"/>
              </w:rPr>
              <w:t>renum = renumbered</w:t>
            </w:r>
          </w:p>
        </w:tc>
      </w:tr>
      <w:tr w:rsidR="0069450D" w:rsidRPr="00E106BD" w:rsidTr="0069450D">
        <w:tc>
          <w:tcPr>
            <w:tcW w:w="4253" w:type="dxa"/>
            <w:shd w:val="clear" w:color="auto" w:fill="auto"/>
          </w:tcPr>
          <w:p w:rsidR="0069450D" w:rsidRPr="00E106BD" w:rsidRDefault="00AD0D00" w:rsidP="00AD0D00">
            <w:pPr>
              <w:ind w:left="34" w:firstLine="249"/>
              <w:rPr>
                <w:sz w:val="20"/>
              </w:rPr>
            </w:pPr>
            <w:r w:rsidRPr="00E106BD">
              <w:rPr>
                <w:sz w:val="20"/>
              </w:rPr>
              <w:t>e</w:t>
            </w:r>
            <w:r w:rsidR="0069450D" w:rsidRPr="00E106BD">
              <w:rPr>
                <w:sz w:val="20"/>
              </w:rPr>
              <w:t>ffect</w:t>
            </w:r>
          </w:p>
        </w:tc>
        <w:tc>
          <w:tcPr>
            <w:tcW w:w="3686" w:type="dxa"/>
            <w:shd w:val="clear" w:color="auto" w:fill="auto"/>
          </w:tcPr>
          <w:p w:rsidR="0069450D" w:rsidRPr="00E106BD" w:rsidRDefault="0069450D" w:rsidP="0069450D">
            <w:pPr>
              <w:spacing w:before="60"/>
              <w:ind w:left="34"/>
              <w:rPr>
                <w:sz w:val="20"/>
              </w:rPr>
            </w:pPr>
            <w:r w:rsidRPr="00E106BD">
              <w:rPr>
                <w:sz w:val="20"/>
              </w:rPr>
              <w:t>rep = repealed</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F = Federal Register of Legislation</w:t>
            </w:r>
          </w:p>
        </w:tc>
        <w:tc>
          <w:tcPr>
            <w:tcW w:w="3686" w:type="dxa"/>
            <w:shd w:val="clear" w:color="auto" w:fill="auto"/>
          </w:tcPr>
          <w:p w:rsidR="0069450D" w:rsidRPr="00E106BD" w:rsidRDefault="0069450D" w:rsidP="0069450D">
            <w:pPr>
              <w:spacing w:before="60"/>
              <w:ind w:left="34"/>
              <w:rPr>
                <w:sz w:val="20"/>
              </w:rPr>
            </w:pPr>
            <w:r w:rsidRPr="00E106BD">
              <w:rPr>
                <w:sz w:val="20"/>
              </w:rPr>
              <w:t>rs = repealed and substituted</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gaz = gazette</w:t>
            </w:r>
          </w:p>
        </w:tc>
        <w:tc>
          <w:tcPr>
            <w:tcW w:w="3686" w:type="dxa"/>
            <w:shd w:val="clear" w:color="auto" w:fill="auto"/>
          </w:tcPr>
          <w:p w:rsidR="0069450D" w:rsidRPr="00E106BD" w:rsidRDefault="0069450D" w:rsidP="0069450D">
            <w:pPr>
              <w:spacing w:before="60"/>
              <w:ind w:left="34"/>
              <w:rPr>
                <w:sz w:val="20"/>
              </w:rPr>
            </w:pPr>
            <w:r w:rsidRPr="00E106BD">
              <w:rPr>
                <w:sz w:val="20"/>
              </w:rPr>
              <w:t>s = section(s)/subsection(s)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 xml:space="preserve">LA = </w:t>
            </w:r>
            <w:r w:rsidRPr="00E106BD">
              <w:rPr>
                <w:i/>
                <w:sz w:val="20"/>
              </w:rPr>
              <w:t>Legislation Act 2003</w:t>
            </w:r>
          </w:p>
        </w:tc>
        <w:tc>
          <w:tcPr>
            <w:tcW w:w="3686" w:type="dxa"/>
            <w:shd w:val="clear" w:color="auto" w:fill="auto"/>
          </w:tcPr>
          <w:p w:rsidR="0069450D" w:rsidRPr="00E106BD" w:rsidRDefault="0069450D" w:rsidP="0069450D">
            <w:pPr>
              <w:spacing w:before="60"/>
              <w:ind w:left="34"/>
              <w:rPr>
                <w:sz w:val="20"/>
              </w:rPr>
            </w:pPr>
            <w:r w:rsidRPr="00E106BD">
              <w:rPr>
                <w:sz w:val="20"/>
              </w:rPr>
              <w:t>Sch = Schedule(s)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 xml:space="preserve">LIA = </w:t>
            </w:r>
            <w:r w:rsidRPr="00E106BD">
              <w:rPr>
                <w:i/>
                <w:sz w:val="20"/>
              </w:rPr>
              <w:t>Legislative Instruments Act 2003</w:t>
            </w:r>
          </w:p>
        </w:tc>
        <w:tc>
          <w:tcPr>
            <w:tcW w:w="3686" w:type="dxa"/>
            <w:shd w:val="clear" w:color="auto" w:fill="auto"/>
          </w:tcPr>
          <w:p w:rsidR="0069450D" w:rsidRPr="00E106BD" w:rsidRDefault="0069450D" w:rsidP="0069450D">
            <w:pPr>
              <w:spacing w:before="60"/>
              <w:ind w:left="34"/>
              <w:rPr>
                <w:sz w:val="20"/>
              </w:rPr>
            </w:pPr>
            <w:r w:rsidRPr="00E106BD">
              <w:rPr>
                <w:sz w:val="20"/>
              </w:rPr>
              <w:t>Sdiv = Subdivision(s)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(md) = misdescribed amendment can be given</w:t>
            </w:r>
          </w:p>
        </w:tc>
        <w:tc>
          <w:tcPr>
            <w:tcW w:w="3686" w:type="dxa"/>
            <w:shd w:val="clear" w:color="auto" w:fill="auto"/>
          </w:tcPr>
          <w:p w:rsidR="0069450D" w:rsidRPr="00E106BD" w:rsidRDefault="0069450D" w:rsidP="0069450D">
            <w:pPr>
              <w:spacing w:before="60"/>
              <w:ind w:left="34"/>
              <w:rPr>
                <w:sz w:val="20"/>
              </w:rPr>
            </w:pPr>
            <w:r w:rsidRPr="00E106BD">
              <w:rPr>
                <w:sz w:val="20"/>
              </w:rPr>
              <w:t>SLI = Select Legislative Instrument</w:t>
            </w:r>
          </w:p>
        </w:tc>
      </w:tr>
      <w:tr w:rsidR="0069450D" w:rsidRPr="00E106BD" w:rsidTr="0069450D">
        <w:tc>
          <w:tcPr>
            <w:tcW w:w="4253" w:type="dxa"/>
            <w:shd w:val="clear" w:color="auto" w:fill="auto"/>
          </w:tcPr>
          <w:p w:rsidR="0069450D" w:rsidRPr="00E106BD" w:rsidRDefault="00AD0D00" w:rsidP="00AD0D00">
            <w:pPr>
              <w:ind w:left="34" w:firstLine="249"/>
              <w:rPr>
                <w:sz w:val="20"/>
              </w:rPr>
            </w:pPr>
            <w:r w:rsidRPr="00E106BD">
              <w:rPr>
                <w:sz w:val="20"/>
              </w:rPr>
              <w:t>e</w:t>
            </w:r>
            <w:r w:rsidR="0069450D" w:rsidRPr="00E106BD">
              <w:rPr>
                <w:sz w:val="20"/>
              </w:rPr>
              <w:t>ffect</w:t>
            </w:r>
          </w:p>
        </w:tc>
        <w:tc>
          <w:tcPr>
            <w:tcW w:w="3686" w:type="dxa"/>
            <w:shd w:val="clear" w:color="auto" w:fill="auto"/>
          </w:tcPr>
          <w:p w:rsidR="0069450D" w:rsidRPr="00E106BD" w:rsidRDefault="0069450D" w:rsidP="0069450D">
            <w:pPr>
              <w:spacing w:before="60"/>
              <w:ind w:left="34"/>
              <w:rPr>
                <w:sz w:val="20"/>
              </w:rPr>
            </w:pPr>
            <w:r w:rsidRPr="00E106BD">
              <w:rPr>
                <w:sz w:val="20"/>
              </w:rPr>
              <w:t>SR = Statutory Rules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(md not incorp) = misdescribed amendment</w:t>
            </w:r>
          </w:p>
        </w:tc>
        <w:tc>
          <w:tcPr>
            <w:tcW w:w="3686" w:type="dxa"/>
            <w:shd w:val="clear" w:color="auto" w:fill="auto"/>
          </w:tcPr>
          <w:p w:rsidR="0069450D" w:rsidRPr="00E106BD" w:rsidRDefault="0069450D" w:rsidP="0069450D">
            <w:pPr>
              <w:spacing w:before="60"/>
              <w:ind w:left="34"/>
              <w:rPr>
                <w:sz w:val="20"/>
              </w:rPr>
            </w:pPr>
            <w:r w:rsidRPr="00E106BD">
              <w:rPr>
                <w:sz w:val="20"/>
              </w:rPr>
              <w:t>Sub</w:t>
            </w:r>
            <w:r w:rsidR="00E106BD">
              <w:rPr>
                <w:sz w:val="20"/>
              </w:rPr>
              <w:noBreakHyphen/>
            </w:r>
            <w:r w:rsidRPr="00E106BD">
              <w:rPr>
                <w:sz w:val="20"/>
              </w:rPr>
              <w:t>Ch = Sub</w:t>
            </w:r>
            <w:r w:rsidR="00E106BD">
              <w:rPr>
                <w:sz w:val="20"/>
              </w:rPr>
              <w:noBreakHyphen/>
            </w:r>
            <w:r w:rsidRPr="00E106BD">
              <w:rPr>
                <w:sz w:val="20"/>
              </w:rPr>
              <w:t>Chapter(s)</w:t>
            </w:r>
          </w:p>
        </w:tc>
      </w:tr>
      <w:tr w:rsidR="0069450D" w:rsidRPr="00E106BD" w:rsidTr="0069450D">
        <w:tc>
          <w:tcPr>
            <w:tcW w:w="4253" w:type="dxa"/>
            <w:shd w:val="clear" w:color="auto" w:fill="auto"/>
          </w:tcPr>
          <w:p w:rsidR="0069450D" w:rsidRPr="00E106BD" w:rsidRDefault="00AD0D00" w:rsidP="00AD0D00">
            <w:pPr>
              <w:ind w:left="34" w:firstLine="249"/>
              <w:rPr>
                <w:sz w:val="20"/>
              </w:rPr>
            </w:pPr>
            <w:r w:rsidRPr="00E106BD">
              <w:rPr>
                <w:sz w:val="20"/>
              </w:rPr>
              <w:t>c</w:t>
            </w:r>
            <w:r w:rsidR="0069450D" w:rsidRPr="00E106BD">
              <w:rPr>
                <w:sz w:val="20"/>
              </w:rPr>
              <w:t>annot be given effect</w:t>
            </w:r>
          </w:p>
        </w:tc>
        <w:tc>
          <w:tcPr>
            <w:tcW w:w="3686" w:type="dxa"/>
            <w:shd w:val="clear" w:color="auto" w:fill="auto"/>
          </w:tcPr>
          <w:p w:rsidR="0069450D" w:rsidRPr="00E106BD" w:rsidRDefault="0069450D" w:rsidP="0069450D">
            <w:pPr>
              <w:spacing w:before="60"/>
              <w:ind w:left="34"/>
              <w:rPr>
                <w:sz w:val="20"/>
              </w:rPr>
            </w:pPr>
            <w:r w:rsidRPr="00E106BD">
              <w:rPr>
                <w:sz w:val="20"/>
              </w:rPr>
              <w:t>SubPt = Subpart(s)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mod = modified/modification</w:t>
            </w:r>
          </w:p>
        </w:tc>
        <w:tc>
          <w:tcPr>
            <w:tcW w:w="3686" w:type="dxa"/>
            <w:shd w:val="clear" w:color="auto" w:fill="auto"/>
          </w:tcPr>
          <w:p w:rsidR="0069450D" w:rsidRPr="00E106BD" w:rsidRDefault="0069450D" w:rsidP="0069450D">
            <w:pPr>
              <w:spacing w:before="60"/>
              <w:ind w:left="34"/>
              <w:rPr>
                <w:sz w:val="20"/>
              </w:rPr>
            </w:pPr>
            <w:r w:rsidRPr="00E106BD">
              <w:rPr>
                <w:sz w:val="20"/>
                <w:u w:val="single"/>
              </w:rPr>
              <w:t>underlining</w:t>
            </w:r>
            <w:r w:rsidRPr="00E106BD">
              <w:rPr>
                <w:sz w:val="20"/>
              </w:rPr>
              <w:t xml:space="preserve"> = whole or part not</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No. = Number(s)</w:t>
            </w:r>
          </w:p>
        </w:tc>
        <w:tc>
          <w:tcPr>
            <w:tcW w:w="3686" w:type="dxa"/>
            <w:shd w:val="clear" w:color="auto" w:fill="auto"/>
          </w:tcPr>
          <w:p w:rsidR="0069450D" w:rsidRPr="00E106BD" w:rsidRDefault="00AD0D00" w:rsidP="00AD0D00">
            <w:pPr>
              <w:ind w:left="34" w:firstLine="249"/>
              <w:rPr>
                <w:sz w:val="20"/>
              </w:rPr>
            </w:pPr>
            <w:r w:rsidRPr="00E106BD">
              <w:rPr>
                <w:sz w:val="20"/>
              </w:rPr>
              <w:t>c</w:t>
            </w:r>
            <w:r w:rsidR="0069450D" w:rsidRPr="00E106BD">
              <w:rPr>
                <w:sz w:val="20"/>
              </w:rPr>
              <w:t>ommenced or to be commenced</w:t>
            </w:r>
          </w:p>
        </w:tc>
      </w:tr>
    </w:tbl>
    <w:p w:rsidR="0069450D" w:rsidRPr="00E106BD" w:rsidRDefault="0069450D" w:rsidP="0069450D">
      <w:pPr>
        <w:pStyle w:val="Tabletext"/>
      </w:pPr>
    </w:p>
    <w:p w:rsidR="00A3242B" w:rsidRPr="00E106BD" w:rsidRDefault="00A3242B" w:rsidP="00C33CB5">
      <w:pPr>
        <w:pStyle w:val="ENotesHeading2"/>
        <w:pageBreakBefore/>
        <w:outlineLvl w:val="9"/>
      </w:pPr>
      <w:bookmarkStart w:id="295" w:name="_Toc53559012"/>
      <w:r w:rsidRPr="00E106BD">
        <w:t>Endnote 3—Legislation history</w:t>
      </w:r>
      <w:bookmarkEnd w:id="295"/>
    </w:p>
    <w:p w:rsidR="00AF2383" w:rsidRPr="00E106BD" w:rsidRDefault="00AF2383" w:rsidP="00AF2383">
      <w:pPr>
        <w:pStyle w:val="Tabletext"/>
      </w:pPr>
    </w:p>
    <w:tbl>
      <w:tblPr>
        <w:tblW w:w="4937"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2476"/>
        <w:gridCol w:w="1984"/>
        <w:gridCol w:w="1983"/>
        <w:gridCol w:w="1979"/>
      </w:tblGrid>
      <w:tr w:rsidR="00A3242B" w:rsidRPr="00E106BD" w:rsidTr="00B807DA">
        <w:trPr>
          <w:cantSplit/>
          <w:tblHeader/>
        </w:trPr>
        <w:tc>
          <w:tcPr>
            <w:tcW w:w="1470" w:type="pct"/>
            <w:tcBorders>
              <w:top w:val="single" w:sz="12" w:space="0" w:color="auto"/>
              <w:bottom w:val="single" w:sz="12" w:space="0" w:color="auto"/>
            </w:tcBorders>
            <w:shd w:val="clear" w:color="auto" w:fill="auto"/>
          </w:tcPr>
          <w:p w:rsidR="00A3242B" w:rsidRPr="00E106BD" w:rsidRDefault="00FE7452" w:rsidP="004E4760">
            <w:pPr>
              <w:pStyle w:val="ENoteTableHeading"/>
              <w:keepNext w:val="0"/>
            </w:pPr>
            <w:r w:rsidRPr="00E106BD">
              <w:t>Name</w:t>
            </w:r>
          </w:p>
        </w:tc>
        <w:tc>
          <w:tcPr>
            <w:tcW w:w="1178" w:type="pct"/>
            <w:tcBorders>
              <w:top w:val="single" w:sz="12" w:space="0" w:color="auto"/>
              <w:bottom w:val="single" w:sz="12" w:space="0" w:color="auto"/>
            </w:tcBorders>
            <w:shd w:val="clear" w:color="auto" w:fill="auto"/>
          </w:tcPr>
          <w:p w:rsidR="00A3242B" w:rsidRPr="00E106BD" w:rsidRDefault="0069450D" w:rsidP="004E4760">
            <w:pPr>
              <w:pStyle w:val="ENoteTableHeading"/>
              <w:keepNext w:val="0"/>
            </w:pPr>
            <w:r w:rsidRPr="00E106BD">
              <w:t>Registration</w:t>
            </w:r>
          </w:p>
        </w:tc>
        <w:tc>
          <w:tcPr>
            <w:tcW w:w="1177" w:type="pct"/>
            <w:tcBorders>
              <w:top w:val="single" w:sz="12" w:space="0" w:color="auto"/>
              <w:bottom w:val="single" w:sz="12" w:space="0" w:color="auto"/>
            </w:tcBorders>
            <w:shd w:val="clear" w:color="auto" w:fill="auto"/>
          </w:tcPr>
          <w:p w:rsidR="00A3242B" w:rsidRPr="00E106BD" w:rsidRDefault="00A3242B" w:rsidP="004E4760">
            <w:pPr>
              <w:pStyle w:val="ENoteTableHeading"/>
              <w:keepNext w:val="0"/>
            </w:pPr>
            <w:r w:rsidRPr="00E106BD">
              <w:t>Commencement</w:t>
            </w:r>
          </w:p>
        </w:tc>
        <w:tc>
          <w:tcPr>
            <w:tcW w:w="1175" w:type="pct"/>
            <w:tcBorders>
              <w:top w:val="single" w:sz="12" w:space="0" w:color="auto"/>
              <w:bottom w:val="single" w:sz="12" w:space="0" w:color="auto"/>
            </w:tcBorders>
            <w:shd w:val="clear" w:color="auto" w:fill="auto"/>
          </w:tcPr>
          <w:p w:rsidR="00A3242B" w:rsidRPr="00E106BD" w:rsidRDefault="00A3242B" w:rsidP="004E4760">
            <w:pPr>
              <w:pStyle w:val="ENoteTableHeading"/>
              <w:keepNext w:val="0"/>
            </w:pPr>
            <w:r w:rsidRPr="00E106BD">
              <w:t>Application, saving and transitional provisions</w:t>
            </w:r>
          </w:p>
        </w:tc>
      </w:tr>
      <w:tr w:rsidR="007A7A39" w:rsidRPr="00E106BD" w:rsidTr="00B807DA">
        <w:trPr>
          <w:cantSplit/>
        </w:trPr>
        <w:tc>
          <w:tcPr>
            <w:tcW w:w="1470" w:type="pct"/>
            <w:tcBorders>
              <w:top w:val="single" w:sz="12" w:space="0" w:color="auto"/>
              <w:bottom w:val="single" w:sz="4" w:space="0" w:color="auto"/>
              <w:right w:val="nil"/>
            </w:tcBorders>
            <w:shd w:val="clear" w:color="auto" w:fill="auto"/>
          </w:tcPr>
          <w:p w:rsidR="007A7A39" w:rsidRPr="00E106BD" w:rsidRDefault="007A7A39" w:rsidP="004E4760">
            <w:pPr>
              <w:pStyle w:val="ENoteTableText"/>
            </w:pPr>
            <w:r w:rsidRPr="00E106BD">
              <w:t>PB 116 of 2010</w:t>
            </w:r>
          </w:p>
        </w:tc>
        <w:tc>
          <w:tcPr>
            <w:tcW w:w="1178" w:type="pct"/>
            <w:tcBorders>
              <w:top w:val="single" w:sz="12" w:space="0" w:color="auto"/>
              <w:left w:val="nil"/>
              <w:bottom w:val="single" w:sz="4" w:space="0" w:color="auto"/>
              <w:right w:val="nil"/>
            </w:tcBorders>
            <w:shd w:val="clear" w:color="auto" w:fill="auto"/>
          </w:tcPr>
          <w:p w:rsidR="007A7A39" w:rsidRPr="00E106BD" w:rsidRDefault="007A7A39" w:rsidP="004E4760">
            <w:pPr>
              <w:pStyle w:val="ENoteTableText"/>
            </w:pPr>
            <w:r w:rsidRPr="00E106BD">
              <w:t>29 Nov 2010 (F2010L03140)</w:t>
            </w:r>
          </w:p>
        </w:tc>
        <w:tc>
          <w:tcPr>
            <w:tcW w:w="1177" w:type="pct"/>
            <w:tcBorders>
              <w:top w:val="single" w:sz="12" w:space="0" w:color="auto"/>
              <w:left w:val="nil"/>
              <w:bottom w:val="single" w:sz="4" w:space="0" w:color="auto"/>
              <w:right w:val="nil"/>
            </w:tcBorders>
            <w:shd w:val="clear" w:color="auto" w:fill="auto"/>
          </w:tcPr>
          <w:p w:rsidR="007A7A39" w:rsidRPr="00E106BD" w:rsidRDefault="007A7A39" w:rsidP="004E4760">
            <w:pPr>
              <w:pStyle w:val="ENoteTableText"/>
            </w:pPr>
            <w:r w:rsidRPr="00E106BD">
              <w:t>1 Dec 2010</w:t>
            </w:r>
            <w:r w:rsidR="003E025B" w:rsidRPr="00E106BD">
              <w:t xml:space="preserve"> (s 2)</w:t>
            </w:r>
          </w:p>
        </w:tc>
        <w:tc>
          <w:tcPr>
            <w:tcW w:w="1175" w:type="pct"/>
            <w:tcBorders>
              <w:top w:val="single" w:sz="12" w:space="0" w:color="auto"/>
              <w:left w:val="nil"/>
              <w:bottom w:val="single" w:sz="4" w:space="0" w:color="auto"/>
            </w:tcBorders>
            <w:shd w:val="clear" w:color="auto" w:fill="auto"/>
          </w:tcPr>
          <w:p w:rsidR="007A7A39" w:rsidRPr="00E106BD" w:rsidRDefault="007A7A39" w:rsidP="004E4760">
            <w:pPr>
              <w:pStyle w:val="ENoteTableText"/>
            </w:pP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122 of 2010</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17 Dec 2010 (F2010L03308)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Jan 2010</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2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31 Jan 2011 (F2011L00168)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Feb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16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28 Feb 2011 (F2011L00316)</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Mar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28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31 Mar 2011 (F2011L00546)</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Apr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34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27 Apr 2011 (F2011L00643)</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May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38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31</w:t>
            </w:r>
            <w:r w:rsidR="00E106BD">
              <w:t> </w:t>
            </w:r>
            <w:r w:rsidRPr="00E106BD">
              <w:t>May 2011 (F2011L00893)</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June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46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24</w:t>
            </w:r>
            <w:r w:rsidR="00E106BD">
              <w:t> </w:t>
            </w:r>
            <w:r w:rsidRPr="00E106BD">
              <w:t>June 2011 (F2011L01221)</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July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53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27</w:t>
            </w:r>
            <w:r w:rsidR="00E106BD">
              <w:t> </w:t>
            </w:r>
            <w:r w:rsidRPr="00E106BD">
              <w:t>July 2011 (F2011L01543)</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Aug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62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31 Aug 2011 (F2011L01777)</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Sept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69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28 Sept 2011 (F2011L01978)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Oct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76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26 Oct 2011 (F2011L02130)</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Nov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86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 Nov 2011 (F2011L02501)</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Dec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99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15 Dec 2011 (F2011L02694)</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Jan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5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23 Feb 2012 (F2012L00380)</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Mar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20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29 Mar 2012 (F2012L00716)</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Apr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31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 Apr 2012 (F2012L00952)</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May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35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w:t>
            </w:r>
            <w:r w:rsidR="00E106BD">
              <w:t> </w:t>
            </w:r>
            <w:r w:rsidRPr="00E106BD">
              <w:t>May 2012 (F2012L01122)</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June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39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29</w:t>
            </w:r>
            <w:r w:rsidR="00E106BD">
              <w:t> </w:t>
            </w:r>
            <w:r w:rsidRPr="00E106BD">
              <w:t>June 2012 (F2012L01458)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July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bookmarkStart w:id="296" w:name="CU_21952186"/>
            <w:bookmarkEnd w:id="296"/>
            <w:r w:rsidRPr="00E106BD">
              <w:t>PB 47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26</w:t>
            </w:r>
            <w:r w:rsidR="00E106BD">
              <w:t> </w:t>
            </w:r>
            <w:r w:rsidRPr="00E106BD">
              <w:t>July 2012 (F2012L01615)</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Aug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64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29 Aug 2012 (F2012L01783)</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Sept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76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28 Sept 2012 (F2012L01971)</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rPr>
                <w:b/>
              </w:rPr>
            </w:pPr>
            <w:r w:rsidRPr="00E106BD">
              <w:t>1 Oct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96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 Oct 2012 (F2012L02107)</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30 Oct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106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29 Nov 2012 (F2012L02286)</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Dec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110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17 Dec 2012 (F2012L02508)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Jan 2013</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10 of 2013</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21 Feb 2013 (F2013L00245)</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Mar 2013</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16 of 2013</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27 Mar 2013 (F2013L00562)</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Apr 2013</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30 of 2013</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w:t>
            </w:r>
            <w:r w:rsidR="00E106BD">
              <w:t> </w:t>
            </w:r>
            <w:r w:rsidRPr="00E106BD">
              <w:t>May 2013 (F2013L00874)</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June 2013</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right w:val="nil"/>
            </w:tcBorders>
            <w:shd w:val="clear" w:color="auto" w:fill="auto"/>
          </w:tcPr>
          <w:p w:rsidR="007A7A39" w:rsidRPr="00E106BD" w:rsidRDefault="007A7A39" w:rsidP="004E4760">
            <w:pPr>
              <w:pStyle w:val="ENoteTableText"/>
            </w:pPr>
            <w:r w:rsidRPr="00E106BD">
              <w:t>PB 42 of 2013</w:t>
            </w:r>
          </w:p>
        </w:tc>
        <w:tc>
          <w:tcPr>
            <w:tcW w:w="1178" w:type="pct"/>
            <w:tcBorders>
              <w:left w:val="nil"/>
              <w:right w:val="nil"/>
            </w:tcBorders>
            <w:shd w:val="clear" w:color="auto" w:fill="auto"/>
          </w:tcPr>
          <w:p w:rsidR="007A7A39" w:rsidRPr="00E106BD" w:rsidRDefault="007A7A39" w:rsidP="004E4760">
            <w:pPr>
              <w:pStyle w:val="ENoteTableText"/>
            </w:pPr>
            <w:r w:rsidRPr="00E106BD">
              <w:t>31</w:t>
            </w:r>
            <w:r w:rsidR="00E106BD">
              <w:t> </w:t>
            </w:r>
            <w:r w:rsidRPr="00E106BD">
              <w:t>July 2013 (F2013L01483)</w:t>
            </w:r>
          </w:p>
        </w:tc>
        <w:tc>
          <w:tcPr>
            <w:tcW w:w="1177" w:type="pct"/>
            <w:tcBorders>
              <w:left w:val="nil"/>
              <w:right w:val="nil"/>
            </w:tcBorders>
            <w:shd w:val="clear" w:color="auto" w:fill="auto"/>
          </w:tcPr>
          <w:p w:rsidR="007A7A39" w:rsidRPr="00E106BD" w:rsidRDefault="007A7A39" w:rsidP="004E4760">
            <w:pPr>
              <w:pStyle w:val="ENoteTableText"/>
            </w:pPr>
            <w:r w:rsidRPr="00E106BD">
              <w:t>1 Aug 2013</w:t>
            </w:r>
            <w:r w:rsidR="003E025B" w:rsidRPr="00E106BD">
              <w:t xml:space="preserve"> (s 2)</w:t>
            </w:r>
          </w:p>
        </w:tc>
        <w:tc>
          <w:tcPr>
            <w:tcW w:w="1175" w:type="pct"/>
            <w:tcBorders>
              <w:left w:val="nil"/>
            </w:tcBorders>
            <w:shd w:val="clear" w:color="auto" w:fill="auto"/>
          </w:tcPr>
          <w:p w:rsidR="007A7A39" w:rsidRPr="00E106BD" w:rsidRDefault="007A7A39" w:rsidP="004E4760">
            <w:pPr>
              <w:pStyle w:val="ENoteTableText"/>
            </w:pPr>
            <w:r w:rsidRPr="00E106BD">
              <w:t>—</w:t>
            </w:r>
          </w:p>
        </w:tc>
      </w:tr>
      <w:tr w:rsidR="008E5759" w:rsidRPr="00E106BD" w:rsidTr="00B807DA">
        <w:trPr>
          <w:cantSplit/>
        </w:trPr>
        <w:tc>
          <w:tcPr>
            <w:tcW w:w="1470" w:type="pct"/>
            <w:tcBorders>
              <w:right w:val="nil"/>
            </w:tcBorders>
            <w:shd w:val="clear" w:color="auto" w:fill="auto"/>
          </w:tcPr>
          <w:p w:rsidR="008E5759" w:rsidRPr="00E106BD" w:rsidRDefault="008E5759" w:rsidP="004E4760">
            <w:pPr>
              <w:pStyle w:val="ENoteTableText"/>
            </w:pPr>
            <w:r w:rsidRPr="00E106BD">
              <w:t>PB 56 of 2013</w:t>
            </w:r>
          </w:p>
        </w:tc>
        <w:tc>
          <w:tcPr>
            <w:tcW w:w="1178" w:type="pct"/>
            <w:tcBorders>
              <w:left w:val="nil"/>
              <w:right w:val="nil"/>
            </w:tcBorders>
            <w:shd w:val="clear" w:color="auto" w:fill="auto"/>
          </w:tcPr>
          <w:p w:rsidR="008E5759" w:rsidRPr="00E106BD" w:rsidRDefault="008E5759" w:rsidP="004E4760">
            <w:pPr>
              <w:pStyle w:val="ENoteTableText"/>
            </w:pPr>
            <w:r w:rsidRPr="00E106BD">
              <w:t>27 Aug 2013 (F2013L01630)</w:t>
            </w:r>
          </w:p>
        </w:tc>
        <w:tc>
          <w:tcPr>
            <w:tcW w:w="1177" w:type="pct"/>
            <w:tcBorders>
              <w:left w:val="nil"/>
              <w:right w:val="nil"/>
            </w:tcBorders>
            <w:shd w:val="clear" w:color="auto" w:fill="auto"/>
          </w:tcPr>
          <w:p w:rsidR="008E5759" w:rsidRPr="00E106BD" w:rsidRDefault="008E5759" w:rsidP="004E4760">
            <w:pPr>
              <w:pStyle w:val="ENoteTableText"/>
            </w:pPr>
            <w:r w:rsidRPr="00E106BD">
              <w:t>1 Sept 2013</w:t>
            </w:r>
            <w:r w:rsidR="003E025B" w:rsidRPr="00E106BD">
              <w:t xml:space="preserve"> (s 2)</w:t>
            </w:r>
          </w:p>
        </w:tc>
        <w:tc>
          <w:tcPr>
            <w:tcW w:w="1175" w:type="pct"/>
            <w:tcBorders>
              <w:left w:val="nil"/>
            </w:tcBorders>
            <w:shd w:val="clear" w:color="auto" w:fill="auto"/>
          </w:tcPr>
          <w:p w:rsidR="008E5759" w:rsidRPr="00E106BD" w:rsidRDefault="008E5759" w:rsidP="004E4760">
            <w:pPr>
              <w:pStyle w:val="ENoteTableText"/>
            </w:pPr>
            <w:r w:rsidRPr="00E106BD">
              <w:t>—</w:t>
            </w:r>
          </w:p>
        </w:tc>
      </w:tr>
      <w:tr w:rsidR="008E4AB5" w:rsidRPr="00E106BD" w:rsidTr="00B807DA">
        <w:trPr>
          <w:cantSplit/>
        </w:trPr>
        <w:tc>
          <w:tcPr>
            <w:tcW w:w="1470" w:type="pct"/>
            <w:tcBorders>
              <w:right w:val="nil"/>
            </w:tcBorders>
            <w:shd w:val="clear" w:color="auto" w:fill="auto"/>
          </w:tcPr>
          <w:p w:rsidR="008E4AB5" w:rsidRPr="00E106BD" w:rsidRDefault="008E4AB5" w:rsidP="004E4760">
            <w:pPr>
              <w:pStyle w:val="ENoteTableText"/>
            </w:pPr>
            <w:r w:rsidRPr="00E106BD">
              <w:t>PB 63 of 2013</w:t>
            </w:r>
          </w:p>
        </w:tc>
        <w:tc>
          <w:tcPr>
            <w:tcW w:w="1178" w:type="pct"/>
            <w:tcBorders>
              <w:left w:val="nil"/>
              <w:right w:val="nil"/>
            </w:tcBorders>
            <w:shd w:val="clear" w:color="auto" w:fill="auto"/>
          </w:tcPr>
          <w:p w:rsidR="008E4AB5" w:rsidRPr="00E106BD" w:rsidRDefault="008E4AB5" w:rsidP="004E4760">
            <w:pPr>
              <w:pStyle w:val="ENoteTableText"/>
            </w:pPr>
            <w:r w:rsidRPr="00E106BD">
              <w:t>24 Sept 2013 (F2013L01736)</w:t>
            </w:r>
          </w:p>
        </w:tc>
        <w:tc>
          <w:tcPr>
            <w:tcW w:w="1177" w:type="pct"/>
            <w:tcBorders>
              <w:left w:val="nil"/>
              <w:right w:val="nil"/>
            </w:tcBorders>
            <w:shd w:val="clear" w:color="auto" w:fill="auto"/>
          </w:tcPr>
          <w:p w:rsidR="008E4AB5" w:rsidRPr="00E106BD" w:rsidRDefault="008E4AB5" w:rsidP="004E4760">
            <w:pPr>
              <w:pStyle w:val="ENoteTableText"/>
            </w:pPr>
            <w:r w:rsidRPr="00E106BD">
              <w:t>1 Oct 2013</w:t>
            </w:r>
            <w:r w:rsidR="003E025B" w:rsidRPr="00E106BD">
              <w:t xml:space="preserve"> (s 2)</w:t>
            </w:r>
          </w:p>
        </w:tc>
        <w:tc>
          <w:tcPr>
            <w:tcW w:w="1175" w:type="pct"/>
            <w:tcBorders>
              <w:left w:val="nil"/>
            </w:tcBorders>
            <w:shd w:val="clear" w:color="auto" w:fill="auto"/>
          </w:tcPr>
          <w:p w:rsidR="008E4AB5" w:rsidRPr="00E106BD" w:rsidRDefault="008E4AB5" w:rsidP="004E4760">
            <w:pPr>
              <w:pStyle w:val="ENoteTableText"/>
            </w:pPr>
            <w:r w:rsidRPr="00E106BD">
              <w:t>—</w:t>
            </w:r>
          </w:p>
        </w:tc>
      </w:tr>
      <w:tr w:rsidR="00F6081A" w:rsidRPr="00E106BD" w:rsidTr="00B807DA">
        <w:trPr>
          <w:cantSplit/>
        </w:trPr>
        <w:tc>
          <w:tcPr>
            <w:tcW w:w="1470" w:type="pct"/>
            <w:tcBorders>
              <w:right w:val="nil"/>
            </w:tcBorders>
            <w:shd w:val="clear" w:color="auto" w:fill="auto"/>
          </w:tcPr>
          <w:p w:rsidR="00F6081A" w:rsidRPr="00E106BD" w:rsidRDefault="00F6081A" w:rsidP="004E4760">
            <w:pPr>
              <w:pStyle w:val="ENoteTableText"/>
            </w:pPr>
            <w:r w:rsidRPr="00E106BD">
              <w:t>PB 70 of 2013</w:t>
            </w:r>
          </w:p>
        </w:tc>
        <w:tc>
          <w:tcPr>
            <w:tcW w:w="1178" w:type="pct"/>
            <w:tcBorders>
              <w:left w:val="nil"/>
              <w:right w:val="nil"/>
            </w:tcBorders>
            <w:shd w:val="clear" w:color="auto" w:fill="auto"/>
          </w:tcPr>
          <w:p w:rsidR="00F6081A" w:rsidRPr="00E106BD" w:rsidRDefault="00F6081A" w:rsidP="004E4760">
            <w:pPr>
              <w:pStyle w:val="ENoteTableText"/>
            </w:pPr>
            <w:r w:rsidRPr="00E106BD">
              <w:t>18 Oct 2013 (F2013L01812)</w:t>
            </w:r>
          </w:p>
        </w:tc>
        <w:tc>
          <w:tcPr>
            <w:tcW w:w="1177" w:type="pct"/>
            <w:tcBorders>
              <w:left w:val="nil"/>
              <w:right w:val="nil"/>
            </w:tcBorders>
            <w:shd w:val="clear" w:color="auto" w:fill="auto"/>
          </w:tcPr>
          <w:p w:rsidR="00F6081A" w:rsidRPr="00E106BD" w:rsidRDefault="00F6081A" w:rsidP="004E4760">
            <w:pPr>
              <w:pStyle w:val="ENoteTableText"/>
            </w:pPr>
            <w:r w:rsidRPr="00E106BD">
              <w:t>1 Nov 2013</w:t>
            </w:r>
            <w:r w:rsidR="003E025B" w:rsidRPr="00E106BD">
              <w:t xml:space="preserve"> (s 2)</w:t>
            </w:r>
          </w:p>
        </w:tc>
        <w:tc>
          <w:tcPr>
            <w:tcW w:w="1175" w:type="pct"/>
            <w:tcBorders>
              <w:left w:val="nil"/>
            </w:tcBorders>
            <w:shd w:val="clear" w:color="auto" w:fill="auto"/>
          </w:tcPr>
          <w:p w:rsidR="00F6081A" w:rsidRPr="00E106BD" w:rsidRDefault="00F6081A" w:rsidP="004E4760">
            <w:pPr>
              <w:pStyle w:val="ENoteTableText"/>
            </w:pPr>
            <w:r w:rsidRPr="00E106BD">
              <w:t>—</w:t>
            </w:r>
          </w:p>
        </w:tc>
      </w:tr>
      <w:tr w:rsidR="00FE7452" w:rsidRPr="00E106BD" w:rsidTr="00B807DA">
        <w:trPr>
          <w:cantSplit/>
        </w:trPr>
        <w:tc>
          <w:tcPr>
            <w:tcW w:w="1470" w:type="pct"/>
            <w:tcBorders>
              <w:right w:val="nil"/>
            </w:tcBorders>
            <w:shd w:val="clear" w:color="auto" w:fill="auto"/>
          </w:tcPr>
          <w:p w:rsidR="00FE7452" w:rsidRPr="00E106BD" w:rsidRDefault="00FE7452" w:rsidP="004E4760">
            <w:pPr>
              <w:pStyle w:val="ENoteTableText"/>
            </w:pPr>
            <w:r w:rsidRPr="00E106BD">
              <w:t>PB 78 of 2013</w:t>
            </w:r>
          </w:p>
        </w:tc>
        <w:tc>
          <w:tcPr>
            <w:tcW w:w="1178" w:type="pct"/>
            <w:tcBorders>
              <w:left w:val="nil"/>
              <w:right w:val="nil"/>
            </w:tcBorders>
            <w:shd w:val="clear" w:color="auto" w:fill="auto"/>
          </w:tcPr>
          <w:p w:rsidR="00FE7452" w:rsidRPr="00E106BD" w:rsidRDefault="00FE7452" w:rsidP="004E4760">
            <w:pPr>
              <w:pStyle w:val="ENoteTableText"/>
            </w:pPr>
            <w:r w:rsidRPr="00E106BD">
              <w:t>29 Nov 2013 (F2013L</w:t>
            </w:r>
            <w:r w:rsidR="00614CFD" w:rsidRPr="00E106BD">
              <w:t>02011</w:t>
            </w:r>
            <w:r w:rsidRPr="00E106BD">
              <w:t>)</w:t>
            </w:r>
          </w:p>
        </w:tc>
        <w:tc>
          <w:tcPr>
            <w:tcW w:w="1177" w:type="pct"/>
            <w:tcBorders>
              <w:left w:val="nil"/>
              <w:right w:val="nil"/>
            </w:tcBorders>
            <w:shd w:val="clear" w:color="auto" w:fill="auto"/>
          </w:tcPr>
          <w:p w:rsidR="00FE7452" w:rsidRPr="00E106BD" w:rsidRDefault="00FE7452" w:rsidP="004E4760">
            <w:pPr>
              <w:pStyle w:val="ENoteTableText"/>
            </w:pPr>
            <w:r w:rsidRPr="00E106BD">
              <w:t>1 Dec 2013</w:t>
            </w:r>
            <w:r w:rsidR="003E025B" w:rsidRPr="00E106BD">
              <w:t xml:space="preserve"> (s 2)</w:t>
            </w:r>
          </w:p>
        </w:tc>
        <w:tc>
          <w:tcPr>
            <w:tcW w:w="1175" w:type="pct"/>
            <w:tcBorders>
              <w:left w:val="nil"/>
            </w:tcBorders>
            <w:shd w:val="clear" w:color="auto" w:fill="auto"/>
          </w:tcPr>
          <w:p w:rsidR="00FE7452" w:rsidRPr="00E106BD" w:rsidRDefault="00FE7452" w:rsidP="004E4760">
            <w:pPr>
              <w:pStyle w:val="ENoteTableText"/>
            </w:pPr>
            <w:r w:rsidRPr="00E106BD">
              <w:t>—</w:t>
            </w:r>
          </w:p>
        </w:tc>
      </w:tr>
      <w:tr w:rsidR="005A415C" w:rsidRPr="00E106BD" w:rsidTr="00B807DA">
        <w:trPr>
          <w:cantSplit/>
        </w:trPr>
        <w:tc>
          <w:tcPr>
            <w:tcW w:w="1470" w:type="pct"/>
            <w:tcBorders>
              <w:right w:val="nil"/>
            </w:tcBorders>
            <w:shd w:val="clear" w:color="auto" w:fill="auto"/>
          </w:tcPr>
          <w:p w:rsidR="005A415C" w:rsidRPr="00E106BD" w:rsidRDefault="005A415C" w:rsidP="004E4760">
            <w:pPr>
              <w:pStyle w:val="ENoteTableText"/>
            </w:pPr>
            <w:r w:rsidRPr="00E106BD">
              <w:t>PB 92 of 2013</w:t>
            </w:r>
          </w:p>
        </w:tc>
        <w:tc>
          <w:tcPr>
            <w:tcW w:w="1178" w:type="pct"/>
            <w:tcBorders>
              <w:left w:val="nil"/>
              <w:right w:val="nil"/>
            </w:tcBorders>
            <w:shd w:val="clear" w:color="auto" w:fill="auto"/>
          </w:tcPr>
          <w:p w:rsidR="005A415C" w:rsidRPr="00E106BD" w:rsidRDefault="005A415C" w:rsidP="004E4760">
            <w:pPr>
              <w:pStyle w:val="ENoteTableText"/>
            </w:pPr>
            <w:r w:rsidRPr="00E106BD">
              <w:t>24 Dec 2013 (F2013L02191)</w:t>
            </w:r>
          </w:p>
        </w:tc>
        <w:tc>
          <w:tcPr>
            <w:tcW w:w="1177" w:type="pct"/>
            <w:tcBorders>
              <w:left w:val="nil"/>
              <w:right w:val="nil"/>
            </w:tcBorders>
            <w:shd w:val="clear" w:color="auto" w:fill="auto"/>
          </w:tcPr>
          <w:p w:rsidR="005A415C" w:rsidRPr="00E106BD" w:rsidRDefault="005A415C" w:rsidP="004E4760">
            <w:pPr>
              <w:pStyle w:val="ENoteTableText"/>
            </w:pPr>
            <w:r w:rsidRPr="00E106BD">
              <w:t>1 Jan 2014</w:t>
            </w:r>
            <w:r w:rsidR="003E025B" w:rsidRPr="00E106BD">
              <w:t xml:space="preserve"> (s 2)</w:t>
            </w:r>
          </w:p>
        </w:tc>
        <w:tc>
          <w:tcPr>
            <w:tcW w:w="1175" w:type="pct"/>
            <w:tcBorders>
              <w:left w:val="nil"/>
            </w:tcBorders>
            <w:shd w:val="clear" w:color="auto" w:fill="auto"/>
          </w:tcPr>
          <w:p w:rsidR="005A415C" w:rsidRPr="00E106BD" w:rsidRDefault="005A415C" w:rsidP="004E4760">
            <w:pPr>
              <w:pStyle w:val="ENoteTableText"/>
            </w:pPr>
            <w:r w:rsidRPr="00E106BD">
              <w:t>—</w:t>
            </w:r>
          </w:p>
        </w:tc>
      </w:tr>
      <w:tr w:rsidR="004E6F86" w:rsidRPr="00E106BD" w:rsidTr="00B807DA">
        <w:trPr>
          <w:cantSplit/>
        </w:trPr>
        <w:tc>
          <w:tcPr>
            <w:tcW w:w="1470" w:type="pct"/>
            <w:tcBorders>
              <w:right w:val="nil"/>
            </w:tcBorders>
            <w:shd w:val="clear" w:color="auto" w:fill="auto"/>
          </w:tcPr>
          <w:p w:rsidR="004E6F86" w:rsidRPr="00E106BD" w:rsidRDefault="004E6F86" w:rsidP="004E4760">
            <w:pPr>
              <w:pStyle w:val="ENoteTableText"/>
            </w:pPr>
            <w:r w:rsidRPr="00E106BD">
              <w:t>PB 4 of 2014</w:t>
            </w:r>
          </w:p>
        </w:tc>
        <w:tc>
          <w:tcPr>
            <w:tcW w:w="1178" w:type="pct"/>
            <w:tcBorders>
              <w:left w:val="nil"/>
              <w:right w:val="nil"/>
            </w:tcBorders>
            <w:shd w:val="clear" w:color="auto" w:fill="auto"/>
          </w:tcPr>
          <w:p w:rsidR="004E6F86" w:rsidRPr="00E106BD" w:rsidRDefault="004E6F86" w:rsidP="004E4760">
            <w:pPr>
              <w:pStyle w:val="ENoteTableText"/>
            </w:pPr>
            <w:r w:rsidRPr="00E106BD">
              <w:t>28 Jan 2014 (F2014L00098)</w:t>
            </w:r>
          </w:p>
        </w:tc>
        <w:tc>
          <w:tcPr>
            <w:tcW w:w="1177" w:type="pct"/>
            <w:tcBorders>
              <w:left w:val="nil"/>
              <w:right w:val="nil"/>
            </w:tcBorders>
            <w:shd w:val="clear" w:color="auto" w:fill="auto"/>
          </w:tcPr>
          <w:p w:rsidR="004E6F86" w:rsidRPr="00E106BD" w:rsidRDefault="004E6F86" w:rsidP="004E4760">
            <w:pPr>
              <w:pStyle w:val="ENoteTableText"/>
            </w:pPr>
            <w:r w:rsidRPr="00E106BD">
              <w:t>1 Feb 2014</w:t>
            </w:r>
            <w:r w:rsidR="003E025B" w:rsidRPr="00E106BD">
              <w:t xml:space="preserve"> (s 2)</w:t>
            </w:r>
          </w:p>
        </w:tc>
        <w:tc>
          <w:tcPr>
            <w:tcW w:w="1175" w:type="pct"/>
            <w:tcBorders>
              <w:left w:val="nil"/>
            </w:tcBorders>
            <w:shd w:val="clear" w:color="auto" w:fill="auto"/>
          </w:tcPr>
          <w:p w:rsidR="004E6F86" w:rsidRPr="00E106BD" w:rsidRDefault="004E6F86" w:rsidP="004E4760">
            <w:pPr>
              <w:pStyle w:val="ENoteTableText"/>
            </w:pPr>
            <w:r w:rsidRPr="00E106BD">
              <w:t>—</w:t>
            </w:r>
          </w:p>
        </w:tc>
      </w:tr>
      <w:tr w:rsidR="00D1237A" w:rsidRPr="00E106BD" w:rsidTr="00B807DA">
        <w:trPr>
          <w:cantSplit/>
        </w:trPr>
        <w:tc>
          <w:tcPr>
            <w:tcW w:w="1470" w:type="pct"/>
            <w:tcBorders>
              <w:right w:val="nil"/>
            </w:tcBorders>
            <w:shd w:val="clear" w:color="auto" w:fill="auto"/>
          </w:tcPr>
          <w:p w:rsidR="00D1237A" w:rsidRPr="00E106BD" w:rsidRDefault="00D1237A" w:rsidP="004E4760">
            <w:pPr>
              <w:pStyle w:val="ENoteTableText"/>
            </w:pPr>
            <w:r w:rsidRPr="00E106BD">
              <w:t>PB 11 of 2014</w:t>
            </w:r>
          </w:p>
        </w:tc>
        <w:tc>
          <w:tcPr>
            <w:tcW w:w="1178" w:type="pct"/>
            <w:tcBorders>
              <w:left w:val="nil"/>
              <w:right w:val="nil"/>
            </w:tcBorders>
            <w:shd w:val="clear" w:color="auto" w:fill="auto"/>
          </w:tcPr>
          <w:p w:rsidR="00D1237A" w:rsidRPr="00E106BD" w:rsidRDefault="00D1237A" w:rsidP="004E4760">
            <w:pPr>
              <w:pStyle w:val="ENoteTableText"/>
            </w:pPr>
            <w:r w:rsidRPr="00E106BD">
              <w:t>25 Feb 2014 (F2014L00183)</w:t>
            </w:r>
          </w:p>
        </w:tc>
        <w:tc>
          <w:tcPr>
            <w:tcW w:w="1177" w:type="pct"/>
            <w:tcBorders>
              <w:left w:val="nil"/>
              <w:right w:val="nil"/>
            </w:tcBorders>
            <w:shd w:val="clear" w:color="auto" w:fill="auto"/>
          </w:tcPr>
          <w:p w:rsidR="00D1237A" w:rsidRPr="00E106BD" w:rsidRDefault="00D1237A" w:rsidP="004E4760">
            <w:pPr>
              <w:pStyle w:val="ENoteTableText"/>
            </w:pPr>
            <w:r w:rsidRPr="00E106BD">
              <w:t>1 Mar 2014</w:t>
            </w:r>
            <w:r w:rsidR="003E025B" w:rsidRPr="00E106BD">
              <w:t xml:space="preserve"> (s 2)</w:t>
            </w:r>
          </w:p>
        </w:tc>
        <w:tc>
          <w:tcPr>
            <w:tcW w:w="1175" w:type="pct"/>
            <w:tcBorders>
              <w:left w:val="nil"/>
            </w:tcBorders>
            <w:shd w:val="clear" w:color="auto" w:fill="auto"/>
          </w:tcPr>
          <w:p w:rsidR="00D1237A" w:rsidRPr="00E106BD" w:rsidRDefault="00D1237A" w:rsidP="004E4760">
            <w:pPr>
              <w:pStyle w:val="ENoteTableText"/>
            </w:pPr>
            <w:r w:rsidRPr="00E106BD">
              <w:t>—</w:t>
            </w:r>
          </w:p>
        </w:tc>
      </w:tr>
      <w:tr w:rsidR="009508BA" w:rsidRPr="00E106BD" w:rsidTr="00B807DA">
        <w:trPr>
          <w:cantSplit/>
        </w:trPr>
        <w:tc>
          <w:tcPr>
            <w:tcW w:w="1470" w:type="pct"/>
            <w:tcBorders>
              <w:right w:val="nil"/>
            </w:tcBorders>
            <w:shd w:val="clear" w:color="auto" w:fill="auto"/>
          </w:tcPr>
          <w:p w:rsidR="009508BA" w:rsidRPr="00E106BD" w:rsidRDefault="009508BA" w:rsidP="004E4760">
            <w:pPr>
              <w:pStyle w:val="ENoteTableText"/>
            </w:pPr>
            <w:r w:rsidRPr="00E106BD">
              <w:t>PB 20 of 2014</w:t>
            </w:r>
          </w:p>
        </w:tc>
        <w:tc>
          <w:tcPr>
            <w:tcW w:w="1178" w:type="pct"/>
            <w:tcBorders>
              <w:left w:val="nil"/>
              <w:right w:val="nil"/>
            </w:tcBorders>
            <w:shd w:val="clear" w:color="auto" w:fill="auto"/>
          </w:tcPr>
          <w:p w:rsidR="009508BA" w:rsidRPr="00E106BD" w:rsidRDefault="009508BA" w:rsidP="004E4760">
            <w:pPr>
              <w:pStyle w:val="ENoteTableText"/>
            </w:pPr>
            <w:r w:rsidRPr="00E106BD">
              <w:t>31 Mar 2014 (F2014L00372</w:t>
            </w:r>
          </w:p>
        </w:tc>
        <w:tc>
          <w:tcPr>
            <w:tcW w:w="1177" w:type="pct"/>
            <w:tcBorders>
              <w:left w:val="nil"/>
              <w:right w:val="nil"/>
            </w:tcBorders>
            <w:shd w:val="clear" w:color="auto" w:fill="auto"/>
          </w:tcPr>
          <w:p w:rsidR="009508BA" w:rsidRPr="00E106BD" w:rsidRDefault="009508BA" w:rsidP="004E4760">
            <w:pPr>
              <w:pStyle w:val="ENoteTableText"/>
            </w:pPr>
            <w:r w:rsidRPr="00E106BD">
              <w:t>1 Apr 2014</w:t>
            </w:r>
            <w:r w:rsidR="003E025B" w:rsidRPr="00E106BD">
              <w:t xml:space="preserve"> (s 2)</w:t>
            </w:r>
          </w:p>
        </w:tc>
        <w:tc>
          <w:tcPr>
            <w:tcW w:w="1175" w:type="pct"/>
            <w:tcBorders>
              <w:left w:val="nil"/>
            </w:tcBorders>
            <w:shd w:val="clear" w:color="auto" w:fill="auto"/>
          </w:tcPr>
          <w:p w:rsidR="009508BA" w:rsidRPr="00E106BD" w:rsidRDefault="009508BA" w:rsidP="004E4760">
            <w:pPr>
              <w:pStyle w:val="ENoteTableText"/>
            </w:pPr>
            <w:r w:rsidRPr="00E106BD">
              <w:t>—</w:t>
            </w:r>
          </w:p>
        </w:tc>
      </w:tr>
      <w:tr w:rsidR="00FC04B1" w:rsidRPr="00E106BD" w:rsidTr="00B807DA">
        <w:trPr>
          <w:cantSplit/>
        </w:trPr>
        <w:tc>
          <w:tcPr>
            <w:tcW w:w="1470" w:type="pct"/>
            <w:tcBorders>
              <w:right w:val="nil"/>
            </w:tcBorders>
            <w:shd w:val="clear" w:color="auto" w:fill="auto"/>
          </w:tcPr>
          <w:p w:rsidR="00FC04B1" w:rsidRPr="00E106BD" w:rsidRDefault="00FC04B1" w:rsidP="004E4760">
            <w:pPr>
              <w:pStyle w:val="ENoteTableText"/>
            </w:pPr>
            <w:r w:rsidRPr="00E106BD">
              <w:t>PB 30 of 2014</w:t>
            </w:r>
          </w:p>
        </w:tc>
        <w:tc>
          <w:tcPr>
            <w:tcW w:w="1178" w:type="pct"/>
            <w:tcBorders>
              <w:left w:val="nil"/>
              <w:right w:val="nil"/>
            </w:tcBorders>
            <w:shd w:val="clear" w:color="auto" w:fill="auto"/>
          </w:tcPr>
          <w:p w:rsidR="00FC04B1" w:rsidRPr="00E106BD" w:rsidRDefault="00FC04B1" w:rsidP="004E4760">
            <w:pPr>
              <w:pStyle w:val="ENoteTableText"/>
            </w:pPr>
            <w:r w:rsidRPr="00E106BD">
              <w:t>29 Apr 2014 (F2014L00449)</w:t>
            </w:r>
          </w:p>
        </w:tc>
        <w:tc>
          <w:tcPr>
            <w:tcW w:w="1177" w:type="pct"/>
            <w:tcBorders>
              <w:left w:val="nil"/>
              <w:right w:val="nil"/>
            </w:tcBorders>
            <w:shd w:val="clear" w:color="auto" w:fill="auto"/>
          </w:tcPr>
          <w:p w:rsidR="00FC04B1" w:rsidRPr="00E106BD" w:rsidRDefault="00FC04B1" w:rsidP="004E4760">
            <w:pPr>
              <w:pStyle w:val="ENoteTableText"/>
            </w:pPr>
            <w:r w:rsidRPr="00E106BD">
              <w:t>1</w:t>
            </w:r>
            <w:r w:rsidR="00E106BD">
              <w:t> </w:t>
            </w:r>
            <w:r w:rsidRPr="00E106BD">
              <w:t>May 2014</w:t>
            </w:r>
            <w:r w:rsidR="003E025B" w:rsidRPr="00E106BD">
              <w:t xml:space="preserve"> (s 2)</w:t>
            </w:r>
          </w:p>
        </w:tc>
        <w:tc>
          <w:tcPr>
            <w:tcW w:w="1175" w:type="pct"/>
            <w:tcBorders>
              <w:left w:val="nil"/>
            </w:tcBorders>
            <w:shd w:val="clear" w:color="auto" w:fill="auto"/>
          </w:tcPr>
          <w:p w:rsidR="00FC04B1" w:rsidRPr="00E106BD" w:rsidRDefault="00FC04B1" w:rsidP="004E4760">
            <w:pPr>
              <w:pStyle w:val="ENoteTableText"/>
            </w:pPr>
            <w:r w:rsidRPr="00E106BD">
              <w:t>—</w:t>
            </w:r>
          </w:p>
        </w:tc>
      </w:tr>
      <w:tr w:rsidR="00F20307" w:rsidRPr="00E106BD" w:rsidTr="00B807DA">
        <w:trPr>
          <w:cantSplit/>
        </w:trPr>
        <w:tc>
          <w:tcPr>
            <w:tcW w:w="1470" w:type="pct"/>
            <w:tcBorders>
              <w:right w:val="nil"/>
            </w:tcBorders>
            <w:shd w:val="clear" w:color="auto" w:fill="auto"/>
          </w:tcPr>
          <w:p w:rsidR="00F20307" w:rsidRPr="00E106BD" w:rsidRDefault="00F20307" w:rsidP="004E4760">
            <w:pPr>
              <w:pStyle w:val="ENoteTableText"/>
            </w:pPr>
            <w:r w:rsidRPr="00E106BD">
              <w:t>PB 40 of 2014</w:t>
            </w:r>
          </w:p>
        </w:tc>
        <w:tc>
          <w:tcPr>
            <w:tcW w:w="1178" w:type="pct"/>
            <w:tcBorders>
              <w:left w:val="nil"/>
              <w:right w:val="nil"/>
            </w:tcBorders>
            <w:shd w:val="clear" w:color="auto" w:fill="auto"/>
          </w:tcPr>
          <w:p w:rsidR="00F20307" w:rsidRPr="00E106BD" w:rsidRDefault="00F20307" w:rsidP="004E4760">
            <w:pPr>
              <w:pStyle w:val="ENoteTableText"/>
            </w:pPr>
            <w:r w:rsidRPr="00E106BD">
              <w:t>21</w:t>
            </w:r>
            <w:r w:rsidR="00E106BD">
              <w:t> </w:t>
            </w:r>
            <w:r w:rsidRPr="00E106BD">
              <w:t>May 2014 (F2014L00577)</w:t>
            </w:r>
          </w:p>
        </w:tc>
        <w:tc>
          <w:tcPr>
            <w:tcW w:w="1177" w:type="pct"/>
            <w:tcBorders>
              <w:left w:val="nil"/>
              <w:right w:val="nil"/>
            </w:tcBorders>
            <w:shd w:val="clear" w:color="auto" w:fill="auto"/>
          </w:tcPr>
          <w:p w:rsidR="00F20307" w:rsidRPr="00E106BD" w:rsidRDefault="00F20307" w:rsidP="004E4760">
            <w:pPr>
              <w:pStyle w:val="ENoteTableText"/>
            </w:pPr>
            <w:r w:rsidRPr="00E106BD">
              <w:t>1</w:t>
            </w:r>
            <w:r w:rsidR="00E106BD">
              <w:t> </w:t>
            </w:r>
            <w:r w:rsidRPr="00E106BD">
              <w:t>June 2014</w:t>
            </w:r>
            <w:r w:rsidR="003E025B" w:rsidRPr="00E106BD">
              <w:t xml:space="preserve"> (s 2)</w:t>
            </w:r>
          </w:p>
        </w:tc>
        <w:tc>
          <w:tcPr>
            <w:tcW w:w="1175" w:type="pct"/>
            <w:tcBorders>
              <w:left w:val="nil"/>
            </w:tcBorders>
            <w:shd w:val="clear" w:color="auto" w:fill="auto"/>
          </w:tcPr>
          <w:p w:rsidR="00F20307" w:rsidRPr="00E106BD" w:rsidRDefault="00F20307" w:rsidP="004E4760">
            <w:pPr>
              <w:pStyle w:val="ENoteTableText"/>
            </w:pPr>
            <w:r w:rsidRPr="00E106BD">
              <w:t>—</w:t>
            </w:r>
          </w:p>
        </w:tc>
      </w:tr>
      <w:tr w:rsidR="00552D8E" w:rsidRPr="00E106BD" w:rsidTr="00B807DA">
        <w:trPr>
          <w:cantSplit/>
        </w:trPr>
        <w:tc>
          <w:tcPr>
            <w:tcW w:w="1470" w:type="pct"/>
            <w:tcBorders>
              <w:bottom w:val="single" w:sz="4" w:space="0" w:color="auto"/>
              <w:right w:val="nil"/>
            </w:tcBorders>
            <w:shd w:val="clear" w:color="auto" w:fill="auto"/>
          </w:tcPr>
          <w:p w:rsidR="00552D8E" w:rsidRPr="00E106BD" w:rsidRDefault="00552D8E" w:rsidP="004E4760">
            <w:pPr>
              <w:pStyle w:val="ENoteTableText"/>
            </w:pPr>
            <w:r w:rsidRPr="00E106BD">
              <w:t>PB 48 of 2014</w:t>
            </w:r>
          </w:p>
        </w:tc>
        <w:tc>
          <w:tcPr>
            <w:tcW w:w="1178" w:type="pct"/>
            <w:tcBorders>
              <w:left w:val="nil"/>
              <w:bottom w:val="single" w:sz="4" w:space="0" w:color="auto"/>
              <w:right w:val="nil"/>
            </w:tcBorders>
            <w:shd w:val="clear" w:color="auto" w:fill="auto"/>
          </w:tcPr>
          <w:p w:rsidR="00552D8E" w:rsidRPr="00E106BD" w:rsidRDefault="00552D8E" w:rsidP="004E4760">
            <w:pPr>
              <w:pStyle w:val="ENoteTableText"/>
            </w:pPr>
            <w:r w:rsidRPr="00E106BD">
              <w:t>20</w:t>
            </w:r>
            <w:r w:rsidR="00E106BD">
              <w:t> </w:t>
            </w:r>
            <w:r w:rsidRPr="00E106BD">
              <w:t>June 2014 (F2014L00766)</w:t>
            </w:r>
          </w:p>
        </w:tc>
        <w:tc>
          <w:tcPr>
            <w:tcW w:w="1177" w:type="pct"/>
            <w:tcBorders>
              <w:left w:val="nil"/>
              <w:bottom w:val="single" w:sz="4" w:space="0" w:color="auto"/>
              <w:right w:val="nil"/>
            </w:tcBorders>
            <w:shd w:val="clear" w:color="auto" w:fill="auto"/>
          </w:tcPr>
          <w:p w:rsidR="00552D8E" w:rsidRPr="00E106BD" w:rsidRDefault="00552D8E" w:rsidP="004E4760">
            <w:pPr>
              <w:pStyle w:val="ENoteTableText"/>
            </w:pPr>
            <w:r w:rsidRPr="00E106BD">
              <w:t>1</w:t>
            </w:r>
            <w:r w:rsidR="00E106BD">
              <w:t> </w:t>
            </w:r>
            <w:r w:rsidRPr="00E106BD">
              <w:t>July 2014</w:t>
            </w:r>
            <w:r w:rsidR="003E025B" w:rsidRPr="00E106BD">
              <w:t xml:space="preserve"> (s 2)</w:t>
            </w:r>
          </w:p>
        </w:tc>
        <w:tc>
          <w:tcPr>
            <w:tcW w:w="1175" w:type="pct"/>
            <w:tcBorders>
              <w:left w:val="nil"/>
              <w:bottom w:val="single" w:sz="4" w:space="0" w:color="auto"/>
            </w:tcBorders>
            <w:shd w:val="clear" w:color="auto" w:fill="auto"/>
          </w:tcPr>
          <w:p w:rsidR="00552D8E" w:rsidRPr="00E106BD" w:rsidRDefault="00552D8E" w:rsidP="004E4760">
            <w:pPr>
              <w:pStyle w:val="ENoteTableText"/>
            </w:pPr>
            <w:r w:rsidRPr="00E106BD">
              <w:t>—</w:t>
            </w:r>
          </w:p>
        </w:tc>
      </w:tr>
      <w:tr w:rsidR="00AF0B9E" w:rsidRPr="00E106BD" w:rsidTr="00B807DA">
        <w:trPr>
          <w:cantSplit/>
        </w:trPr>
        <w:tc>
          <w:tcPr>
            <w:tcW w:w="1470" w:type="pct"/>
            <w:tcBorders>
              <w:bottom w:val="single" w:sz="4" w:space="0" w:color="auto"/>
              <w:right w:val="nil"/>
            </w:tcBorders>
            <w:shd w:val="clear" w:color="auto" w:fill="auto"/>
          </w:tcPr>
          <w:p w:rsidR="00AF0B9E" w:rsidRPr="00E106BD" w:rsidRDefault="00AF0B9E" w:rsidP="004E4760">
            <w:pPr>
              <w:pStyle w:val="ENoteTableText"/>
            </w:pPr>
            <w:bookmarkStart w:id="297" w:name="CU_42953457"/>
            <w:bookmarkEnd w:id="297"/>
            <w:r w:rsidRPr="00E106BD">
              <w:t>PB 55 of 2014</w:t>
            </w:r>
          </w:p>
        </w:tc>
        <w:tc>
          <w:tcPr>
            <w:tcW w:w="1178" w:type="pct"/>
            <w:tcBorders>
              <w:left w:val="nil"/>
              <w:bottom w:val="single" w:sz="4" w:space="0" w:color="auto"/>
              <w:right w:val="nil"/>
            </w:tcBorders>
            <w:shd w:val="clear" w:color="auto" w:fill="auto"/>
          </w:tcPr>
          <w:p w:rsidR="00AF0B9E" w:rsidRPr="00E106BD" w:rsidRDefault="00AF0B9E" w:rsidP="004E4760">
            <w:pPr>
              <w:pStyle w:val="ENoteTableText"/>
            </w:pPr>
            <w:r w:rsidRPr="00E106BD">
              <w:t>31</w:t>
            </w:r>
            <w:r w:rsidR="00E106BD">
              <w:t> </w:t>
            </w:r>
            <w:r w:rsidRPr="00E106BD">
              <w:t>July 2014 (F2014L01065)</w:t>
            </w:r>
          </w:p>
        </w:tc>
        <w:tc>
          <w:tcPr>
            <w:tcW w:w="1177" w:type="pct"/>
            <w:tcBorders>
              <w:left w:val="nil"/>
              <w:bottom w:val="single" w:sz="4" w:space="0" w:color="auto"/>
              <w:right w:val="nil"/>
            </w:tcBorders>
            <w:shd w:val="clear" w:color="auto" w:fill="auto"/>
          </w:tcPr>
          <w:p w:rsidR="00AF0B9E" w:rsidRPr="00E106BD" w:rsidRDefault="00AF0B9E" w:rsidP="004E4760">
            <w:pPr>
              <w:pStyle w:val="ENoteTableText"/>
            </w:pPr>
            <w:r w:rsidRPr="00E106BD">
              <w:t>1 Aug 2014</w:t>
            </w:r>
            <w:r w:rsidR="003E025B" w:rsidRPr="00E106BD">
              <w:t xml:space="preserve"> (s 2)</w:t>
            </w:r>
          </w:p>
        </w:tc>
        <w:tc>
          <w:tcPr>
            <w:tcW w:w="1175" w:type="pct"/>
            <w:tcBorders>
              <w:left w:val="nil"/>
              <w:bottom w:val="single" w:sz="4" w:space="0" w:color="auto"/>
            </w:tcBorders>
            <w:shd w:val="clear" w:color="auto" w:fill="auto"/>
          </w:tcPr>
          <w:p w:rsidR="00AF0B9E" w:rsidRPr="00E106BD" w:rsidRDefault="00AF0B9E" w:rsidP="004E4760">
            <w:pPr>
              <w:pStyle w:val="ENoteTableText"/>
            </w:pPr>
            <w:r w:rsidRPr="00E106BD">
              <w:t>—</w:t>
            </w:r>
          </w:p>
        </w:tc>
      </w:tr>
      <w:tr w:rsidR="00DB640C" w:rsidRPr="00E106BD" w:rsidTr="00B807DA">
        <w:trPr>
          <w:cantSplit/>
        </w:trPr>
        <w:tc>
          <w:tcPr>
            <w:tcW w:w="1470" w:type="pct"/>
            <w:tcBorders>
              <w:top w:val="single" w:sz="4" w:space="0" w:color="auto"/>
              <w:right w:val="nil"/>
            </w:tcBorders>
            <w:shd w:val="clear" w:color="auto" w:fill="auto"/>
          </w:tcPr>
          <w:p w:rsidR="00DB640C" w:rsidRPr="00E106BD" w:rsidRDefault="00DB640C" w:rsidP="004E4760">
            <w:pPr>
              <w:pStyle w:val="ENoteTableText"/>
            </w:pPr>
            <w:r w:rsidRPr="00E106BD">
              <w:t>PB 63 of 2014</w:t>
            </w:r>
          </w:p>
        </w:tc>
        <w:tc>
          <w:tcPr>
            <w:tcW w:w="1178" w:type="pct"/>
            <w:tcBorders>
              <w:top w:val="single" w:sz="4" w:space="0" w:color="auto"/>
              <w:left w:val="nil"/>
              <w:right w:val="nil"/>
            </w:tcBorders>
            <w:shd w:val="clear" w:color="auto" w:fill="auto"/>
          </w:tcPr>
          <w:p w:rsidR="00DB640C" w:rsidRPr="00E106BD" w:rsidRDefault="00DB640C" w:rsidP="004E4760">
            <w:pPr>
              <w:pStyle w:val="ENoteTableText"/>
            </w:pPr>
            <w:r w:rsidRPr="00E106BD">
              <w:t>25 Aug 2014 (F2014L01126)</w:t>
            </w:r>
          </w:p>
        </w:tc>
        <w:tc>
          <w:tcPr>
            <w:tcW w:w="1177" w:type="pct"/>
            <w:tcBorders>
              <w:top w:val="single" w:sz="4" w:space="0" w:color="auto"/>
              <w:left w:val="nil"/>
              <w:right w:val="nil"/>
            </w:tcBorders>
            <w:shd w:val="clear" w:color="auto" w:fill="auto"/>
          </w:tcPr>
          <w:p w:rsidR="00DB640C" w:rsidRPr="00E106BD" w:rsidRDefault="00DB640C" w:rsidP="004E4760">
            <w:pPr>
              <w:pStyle w:val="ENoteTableText"/>
            </w:pPr>
            <w:r w:rsidRPr="00E106BD">
              <w:t>1 Sept 2014</w:t>
            </w:r>
            <w:r w:rsidR="003E025B" w:rsidRPr="00E106BD">
              <w:t xml:space="preserve"> (s 2)</w:t>
            </w:r>
          </w:p>
        </w:tc>
        <w:tc>
          <w:tcPr>
            <w:tcW w:w="1175" w:type="pct"/>
            <w:tcBorders>
              <w:top w:val="single" w:sz="4" w:space="0" w:color="auto"/>
              <w:left w:val="nil"/>
            </w:tcBorders>
            <w:shd w:val="clear" w:color="auto" w:fill="auto"/>
          </w:tcPr>
          <w:p w:rsidR="00DB640C" w:rsidRPr="00E106BD" w:rsidRDefault="00DB640C" w:rsidP="004E4760">
            <w:pPr>
              <w:pStyle w:val="ENoteTableText"/>
            </w:pPr>
            <w:r w:rsidRPr="00E106BD">
              <w:t>—</w:t>
            </w:r>
          </w:p>
        </w:tc>
      </w:tr>
      <w:tr w:rsidR="008072DD" w:rsidRPr="00E106BD" w:rsidTr="00B807DA">
        <w:trPr>
          <w:cantSplit/>
        </w:trPr>
        <w:tc>
          <w:tcPr>
            <w:tcW w:w="1470" w:type="pct"/>
            <w:tcBorders>
              <w:right w:val="nil"/>
            </w:tcBorders>
            <w:shd w:val="clear" w:color="auto" w:fill="auto"/>
          </w:tcPr>
          <w:p w:rsidR="008072DD" w:rsidRPr="00E106BD" w:rsidRDefault="008072DD" w:rsidP="004E4760">
            <w:pPr>
              <w:pStyle w:val="ENoteTableText"/>
            </w:pPr>
            <w:r w:rsidRPr="00E106BD">
              <w:t>PB 93 of 2014</w:t>
            </w:r>
          </w:p>
        </w:tc>
        <w:tc>
          <w:tcPr>
            <w:tcW w:w="1178" w:type="pct"/>
            <w:tcBorders>
              <w:left w:val="nil"/>
              <w:right w:val="nil"/>
            </w:tcBorders>
            <w:shd w:val="clear" w:color="auto" w:fill="auto"/>
          </w:tcPr>
          <w:p w:rsidR="008072DD" w:rsidRPr="00E106BD" w:rsidRDefault="008072DD" w:rsidP="004E4760">
            <w:pPr>
              <w:pStyle w:val="ENoteTableText"/>
            </w:pPr>
            <w:r w:rsidRPr="00E106BD">
              <w:t>1 Dec 2014 (F2014L01610)</w:t>
            </w:r>
          </w:p>
        </w:tc>
        <w:tc>
          <w:tcPr>
            <w:tcW w:w="1177" w:type="pct"/>
            <w:tcBorders>
              <w:left w:val="nil"/>
              <w:right w:val="nil"/>
            </w:tcBorders>
            <w:shd w:val="clear" w:color="auto" w:fill="auto"/>
          </w:tcPr>
          <w:p w:rsidR="008072DD" w:rsidRPr="00E106BD" w:rsidRDefault="008072DD" w:rsidP="004E4760">
            <w:pPr>
              <w:pStyle w:val="ENoteTableText"/>
            </w:pPr>
            <w:r w:rsidRPr="00E106BD">
              <w:t>1 Dec 2014</w:t>
            </w:r>
            <w:r w:rsidR="003E025B" w:rsidRPr="00E106BD">
              <w:t xml:space="preserve"> (s 2)</w:t>
            </w:r>
          </w:p>
        </w:tc>
        <w:tc>
          <w:tcPr>
            <w:tcW w:w="1175" w:type="pct"/>
            <w:tcBorders>
              <w:left w:val="nil"/>
            </w:tcBorders>
            <w:shd w:val="clear" w:color="auto" w:fill="auto"/>
          </w:tcPr>
          <w:p w:rsidR="008072DD" w:rsidRPr="00E106BD" w:rsidRDefault="008072DD" w:rsidP="004E4760">
            <w:pPr>
              <w:pStyle w:val="ENoteTableText"/>
            </w:pPr>
            <w:r w:rsidRPr="00E106BD">
              <w:t>—</w:t>
            </w:r>
          </w:p>
        </w:tc>
      </w:tr>
      <w:tr w:rsidR="00777026" w:rsidRPr="00E106BD" w:rsidTr="00B807DA">
        <w:trPr>
          <w:cantSplit/>
        </w:trPr>
        <w:tc>
          <w:tcPr>
            <w:tcW w:w="1470" w:type="pct"/>
            <w:tcBorders>
              <w:right w:val="nil"/>
            </w:tcBorders>
            <w:shd w:val="clear" w:color="auto" w:fill="auto"/>
          </w:tcPr>
          <w:p w:rsidR="00777026" w:rsidRPr="00E106BD" w:rsidRDefault="00777026" w:rsidP="004E4760">
            <w:pPr>
              <w:pStyle w:val="ENoteTableText"/>
            </w:pPr>
            <w:r w:rsidRPr="00E106BD">
              <w:t>PB 102 of 2014</w:t>
            </w:r>
          </w:p>
        </w:tc>
        <w:tc>
          <w:tcPr>
            <w:tcW w:w="1178" w:type="pct"/>
            <w:tcBorders>
              <w:left w:val="nil"/>
              <w:right w:val="nil"/>
            </w:tcBorders>
            <w:shd w:val="clear" w:color="auto" w:fill="auto"/>
          </w:tcPr>
          <w:p w:rsidR="00777026" w:rsidRPr="00E106BD" w:rsidRDefault="00777026" w:rsidP="004E4760">
            <w:pPr>
              <w:pStyle w:val="ENoteTableText"/>
            </w:pPr>
            <w:r w:rsidRPr="00E106BD">
              <w:t>24 Dec 2014 (F2014L01834)</w:t>
            </w:r>
          </w:p>
        </w:tc>
        <w:tc>
          <w:tcPr>
            <w:tcW w:w="1177" w:type="pct"/>
            <w:tcBorders>
              <w:left w:val="nil"/>
              <w:right w:val="nil"/>
            </w:tcBorders>
            <w:shd w:val="clear" w:color="auto" w:fill="auto"/>
          </w:tcPr>
          <w:p w:rsidR="00777026" w:rsidRPr="00E106BD" w:rsidRDefault="00777026" w:rsidP="004E4760">
            <w:pPr>
              <w:pStyle w:val="ENoteTableText"/>
            </w:pPr>
            <w:r w:rsidRPr="00E106BD">
              <w:t>1 Jan 2015 (s 2)</w:t>
            </w:r>
          </w:p>
        </w:tc>
        <w:tc>
          <w:tcPr>
            <w:tcW w:w="1175" w:type="pct"/>
            <w:tcBorders>
              <w:left w:val="nil"/>
            </w:tcBorders>
            <w:shd w:val="clear" w:color="auto" w:fill="auto"/>
          </w:tcPr>
          <w:p w:rsidR="00777026" w:rsidRPr="00E106BD" w:rsidRDefault="00777026" w:rsidP="004E4760">
            <w:pPr>
              <w:pStyle w:val="ENoteTableText"/>
            </w:pPr>
            <w:r w:rsidRPr="00E106BD">
              <w:t>—</w:t>
            </w:r>
          </w:p>
        </w:tc>
      </w:tr>
      <w:tr w:rsidR="006E06DD" w:rsidRPr="00E106BD" w:rsidTr="00B807DA">
        <w:trPr>
          <w:cantSplit/>
        </w:trPr>
        <w:tc>
          <w:tcPr>
            <w:tcW w:w="1470" w:type="pct"/>
            <w:tcBorders>
              <w:right w:val="nil"/>
            </w:tcBorders>
            <w:shd w:val="clear" w:color="auto" w:fill="auto"/>
          </w:tcPr>
          <w:p w:rsidR="006E06DD" w:rsidRPr="00E106BD" w:rsidRDefault="006E06DD" w:rsidP="004E4760">
            <w:pPr>
              <w:pStyle w:val="ENoteTableText"/>
            </w:pPr>
            <w:r w:rsidRPr="00E106BD">
              <w:t>PB 3 of 2015</w:t>
            </w:r>
          </w:p>
        </w:tc>
        <w:tc>
          <w:tcPr>
            <w:tcW w:w="1178" w:type="pct"/>
            <w:tcBorders>
              <w:left w:val="nil"/>
              <w:right w:val="nil"/>
            </w:tcBorders>
            <w:shd w:val="clear" w:color="auto" w:fill="auto"/>
          </w:tcPr>
          <w:p w:rsidR="00EC5B47" w:rsidRPr="00E106BD" w:rsidRDefault="00EC5B47" w:rsidP="00CF1372">
            <w:pPr>
              <w:pStyle w:val="ENoteTableText"/>
            </w:pPr>
            <w:r w:rsidRPr="00E106BD">
              <w:t>30 Jan 2015</w:t>
            </w:r>
            <w:r w:rsidR="00CF1372" w:rsidRPr="00E106BD">
              <w:t xml:space="preserve"> </w:t>
            </w:r>
            <w:r w:rsidRPr="00E106BD">
              <w:t>(F2015</w:t>
            </w:r>
            <w:r w:rsidR="00480695" w:rsidRPr="00E106BD">
              <w:t>L</w:t>
            </w:r>
            <w:r w:rsidRPr="00E106BD">
              <w:t>00087)</w:t>
            </w:r>
          </w:p>
        </w:tc>
        <w:tc>
          <w:tcPr>
            <w:tcW w:w="1177" w:type="pct"/>
            <w:tcBorders>
              <w:left w:val="nil"/>
              <w:right w:val="nil"/>
            </w:tcBorders>
            <w:shd w:val="clear" w:color="auto" w:fill="auto"/>
          </w:tcPr>
          <w:p w:rsidR="006E06DD" w:rsidRPr="00E106BD" w:rsidRDefault="006E06DD" w:rsidP="004E4760">
            <w:pPr>
              <w:pStyle w:val="ENoteTableText"/>
            </w:pPr>
            <w:r w:rsidRPr="00E106BD">
              <w:t>1 Feb 2015 (s 2)</w:t>
            </w:r>
          </w:p>
        </w:tc>
        <w:tc>
          <w:tcPr>
            <w:tcW w:w="1175" w:type="pct"/>
            <w:tcBorders>
              <w:left w:val="nil"/>
            </w:tcBorders>
            <w:shd w:val="clear" w:color="auto" w:fill="auto"/>
          </w:tcPr>
          <w:p w:rsidR="006E06DD" w:rsidRPr="00E106BD" w:rsidRDefault="006E06DD" w:rsidP="004E4760">
            <w:pPr>
              <w:pStyle w:val="ENoteTableText"/>
            </w:pPr>
            <w:r w:rsidRPr="00E106BD">
              <w:t>—</w:t>
            </w:r>
          </w:p>
        </w:tc>
      </w:tr>
      <w:tr w:rsidR="0021716B" w:rsidRPr="00E106BD" w:rsidTr="00B807DA">
        <w:trPr>
          <w:cantSplit/>
        </w:trPr>
        <w:tc>
          <w:tcPr>
            <w:tcW w:w="1470" w:type="pct"/>
            <w:tcBorders>
              <w:right w:val="nil"/>
            </w:tcBorders>
            <w:shd w:val="clear" w:color="auto" w:fill="auto"/>
          </w:tcPr>
          <w:p w:rsidR="0021716B" w:rsidRPr="00E106BD" w:rsidRDefault="0021716B" w:rsidP="004E4760">
            <w:pPr>
              <w:pStyle w:val="ENoteTableText"/>
            </w:pPr>
            <w:r w:rsidRPr="00E106BD">
              <w:t>PB 30 of 2015</w:t>
            </w:r>
          </w:p>
        </w:tc>
        <w:tc>
          <w:tcPr>
            <w:tcW w:w="1178" w:type="pct"/>
            <w:tcBorders>
              <w:left w:val="nil"/>
              <w:right w:val="nil"/>
            </w:tcBorders>
            <w:shd w:val="clear" w:color="auto" w:fill="auto"/>
          </w:tcPr>
          <w:p w:rsidR="0021716B" w:rsidRPr="00E106BD" w:rsidRDefault="00480695" w:rsidP="004E4760">
            <w:pPr>
              <w:pStyle w:val="ENoteTableText"/>
            </w:pPr>
            <w:r w:rsidRPr="00E106BD">
              <w:t>1 Apr 2015 (F2015L00457)</w:t>
            </w:r>
          </w:p>
        </w:tc>
        <w:tc>
          <w:tcPr>
            <w:tcW w:w="1177" w:type="pct"/>
            <w:tcBorders>
              <w:left w:val="nil"/>
              <w:right w:val="nil"/>
            </w:tcBorders>
            <w:shd w:val="clear" w:color="auto" w:fill="auto"/>
          </w:tcPr>
          <w:p w:rsidR="0021716B" w:rsidRPr="00E106BD" w:rsidRDefault="0021716B" w:rsidP="004E4760">
            <w:pPr>
              <w:pStyle w:val="ENoteTableText"/>
            </w:pPr>
            <w:r w:rsidRPr="00E106BD">
              <w:t>1 Apr 2015 (s 2)</w:t>
            </w:r>
          </w:p>
        </w:tc>
        <w:tc>
          <w:tcPr>
            <w:tcW w:w="1175" w:type="pct"/>
            <w:tcBorders>
              <w:left w:val="nil"/>
            </w:tcBorders>
            <w:shd w:val="clear" w:color="auto" w:fill="auto"/>
          </w:tcPr>
          <w:p w:rsidR="0021716B" w:rsidRPr="00E106BD" w:rsidRDefault="0021716B" w:rsidP="004E4760">
            <w:pPr>
              <w:pStyle w:val="ENoteTableText"/>
            </w:pPr>
            <w:r w:rsidRPr="00E106BD">
              <w:t>—</w:t>
            </w:r>
          </w:p>
        </w:tc>
      </w:tr>
      <w:tr w:rsidR="000D5FD0" w:rsidRPr="00E106BD" w:rsidTr="00B807DA">
        <w:trPr>
          <w:cantSplit/>
        </w:trPr>
        <w:tc>
          <w:tcPr>
            <w:tcW w:w="1470" w:type="pct"/>
            <w:tcBorders>
              <w:right w:val="nil"/>
            </w:tcBorders>
            <w:shd w:val="clear" w:color="auto" w:fill="auto"/>
          </w:tcPr>
          <w:p w:rsidR="000D5FD0" w:rsidRPr="00E106BD" w:rsidRDefault="000D5FD0" w:rsidP="00133E98">
            <w:pPr>
              <w:pStyle w:val="ENoteTableText"/>
            </w:pPr>
            <w:r w:rsidRPr="00E106BD">
              <w:t>PB 43 of 2015</w:t>
            </w:r>
          </w:p>
        </w:tc>
        <w:tc>
          <w:tcPr>
            <w:tcW w:w="1178" w:type="pct"/>
            <w:tcBorders>
              <w:left w:val="nil"/>
              <w:right w:val="nil"/>
            </w:tcBorders>
            <w:shd w:val="clear" w:color="auto" w:fill="auto"/>
          </w:tcPr>
          <w:p w:rsidR="000D5FD0" w:rsidRPr="00E106BD" w:rsidRDefault="000D5FD0" w:rsidP="004E4760">
            <w:pPr>
              <w:pStyle w:val="ENoteTableText"/>
            </w:pPr>
            <w:r w:rsidRPr="00E106BD">
              <w:t>29 Apr 2015 (F2015L00607)</w:t>
            </w:r>
          </w:p>
        </w:tc>
        <w:tc>
          <w:tcPr>
            <w:tcW w:w="1177" w:type="pct"/>
            <w:tcBorders>
              <w:left w:val="nil"/>
              <w:right w:val="nil"/>
            </w:tcBorders>
            <w:shd w:val="clear" w:color="auto" w:fill="auto"/>
          </w:tcPr>
          <w:p w:rsidR="000D5FD0" w:rsidRPr="00E106BD" w:rsidRDefault="000D5FD0" w:rsidP="004E4760">
            <w:pPr>
              <w:pStyle w:val="ENoteTableText"/>
            </w:pPr>
            <w:r w:rsidRPr="00E106BD">
              <w:t>1</w:t>
            </w:r>
            <w:r w:rsidR="00E106BD">
              <w:t> </w:t>
            </w:r>
            <w:r w:rsidRPr="00E106BD">
              <w:t>May 2015 (s 2)</w:t>
            </w:r>
          </w:p>
        </w:tc>
        <w:tc>
          <w:tcPr>
            <w:tcW w:w="1175" w:type="pct"/>
            <w:tcBorders>
              <w:left w:val="nil"/>
            </w:tcBorders>
            <w:shd w:val="clear" w:color="auto" w:fill="auto"/>
          </w:tcPr>
          <w:p w:rsidR="000D5FD0" w:rsidRPr="00E106BD" w:rsidRDefault="000D5FD0" w:rsidP="004E4760">
            <w:pPr>
              <w:pStyle w:val="ENoteTableText"/>
            </w:pPr>
            <w:r w:rsidRPr="00E106BD">
              <w:t>—</w:t>
            </w:r>
          </w:p>
        </w:tc>
      </w:tr>
      <w:tr w:rsidR="007C4C97" w:rsidRPr="00E106BD" w:rsidTr="00B807DA">
        <w:trPr>
          <w:cantSplit/>
        </w:trPr>
        <w:tc>
          <w:tcPr>
            <w:tcW w:w="1470" w:type="pct"/>
            <w:tcBorders>
              <w:right w:val="nil"/>
            </w:tcBorders>
            <w:shd w:val="clear" w:color="auto" w:fill="auto"/>
          </w:tcPr>
          <w:p w:rsidR="007C4C97" w:rsidRPr="00E106BD" w:rsidRDefault="007C4C97" w:rsidP="004E4760">
            <w:pPr>
              <w:pStyle w:val="ENoteTableText"/>
            </w:pPr>
            <w:r w:rsidRPr="00E106BD">
              <w:t>PB 50 of 2015</w:t>
            </w:r>
          </w:p>
        </w:tc>
        <w:tc>
          <w:tcPr>
            <w:tcW w:w="1178" w:type="pct"/>
            <w:tcBorders>
              <w:left w:val="nil"/>
              <w:right w:val="nil"/>
            </w:tcBorders>
            <w:shd w:val="clear" w:color="auto" w:fill="auto"/>
          </w:tcPr>
          <w:p w:rsidR="007C4C97" w:rsidRPr="00E106BD" w:rsidRDefault="003E4CBC" w:rsidP="004E4760">
            <w:pPr>
              <w:pStyle w:val="ENoteTableText"/>
            </w:pPr>
            <w:r w:rsidRPr="00E106BD">
              <w:t>1</w:t>
            </w:r>
            <w:r w:rsidR="00E106BD">
              <w:t> </w:t>
            </w:r>
            <w:r w:rsidRPr="00E106BD">
              <w:t>June 2015 (F2015L00770)</w:t>
            </w:r>
          </w:p>
        </w:tc>
        <w:tc>
          <w:tcPr>
            <w:tcW w:w="1177" w:type="pct"/>
            <w:tcBorders>
              <w:left w:val="nil"/>
              <w:right w:val="nil"/>
            </w:tcBorders>
            <w:shd w:val="clear" w:color="auto" w:fill="auto"/>
          </w:tcPr>
          <w:p w:rsidR="007C4C97" w:rsidRPr="00E106BD" w:rsidRDefault="007C4C97" w:rsidP="004E4760">
            <w:pPr>
              <w:pStyle w:val="ENoteTableText"/>
            </w:pPr>
            <w:r w:rsidRPr="00E106BD">
              <w:t>1</w:t>
            </w:r>
            <w:r w:rsidR="00E106BD">
              <w:t> </w:t>
            </w:r>
            <w:r w:rsidRPr="00E106BD">
              <w:t>June 2015 (s 2)</w:t>
            </w:r>
          </w:p>
        </w:tc>
        <w:tc>
          <w:tcPr>
            <w:tcW w:w="1175" w:type="pct"/>
            <w:tcBorders>
              <w:left w:val="nil"/>
            </w:tcBorders>
            <w:shd w:val="clear" w:color="auto" w:fill="auto"/>
          </w:tcPr>
          <w:p w:rsidR="007C4C97" w:rsidRPr="00E106BD" w:rsidRDefault="003E4CBC" w:rsidP="004E4760">
            <w:pPr>
              <w:pStyle w:val="ENoteTableText"/>
            </w:pPr>
            <w:r w:rsidRPr="00E106BD">
              <w:t>—</w:t>
            </w:r>
          </w:p>
        </w:tc>
      </w:tr>
      <w:tr w:rsidR="008D4959" w:rsidRPr="00E106BD" w:rsidTr="00B807DA">
        <w:trPr>
          <w:cantSplit/>
        </w:trPr>
        <w:tc>
          <w:tcPr>
            <w:tcW w:w="1470" w:type="pct"/>
            <w:tcBorders>
              <w:right w:val="nil"/>
            </w:tcBorders>
            <w:shd w:val="clear" w:color="auto" w:fill="auto"/>
          </w:tcPr>
          <w:p w:rsidR="008D4959" w:rsidRPr="00E106BD" w:rsidRDefault="008D4959" w:rsidP="004E4760">
            <w:pPr>
              <w:pStyle w:val="ENoteTableText"/>
            </w:pPr>
            <w:r w:rsidRPr="00E106BD">
              <w:t>PB 58 of 2015</w:t>
            </w:r>
          </w:p>
        </w:tc>
        <w:tc>
          <w:tcPr>
            <w:tcW w:w="1178" w:type="pct"/>
            <w:tcBorders>
              <w:left w:val="nil"/>
              <w:right w:val="nil"/>
            </w:tcBorders>
            <w:shd w:val="clear" w:color="auto" w:fill="auto"/>
          </w:tcPr>
          <w:p w:rsidR="008D4959" w:rsidRPr="00E106BD" w:rsidRDefault="008D4959" w:rsidP="004E4760">
            <w:pPr>
              <w:pStyle w:val="ENoteTableText"/>
            </w:pPr>
            <w:r w:rsidRPr="00E106BD">
              <w:t>1</w:t>
            </w:r>
            <w:r w:rsidR="00E106BD">
              <w:t> </w:t>
            </w:r>
            <w:r w:rsidRPr="00E106BD">
              <w:t>July 2015 (F2015L01073)</w:t>
            </w:r>
          </w:p>
        </w:tc>
        <w:tc>
          <w:tcPr>
            <w:tcW w:w="1177" w:type="pct"/>
            <w:tcBorders>
              <w:left w:val="nil"/>
              <w:right w:val="nil"/>
            </w:tcBorders>
            <w:shd w:val="clear" w:color="auto" w:fill="auto"/>
          </w:tcPr>
          <w:p w:rsidR="008D4959" w:rsidRPr="00E106BD" w:rsidRDefault="008D4959" w:rsidP="004E4760">
            <w:pPr>
              <w:pStyle w:val="ENoteTableText"/>
            </w:pPr>
            <w:r w:rsidRPr="00E106BD">
              <w:t>1</w:t>
            </w:r>
            <w:r w:rsidR="00E106BD">
              <w:t> </w:t>
            </w:r>
            <w:r w:rsidRPr="00E106BD">
              <w:t>July 2015 (s 2)</w:t>
            </w:r>
          </w:p>
        </w:tc>
        <w:tc>
          <w:tcPr>
            <w:tcW w:w="1175" w:type="pct"/>
            <w:tcBorders>
              <w:left w:val="nil"/>
            </w:tcBorders>
            <w:shd w:val="clear" w:color="auto" w:fill="auto"/>
          </w:tcPr>
          <w:p w:rsidR="008D4959" w:rsidRPr="00E106BD" w:rsidRDefault="008D4959" w:rsidP="004E4760">
            <w:pPr>
              <w:pStyle w:val="ENoteTableText"/>
            </w:pPr>
            <w:r w:rsidRPr="00E106BD">
              <w:t>—</w:t>
            </w:r>
          </w:p>
        </w:tc>
      </w:tr>
      <w:tr w:rsidR="00C03BD7" w:rsidRPr="00E106BD" w:rsidTr="00B807DA">
        <w:trPr>
          <w:cantSplit/>
        </w:trPr>
        <w:tc>
          <w:tcPr>
            <w:tcW w:w="1470" w:type="pct"/>
            <w:tcBorders>
              <w:right w:val="nil"/>
            </w:tcBorders>
            <w:shd w:val="clear" w:color="auto" w:fill="auto"/>
          </w:tcPr>
          <w:p w:rsidR="00C03BD7" w:rsidRPr="00E106BD" w:rsidRDefault="00C03BD7" w:rsidP="004E4760">
            <w:pPr>
              <w:pStyle w:val="ENoteTableText"/>
            </w:pPr>
            <w:r w:rsidRPr="00E106BD">
              <w:t>PB 72 of 2015</w:t>
            </w:r>
          </w:p>
        </w:tc>
        <w:tc>
          <w:tcPr>
            <w:tcW w:w="1178" w:type="pct"/>
            <w:tcBorders>
              <w:left w:val="nil"/>
              <w:right w:val="nil"/>
            </w:tcBorders>
            <w:shd w:val="clear" w:color="auto" w:fill="auto"/>
          </w:tcPr>
          <w:p w:rsidR="00C03BD7" w:rsidRPr="00E106BD" w:rsidRDefault="004055E1" w:rsidP="004E4760">
            <w:pPr>
              <w:pStyle w:val="ENoteTableText"/>
            </w:pPr>
            <w:r w:rsidRPr="00E106BD">
              <w:t>31</w:t>
            </w:r>
            <w:r w:rsidR="00E106BD">
              <w:t> </w:t>
            </w:r>
            <w:r w:rsidRPr="00E106BD">
              <w:t>July</w:t>
            </w:r>
            <w:r w:rsidR="00C03BD7" w:rsidRPr="00E106BD">
              <w:t xml:space="preserve"> 2015 (F2015L01214)</w:t>
            </w:r>
          </w:p>
        </w:tc>
        <w:tc>
          <w:tcPr>
            <w:tcW w:w="1177" w:type="pct"/>
            <w:tcBorders>
              <w:left w:val="nil"/>
              <w:right w:val="nil"/>
            </w:tcBorders>
            <w:shd w:val="clear" w:color="auto" w:fill="auto"/>
          </w:tcPr>
          <w:p w:rsidR="00C03BD7" w:rsidRPr="00E106BD" w:rsidRDefault="00C03BD7" w:rsidP="004E4760">
            <w:pPr>
              <w:pStyle w:val="ENoteTableText"/>
            </w:pPr>
            <w:r w:rsidRPr="00E106BD">
              <w:t>1 Aug 2015 (s 2)</w:t>
            </w:r>
          </w:p>
        </w:tc>
        <w:tc>
          <w:tcPr>
            <w:tcW w:w="1175" w:type="pct"/>
            <w:tcBorders>
              <w:left w:val="nil"/>
            </w:tcBorders>
            <w:shd w:val="clear" w:color="auto" w:fill="auto"/>
          </w:tcPr>
          <w:p w:rsidR="00C03BD7" w:rsidRPr="00E106BD" w:rsidRDefault="00C03BD7" w:rsidP="004E4760">
            <w:pPr>
              <w:pStyle w:val="ENoteTableText"/>
            </w:pPr>
            <w:r w:rsidRPr="00E106BD">
              <w:t>—</w:t>
            </w:r>
          </w:p>
        </w:tc>
      </w:tr>
      <w:tr w:rsidR="00B51CA4" w:rsidRPr="00E106BD" w:rsidTr="00B807DA">
        <w:trPr>
          <w:cantSplit/>
        </w:trPr>
        <w:tc>
          <w:tcPr>
            <w:tcW w:w="1470" w:type="pct"/>
            <w:tcBorders>
              <w:right w:val="nil"/>
            </w:tcBorders>
            <w:shd w:val="clear" w:color="auto" w:fill="auto"/>
          </w:tcPr>
          <w:p w:rsidR="00B51CA4" w:rsidRPr="00E106BD" w:rsidRDefault="00B51CA4" w:rsidP="004E4760">
            <w:pPr>
              <w:pStyle w:val="ENoteTableText"/>
            </w:pPr>
            <w:r w:rsidRPr="00E106BD">
              <w:t>PB 83 of 2015</w:t>
            </w:r>
          </w:p>
        </w:tc>
        <w:tc>
          <w:tcPr>
            <w:tcW w:w="1178" w:type="pct"/>
            <w:tcBorders>
              <w:left w:val="nil"/>
              <w:right w:val="nil"/>
            </w:tcBorders>
            <w:shd w:val="clear" w:color="auto" w:fill="auto"/>
          </w:tcPr>
          <w:p w:rsidR="00B51CA4" w:rsidRPr="00E106BD" w:rsidRDefault="00B51CA4" w:rsidP="004E4760">
            <w:pPr>
              <w:pStyle w:val="ENoteTableText"/>
            </w:pPr>
            <w:r w:rsidRPr="00E106BD">
              <w:t>1 Sept 2015 (F2015L01370)</w:t>
            </w:r>
          </w:p>
        </w:tc>
        <w:tc>
          <w:tcPr>
            <w:tcW w:w="1177" w:type="pct"/>
            <w:tcBorders>
              <w:left w:val="nil"/>
              <w:right w:val="nil"/>
            </w:tcBorders>
            <w:shd w:val="clear" w:color="auto" w:fill="auto"/>
          </w:tcPr>
          <w:p w:rsidR="00B51CA4" w:rsidRPr="00E106BD" w:rsidRDefault="00B51CA4" w:rsidP="004E4760">
            <w:pPr>
              <w:pStyle w:val="ENoteTableText"/>
            </w:pPr>
            <w:r w:rsidRPr="00E106BD">
              <w:t>1 Sept 2015 (s 2)</w:t>
            </w:r>
          </w:p>
        </w:tc>
        <w:tc>
          <w:tcPr>
            <w:tcW w:w="1175" w:type="pct"/>
            <w:tcBorders>
              <w:left w:val="nil"/>
            </w:tcBorders>
            <w:shd w:val="clear" w:color="auto" w:fill="auto"/>
          </w:tcPr>
          <w:p w:rsidR="00B51CA4" w:rsidRPr="00E106BD" w:rsidRDefault="00B51CA4" w:rsidP="004E4760">
            <w:pPr>
              <w:pStyle w:val="ENoteTableText"/>
            </w:pPr>
            <w:r w:rsidRPr="00E106BD">
              <w:t>—</w:t>
            </w:r>
          </w:p>
        </w:tc>
      </w:tr>
      <w:tr w:rsidR="00D92BAC" w:rsidRPr="00E106BD" w:rsidTr="00B807DA">
        <w:trPr>
          <w:cantSplit/>
        </w:trPr>
        <w:tc>
          <w:tcPr>
            <w:tcW w:w="1470" w:type="pct"/>
            <w:tcBorders>
              <w:right w:val="nil"/>
            </w:tcBorders>
            <w:shd w:val="clear" w:color="auto" w:fill="auto"/>
          </w:tcPr>
          <w:p w:rsidR="00D92BAC" w:rsidRPr="00E106BD" w:rsidRDefault="00D92BAC" w:rsidP="004E4760">
            <w:pPr>
              <w:pStyle w:val="ENoteTableText"/>
            </w:pPr>
            <w:r w:rsidRPr="00E106BD">
              <w:t>PB 94 of 2015</w:t>
            </w:r>
          </w:p>
        </w:tc>
        <w:tc>
          <w:tcPr>
            <w:tcW w:w="1178" w:type="pct"/>
            <w:tcBorders>
              <w:left w:val="nil"/>
              <w:right w:val="nil"/>
            </w:tcBorders>
            <w:shd w:val="clear" w:color="auto" w:fill="auto"/>
          </w:tcPr>
          <w:p w:rsidR="00D92BAC" w:rsidRPr="00E106BD" w:rsidRDefault="00D92BAC" w:rsidP="004E4760">
            <w:pPr>
              <w:pStyle w:val="ENoteTableText"/>
            </w:pPr>
            <w:r w:rsidRPr="00E106BD">
              <w:t>1 Oct 2015 (F2015L01619)</w:t>
            </w:r>
          </w:p>
        </w:tc>
        <w:tc>
          <w:tcPr>
            <w:tcW w:w="1177" w:type="pct"/>
            <w:tcBorders>
              <w:left w:val="nil"/>
              <w:right w:val="nil"/>
            </w:tcBorders>
            <w:shd w:val="clear" w:color="auto" w:fill="auto"/>
          </w:tcPr>
          <w:p w:rsidR="00D92BAC" w:rsidRPr="00E106BD" w:rsidRDefault="00D92BAC" w:rsidP="004E4760">
            <w:pPr>
              <w:pStyle w:val="ENoteTableText"/>
            </w:pPr>
            <w:r w:rsidRPr="00E106BD">
              <w:t>1 Oct 2015 (s 2)</w:t>
            </w:r>
          </w:p>
        </w:tc>
        <w:tc>
          <w:tcPr>
            <w:tcW w:w="1175" w:type="pct"/>
            <w:tcBorders>
              <w:left w:val="nil"/>
            </w:tcBorders>
            <w:shd w:val="clear" w:color="auto" w:fill="auto"/>
          </w:tcPr>
          <w:p w:rsidR="00D92BAC" w:rsidRPr="00E106BD" w:rsidRDefault="00D92BAC" w:rsidP="004E4760">
            <w:pPr>
              <w:pStyle w:val="ENoteTableText"/>
            </w:pPr>
            <w:r w:rsidRPr="00E106BD">
              <w:t>—</w:t>
            </w:r>
          </w:p>
        </w:tc>
      </w:tr>
      <w:tr w:rsidR="00BB2F47" w:rsidRPr="00E106BD" w:rsidTr="00B807DA">
        <w:trPr>
          <w:cantSplit/>
        </w:trPr>
        <w:tc>
          <w:tcPr>
            <w:tcW w:w="1470" w:type="pct"/>
            <w:tcBorders>
              <w:right w:val="nil"/>
            </w:tcBorders>
            <w:shd w:val="clear" w:color="auto" w:fill="auto"/>
          </w:tcPr>
          <w:p w:rsidR="00BB2F47" w:rsidRPr="00E106BD" w:rsidRDefault="00BB2F47" w:rsidP="004E4760">
            <w:pPr>
              <w:pStyle w:val="ENoteTableText"/>
            </w:pPr>
            <w:r w:rsidRPr="00E106BD">
              <w:t>PB 104 of 2015</w:t>
            </w:r>
          </w:p>
        </w:tc>
        <w:tc>
          <w:tcPr>
            <w:tcW w:w="1178" w:type="pct"/>
            <w:tcBorders>
              <w:left w:val="nil"/>
              <w:right w:val="nil"/>
            </w:tcBorders>
            <w:shd w:val="clear" w:color="auto" w:fill="auto"/>
          </w:tcPr>
          <w:p w:rsidR="00BB2F47" w:rsidRPr="00E106BD" w:rsidRDefault="00BB2F47" w:rsidP="004E4760">
            <w:pPr>
              <w:pStyle w:val="ENoteTableText"/>
            </w:pPr>
            <w:r w:rsidRPr="00E106BD">
              <w:t>30 Oct 2015 (F2015L01723)</w:t>
            </w:r>
          </w:p>
        </w:tc>
        <w:tc>
          <w:tcPr>
            <w:tcW w:w="1177" w:type="pct"/>
            <w:tcBorders>
              <w:left w:val="nil"/>
              <w:right w:val="nil"/>
            </w:tcBorders>
            <w:shd w:val="clear" w:color="auto" w:fill="auto"/>
          </w:tcPr>
          <w:p w:rsidR="00BB2F47" w:rsidRPr="00E106BD" w:rsidRDefault="00BB2F47" w:rsidP="004E4760">
            <w:pPr>
              <w:pStyle w:val="ENoteTableText"/>
            </w:pPr>
            <w:r w:rsidRPr="00E106BD">
              <w:t>1 Nov 2015 (s 2)</w:t>
            </w:r>
          </w:p>
        </w:tc>
        <w:tc>
          <w:tcPr>
            <w:tcW w:w="1175" w:type="pct"/>
            <w:tcBorders>
              <w:left w:val="nil"/>
            </w:tcBorders>
            <w:shd w:val="clear" w:color="auto" w:fill="auto"/>
          </w:tcPr>
          <w:p w:rsidR="00BB2F47" w:rsidRPr="00E106BD" w:rsidRDefault="00BB2F47" w:rsidP="004E4760">
            <w:pPr>
              <w:pStyle w:val="ENoteTableText"/>
            </w:pPr>
            <w:r w:rsidRPr="00E106BD">
              <w:t>—</w:t>
            </w:r>
          </w:p>
        </w:tc>
      </w:tr>
      <w:tr w:rsidR="00F62F42" w:rsidRPr="00E106BD" w:rsidTr="00B807DA">
        <w:trPr>
          <w:cantSplit/>
        </w:trPr>
        <w:tc>
          <w:tcPr>
            <w:tcW w:w="1470" w:type="pct"/>
            <w:tcBorders>
              <w:right w:val="nil"/>
            </w:tcBorders>
            <w:shd w:val="clear" w:color="auto" w:fill="auto"/>
          </w:tcPr>
          <w:p w:rsidR="00F62F42" w:rsidRPr="00E106BD" w:rsidRDefault="00F62F42" w:rsidP="004E4760">
            <w:pPr>
              <w:pStyle w:val="ENoteTableText"/>
            </w:pPr>
            <w:r w:rsidRPr="00E106BD">
              <w:t>PB 111 of 2015</w:t>
            </w:r>
          </w:p>
        </w:tc>
        <w:tc>
          <w:tcPr>
            <w:tcW w:w="1178" w:type="pct"/>
            <w:tcBorders>
              <w:left w:val="nil"/>
              <w:right w:val="nil"/>
            </w:tcBorders>
            <w:shd w:val="clear" w:color="auto" w:fill="auto"/>
          </w:tcPr>
          <w:p w:rsidR="00F62F42" w:rsidRPr="00E106BD" w:rsidRDefault="00F62F42" w:rsidP="004E4760">
            <w:pPr>
              <w:pStyle w:val="ENoteTableText"/>
            </w:pPr>
            <w:r w:rsidRPr="00E106BD">
              <w:t>1 Dec 2015 (F2015L01908)</w:t>
            </w:r>
          </w:p>
        </w:tc>
        <w:tc>
          <w:tcPr>
            <w:tcW w:w="1177" w:type="pct"/>
            <w:tcBorders>
              <w:left w:val="nil"/>
              <w:right w:val="nil"/>
            </w:tcBorders>
            <w:shd w:val="clear" w:color="auto" w:fill="auto"/>
          </w:tcPr>
          <w:p w:rsidR="00F62F42" w:rsidRPr="00E106BD" w:rsidRDefault="00F62F42" w:rsidP="004E4760">
            <w:pPr>
              <w:pStyle w:val="ENoteTableText"/>
            </w:pPr>
            <w:r w:rsidRPr="00E106BD">
              <w:t>1 Dec 2015 (s 2)</w:t>
            </w:r>
          </w:p>
        </w:tc>
        <w:tc>
          <w:tcPr>
            <w:tcW w:w="1175" w:type="pct"/>
            <w:tcBorders>
              <w:left w:val="nil"/>
            </w:tcBorders>
            <w:shd w:val="clear" w:color="auto" w:fill="auto"/>
          </w:tcPr>
          <w:p w:rsidR="00F62F42" w:rsidRPr="00E106BD" w:rsidRDefault="00F62F42" w:rsidP="004E4760">
            <w:pPr>
              <w:pStyle w:val="ENoteTableText"/>
            </w:pPr>
            <w:r w:rsidRPr="00E106BD">
              <w:t>—</w:t>
            </w:r>
          </w:p>
        </w:tc>
      </w:tr>
      <w:tr w:rsidR="006A6F77" w:rsidRPr="00E106BD" w:rsidTr="00B807DA">
        <w:trPr>
          <w:cantSplit/>
        </w:trPr>
        <w:tc>
          <w:tcPr>
            <w:tcW w:w="1470" w:type="pct"/>
            <w:tcBorders>
              <w:right w:val="nil"/>
            </w:tcBorders>
            <w:shd w:val="clear" w:color="auto" w:fill="auto"/>
          </w:tcPr>
          <w:p w:rsidR="006A6F77" w:rsidRPr="00E106BD" w:rsidRDefault="006A6F77" w:rsidP="004E4760">
            <w:pPr>
              <w:pStyle w:val="ENoteTableText"/>
            </w:pPr>
            <w:r w:rsidRPr="00E106BD">
              <w:t>PB 121 of 2015</w:t>
            </w:r>
          </w:p>
        </w:tc>
        <w:tc>
          <w:tcPr>
            <w:tcW w:w="1178" w:type="pct"/>
            <w:tcBorders>
              <w:left w:val="nil"/>
              <w:right w:val="nil"/>
            </w:tcBorders>
            <w:shd w:val="clear" w:color="auto" w:fill="auto"/>
          </w:tcPr>
          <w:p w:rsidR="006A6F77" w:rsidRPr="00E106BD" w:rsidRDefault="006A6F77" w:rsidP="00B76907">
            <w:pPr>
              <w:pStyle w:val="ENoteTableText"/>
            </w:pPr>
            <w:r w:rsidRPr="00E106BD">
              <w:t>18 Dec 2015 (F2015L02085)</w:t>
            </w:r>
          </w:p>
        </w:tc>
        <w:tc>
          <w:tcPr>
            <w:tcW w:w="1177" w:type="pct"/>
            <w:tcBorders>
              <w:left w:val="nil"/>
              <w:right w:val="nil"/>
            </w:tcBorders>
            <w:shd w:val="clear" w:color="auto" w:fill="auto"/>
          </w:tcPr>
          <w:p w:rsidR="006A6F77" w:rsidRPr="00E106BD" w:rsidRDefault="006A6F77" w:rsidP="004E4760">
            <w:pPr>
              <w:pStyle w:val="ENoteTableText"/>
            </w:pPr>
            <w:r w:rsidRPr="00E106BD">
              <w:t>18 Dec 2015 (s 2)</w:t>
            </w:r>
          </w:p>
        </w:tc>
        <w:tc>
          <w:tcPr>
            <w:tcW w:w="1175" w:type="pct"/>
            <w:tcBorders>
              <w:left w:val="nil"/>
            </w:tcBorders>
            <w:shd w:val="clear" w:color="auto" w:fill="auto"/>
          </w:tcPr>
          <w:p w:rsidR="006A6F77" w:rsidRPr="00E106BD" w:rsidRDefault="006A6F77" w:rsidP="004E4760">
            <w:pPr>
              <w:pStyle w:val="ENoteTableText"/>
            </w:pPr>
            <w:r w:rsidRPr="00E106BD">
              <w:t>—</w:t>
            </w:r>
          </w:p>
        </w:tc>
      </w:tr>
      <w:tr w:rsidR="00B2351E" w:rsidRPr="00E106BD" w:rsidTr="00B807DA">
        <w:trPr>
          <w:cantSplit/>
        </w:trPr>
        <w:tc>
          <w:tcPr>
            <w:tcW w:w="1470" w:type="pct"/>
            <w:tcBorders>
              <w:right w:val="nil"/>
            </w:tcBorders>
            <w:shd w:val="clear" w:color="auto" w:fill="auto"/>
          </w:tcPr>
          <w:p w:rsidR="00B2351E" w:rsidRPr="00E106BD" w:rsidRDefault="00B2351E" w:rsidP="004E4760">
            <w:pPr>
              <w:pStyle w:val="ENoteTableText"/>
            </w:pPr>
            <w:r w:rsidRPr="00E106BD">
              <w:t>PB 129 of 2015</w:t>
            </w:r>
          </w:p>
        </w:tc>
        <w:tc>
          <w:tcPr>
            <w:tcW w:w="1178" w:type="pct"/>
            <w:tcBorders>
              <w:left w:val="nil"/>
              <w:right w:val="nil"/>
            </w:tcBorders>
            <w:shd w:val="clear" w:color="auto" w:fill="auto"/>
          </w:tcPr>
          <w:p w:rsidR="00B2351E" w:rsidRPr="00E106BD" w:rsidRDefault="00B2351E" w:rsidP="00B76907">
            <w:pPr>
              <w:pStyle w:val="ENoteTableText"/>
            </w:pPr>
            <w:r w:rsidRPr="00E106BD">
              <w:t>24 Dec 2015 (F2015L02138)</w:t>
            </w:r>
          </w:p>
        </w:tc>
        <w:tc>
          <w:tcPr>
            <w:tcW w:w="1177" w:type="pct"/>
            <w:tcBorders>
              <w:left w:val="nil"/>
              <w:right w:val="nil"/>
            </w:tcBorders>
            <w:shd w:val="clear" w:color="auto" w:fill="auto"/>
          </w:tcPr>
          <w:p w:rsidR="00B2351E" w:rsidRPr="00E106BD" w:rsidRDefault="00B2351E" w:rsidP="004E4760">
            <w:pPr>
              <w:pStyle w:val="ENoteTableText"/>
            </w:pPr>
            <w:r w:rsidRPr="00E106BD">
              <w:t>1 Jan 2016 (s 2)</w:t>
            </w:r>
          </w:p>
        </w:tc>
        <w:tc>
          <w:tcPr>
            <w:tcW w:w="1175" w:type="pct"/>
            <w:tcBorders>
              <w:left w:val="nil"/>
            </w:tcBorders>
            <w:shd w:val="clear" w:color="auto" w:fill="auto"/>
          </w:tcPr>
          <w:p w:rsidR="00B2351E" w:rsidRPr="00E106BD" w:rsidRDefault="00B82A83" w:rsidP="004E4760">
            <w:pPr>
              <w:pStyle w:val="ENoteTableText"/>
            </w:pPr>
            <w:r w:rsidRPr="00E106BD">
              <w:t>—</w:t>
            </w:r>
          </w:p>
        </w:tc>
      </w:tr>
      <w:tr w:rsidR="00B82A83" w:rsidRPr="00E106BD" w:rsidTr="00B807DA">
        <w:trPr>
          <w:cantSplit/>
        </w:trPr>
        <w:tc>
          <w:tcPr>
            <w:tcW w:w="1470" w:type="pct"/>
            <w:tcBorders>
              <w:right w:val="nil"/>
            </w:tcBorders>
            <w:shd w:val="clear" w:color="auto" w:fill="auto"/>
          </w:tcPr>
          <w:p w:rsidR="00B82A83" w:rsidRPr="00E106BD" w:rsidRDefault="00B82A83" w:rsidP="004E4760">
            <w:pPr>
              <w:pStyle w:val="ENoteTableText"/>
            </w:pPr>
            <w:r w:rsidRPr="00E106BD">
              <w:t>PB 5 of 2016</w:t>
            </w:r>
          </w:p>
        </w:tc>
        <w:tc>
          <w:tcPr>
            <w:tcW w:w="1178" w:type="pct"/>
            <w:tcBorders>
              <w:left w:val="nil"/>
              <w:right w:val="nil"/>
            </w:tcBorders>
            <w:shd w:val="clear" w:color="auto" w:fill="auto"/>
          </w:tcPr>
          <w:p w:rsidR="00B82A83" w:rsidRPr="00E106BD" w:rsidRDefault="00B82A83" w:rsidP="003D5EDB">
            <w:pPr>
              <w:pStyle w:val="ENoteTableText"/>
            </w:pPr>
            <w:r w:rsidRPr="00E106BD">
              <w:t>1 Feb 201</w:t>
            </w:r>
            <w:r w:rsidR="003D5EDB" w:rsidRPr="00E106BD">
              <w:t>6</w:t>
            </w:r>
            <w:r w:rsidRPr="00E106BD">
              <w:t xml:space="preserve"> (F2016L00076)</w:t>
            </w:r>
          </w:p>
        </w:tc>
        <w:tc>
          <w:tcPr>
            <w:tcW w:w="1177" w:type="pct"/>
            <w:tcBorders>
              <w:left w:val="nil"/>
              <w:right w:val="nil"/>
            </w:tcBorders>
            <w:shd w:val="clear" w:color="auto" w:fill="auto"/>
          </w:tcPr>
          <w:p w:rsidR="00B82A83" w:rsidRPr="00E106BD" w:rsidRDefault="00B82A83" w:rsidP="004E4760">
            <w:pPr>
              <w:pStyle w:val="ENoteTableText"/>
            </w:pPr>
            <w:r w:rsidRPr="00E106BD">
              <w:t>1 Feb 2016 (s 2)</w:t>
            </w:r>
          </w:p>
        </w:tc>
        <w:tc>
          <w:tcPr>
            <w:tcW w:w="1175" w:type="pct"/>
            <w:tcBorders>
              <w:left w:val="nil"/>
            </w:tcBorders>
            <w:shd w:val="clear" w:color="auto" w:fill="auto"/>
          </w:tcPr>
          <w:p w:rsidR="00B82A83" w:rsidRPr="00E106BD" w:rsidRDefault="00B82A83" w:rsidP="004E4760">
            <w:pPr>
              <w:pStyle w:val="ENoteTableText"/>
            </w:pPr>
            <w:r w:rsidRPr="00E106BD">
              <w:t>—</w:t>
            </w:r>
          </w:p>
        </w:tc>
      </w:tr>
      <w:tr w:rsidR="006A067B" w:rsidRPr="00E106BD" w:rsidTr="00B807DA">
        <w:trPr>
          <w:cantSplit/>
        </w:trPr>
        <w:tc>
          <w:tcPr>
            <w:tcW w:w="1470" w:type="pct"/>
            <w:tcBorders>
              <w:right w:val="nil"/>
            </w:tcBorders>
            <w:shd w:val="clear" w:color="auto" w:fill="auto"/>
          </w:tcPr>
          <w:p w:rsidR="006A067B" w:rsidRPr="00E106BD" w:rsidRDefault="006A067B" w:rsidP="00F1386F">
            <w:pPr>
              <w:pStyle w:val="ENoteTableText"/>
            </w:pPr>
            <w:r w:rsidRPr="00E106BD">
              <w:t>PB 13 of 2016</w:t>
            </w:r>
          </w:p>
        </w:tc>
        <w:tc>
          <w:tcPr>
            <w:tcW w:w="1178" w:type="pct"/>
            <w:tcBorders>
              <w:left w:val="nil"/>
              <w:right w:val="nil"/>
            </w:tcBorders>
            <w:shd w:val="clear" w:color="auto" w:fill="auto"/>
          </w:tcPr>
          <w:p w:rsidR="006A067B" w:rsidRPr="00E106BD" w:rsidRDefault="006A067B" w:rsidP="00F1386F">
            <w:pPr>
              <w:pStyle w:val="ENoteTableText"/>
            </w:pPr>
            <w:r w:rsidRPr="00E106BD">
              <w:t>1 Mar 2016 (F2016L00216)</w:t>
            </w:r>
          </w:p>
        </w:tc>
        <w:tc>
          <w:tcPr>
            <w:tcW w:w="1177" w:type="pct"/>
            <w:tcBorders>
              <w:left w:val="nil"/>
              <w:right w:val="nil"/>
            </w:tcBorders>
            <w:shd w:val="clear" w:color="auto" w:fill="auto"/>
          </w:tcPr>
          <w:p w:rsidR="006A067B" w:rsidRPr="00E106BD" w:rsidRDefault="006A067B" w:rsidP="00F1386F">
            <w:pPr>
              <w:pStyle w:val="ENoteTableText"/>
            </w:pPr>
            <w:r w:rsidRPr="00E106BD">
              <w:t>1 Mar 2016 (s 2)</w:t>
            </w:r>
          </w:p>
        </w:tc>
        <w:tc>
          <w:tcPr>
            <w:tcW w:w="1175" w:type="pct"/>
            <w:tcBorders>
              <w:left w:val="nil"/>
            </w:tcBorders>
            <w:shd w:val="clear" w:color="auto" w:fill="auto"/>
          </w:tcPr>
          <w:p w:rsidR="006A067B" w:rsidRPr="00E106BD" w:rsidRDefault="006A067B" w:rsidP="004E4760">
            <w:pPr>
              <w:pStyle w:val="ENoteTableText"/>
            </w:pPr>
            <w:r w:rsidRPr="00E106BD">
              <w:t>—</w:t>
            </w:r>
          </w:p>
        </w:tc>
      </w:tr>
      <w:tr w:rsidR="00483757" w:rsidRPr="00E106BD" w:rsidTr="00B807DA">
        <w:trPr>
          <w:cantSplit/>
        </w:trPr>
        <w:tc>
          <w:tcPr>
            <w:tcW w:w="1470" w:type="pct"/>
            <w:tcBorders>
              <w:right w:val="nil"/>
            </w:tcBorders>
            <w:shd w:val="clear" w:color="auto" w:fill="auto"/>
          </w:tcPr>
          <w:p w:rsidR="00483757" w:rsidRPr="00E106BD" w:rsidRDefault="00483757" w:rsidP="00F1386F">
            <w:pPr>
              <w:pStyle w:val="ENoteTableText"/>
            </w:pPr>
            <w:r w:rsidRPr="00E106BD">
              <w:t>PB 22 of 2016</w:t>
            </w:r>
          </w:p>
        </w:tc>
        <w:tc>
          <w:tcPr>
            <w:tcW w:w="1178" w:type="pct"/>
            <w:tcBorders>
              <w:left w:val="nil"/>
              <w:right w:val="nil"/>
            </w:tcBorders>
            <w:shd w:val="clear" w:color="auto" w:fill="auto"/>
          </w:tcPr>
          <w:p w:rsidR="00483757" w:rsidRPr="00E106BD" w:rsidRDefault="00483757" w:rsidP="00F1386F">
            <w:pPr>
              <w:pStyle w:val="ENoteTableText"/>
            </w:pPr>
            <w:r w:rsidRPr="00E106BD">
              <w:t>1 Apr 2016 (F2016L00473)</w:t>
            </w:r>
          </w:p>
        </w:tc>
        <w:tc>
          <w:tcPr>
            <w:tcW w:w="1177" w:type="pct"/>
            <w:tcBorders>
              <w:left w:val="nil"/>
              <w:right w:val="nil"/>
            </w:tcBorders>
            <w:shd w:val="clear" w:color="auto" w:fill="auto"/>
          </w:tcPr>
          <w:p w:rsidR="00483757" w:rsidRPr="00E106BD" w:rsidRDefault="00483757" w:rsidP="00F1386F">
            <w:pPr>
              <w:pStyle w:val="ENoteTableText"/>
            </w:pPr>
            <w:r w:rsidRPr="00E106BD">
              <w:t>1 Apr 2016</w:t>
            </w:r>
            <w:r w:rsidR="00426BCE" w:rsidRPr="00E106BD">
              <w:t xml:space="preserve"> (s 2)</w:t>
            </w:r>
          </w:p>
        </w:tc>
        <w:tc>
          <w:tcPr>
            <w:tcW w:w="1175" w:type="pct"/>
            <w:tcBorders>
              <w:left w:val="nil"/>
            </w:tcBorders>
            <w:shd w:val="clear" w:color="auto" w:fill="auto"/>
          </w:tcPr>
          <w:p w:rsidR="00483757" w:rsidRPr="00E106BD" w:rsidRDefault="00483757" w:rsidP="004E4760">
            <w:pPr>
              <w:pStyle w:val="ENoteTableText"/>
            </w:pPr>
            <w:r w:rsidRPr="00E106BD">
              <w:t>—</w:t>
            </w:r>
          </w:p>
        </w:tc>
      </w:tr>
      <w:tr w:rsidR="00AA2846" w:rsidRPr="00E106BD" w:rsidTr="00B807DA">
        <w:trPr>
          <w:cantSplit/>
        </w:trPr>
        <w:tc>
          <w:tcPr>
            <w:tcW w:w="1470" w:type="pct"/>
            <w:tcBorders>
              <w:right w:val="nil"/>
            </w:tcBorders>
            <w:shd w:val="clear" w:color="auto" w:fill="auto"/>
          </w:tcPr>
          <w:p w:rsidR="00AA2846" w:rsidRPr="00E106BD" w:rsidRDefault="00AA2846">
            <w:pPr>
              <w:pStyle w:val="ENoteTableText"/>
            </w:pPr>
            <w:r w:rsidRPr="00E106BD">
              <w:t>PB 33 of 2016</w:t>
            </w:r>
          </w:p>
        </w:tc>
        <w:tc>
          <w:tcPr>
            <w:tcW w:w="1178" w:type="pct"/>
            <w:tcBorders>
              <w:left w:val="nil"/>
              <w:right w:val="nil"/>
            </w:tcBorders>
            <w:shd w:val="clear" w:color="auto" w:fill="auto"/>
          </w:tcPr>
          <w:p w:rsidR="00AA2846" w:rsidRPr="00E106BD" w:rsidRDefault="00AA2846">
            <w:pPr>
              <w:pStyle w:val="ENoteTableText"/>
            </w:pPr>
            <w:r w:rsidRPr="00E106BD">
              <w:t>29 Apr 2016 (F2016L00607)</w:t>
            </w:r>
          </w:p>
        </w:tc>
        <w:tc>
          <w:tcPr>
            <w:tcW w:w="1177" w:type="pct"/>
            <w:tcBorders>
              <w:left w:val="nil"/>
              <w:right w:val="nil"/>
            </w:tcBorders>
            <w:shd w:val="clear" w:color="auto" w:fill="auto"/>
          </w:tcPr>
          <w:p w:rsidR="00AA2846" w:rsidRPr="00E106BD" w:rsidRDefault="00AA2846">
            <w:pPr>
              <w:pStyle w:val="ENoteTableText"/>
            </w:pPr>
            <w:r w:rsidRPr="00E106BD">
              <w:t>1</w:t>
            </w:r>
            <w:r w:rsidR="00E106BD">
              <w:t> </w:t>
            </w:r>
            <w:r w:rsidRPr="00E106BD">
              <w:t>May 2016</w:t>
            </w:r>
            <w:r w:rsidR="00426BCE" w:rsidRPr="00E106BD">
              <w:t xml:space="preserve"> (s 2)</w:t>
            </w:r>
          </w:p>
        </w:tc>
        <w:tc>
          <w:tcPr>
            <w:tcW w:w="1175" w:type="pct"/>
            <w:tcBorders>
              <w:left w:val="nil"/>
            </w:tcBorders>
            <w:shd w:val="clear" w:color="auto" w:fill="auto"/>
          </w:tcPr>
          <w:p w:rsidR="00AA2846" w:rsidRPr="00E106BD" w:rsidRDefault="00AA2846" w:rsidP="004E4760">
            <w:pPr>
              <w:pStyle w:val="ENoteTableText"/>
            </w:pPr>
            <w:r w:rsidRPr="00E106BD">
              <w:t>—</w:t>
            </w:r>
          </w:p>
        </w:tc>
      </w:tr>
      <w:tr w:rsidR="001771E3" w:rsidRPr="00E106BD" w:rsidTr="00B807DA">
        <w:trPr>
          <w:cantSplit/>
        </w:trPr>
        <w:tc>
          <w:tcPr>
            <w:tcW w:w="1470" w:type="pct"/>
            <w:tcBorders>
              <w:right w:val="nil"/>
            </w:tcBorders>
            <w:shd w:val="clear" w:color="auto" w:fill="auto"/>
          </w:tcPr>
          <w:p w:rsidR="001771E3" w:rsidRPr="00E106BD" w:rsidRDefault="001771E3">
            <w:pPr>
              <w:pStyle w:val="ENoteTableText"/>
            </w:pPr>
            <w:r w:rsidRPr="00E106BD">
              <w:t>PB 45 of 2016</w:t>
            </w:r>
          </w:p>
        </w:tc>
        <w:tc>
          <w:tcPr>
            <w:tcW w:w="1178" w:type="pct"/>
            <w:tcBorders>
              <w:left w:val="nil"/>
              <w:right w:val="nil"/>
            </w:tcBorders>
            <w:shd w:val="clear" w:color="auto" w:fill="auto"/>
          </w:tcPr>
          <w:p w:rsidR="001771E3" w:rsidRPr="00E106BD" w:rsidRDefault="001771E3">
            <w:pPr>
              <w:pStyle w:val="ENoteTableText"/>
            </w:pPr>
            <w:r w:rsidRPr="00E106BD">
              <w:t>31</w:t>
            </w:r>
            <w:r w:rsidR="00E106BD">
              <w:t> </w:t>
            </w:r>
            <w:r w:rsidRPr="00E106BD">
              <w:t>May 2016 (F2016L00924)</w:t>
            </w:r>
          </w:p>
        </w:tc>
        <w:tc>
          <w:tcPr>
            <w:tcW w:w="1177" w:type="pct"/>
            <w:tcBorders>
              <w:left w:val="nil"/>
              <w:right w:val="nil"/>
            </w:tcBorders>
            <w:shd w:val="clear" w:color="auto" w:fill="auto"/>
          </w:tcPr>
          <w:p w:rsidR="001771E3" w:rsidRPr="00E106BD" w:rsidRDefault="001771E3">
            <w:pPr>
              <w:pStyle w:val="ENoteTableText"/>
            </w:pPr>
            <w:r w:rsidRPr="00E106BD">
              <w:t>1</w:t>
            </w:r>
            <w:r w:rsidR="00E106BD">
              <w:t> </w:t>
            </w:r>
            <w:r w:rsidRPr="00E106BD">
              <w:t>June 2016 (s 2)</w:t>
            </w:r>
          </w:p>
        </w:tc>
        <w:tc>
          <w:tcPr>
            <w:tcW w:w="1175" w:type="pct"/>
            <w:tcBorders>
              <w:left w:val="nil"/>
            </w:tcBorders>
            <w:shd w:val="clear" w:color="auto" w:fill="auto"/>
          </w:tcPr>
          <w:p w:rsidR="001771E3" w:rsidRPr="00E106BD" w:rsidRDefault="001771E3" w:rsidP="004E4760">
            <w:pPr>
              <w:pStyle w:val="ENoteTableText"/>
            </w:pPr>
            <w:r w:rsidRPr="00E106BD">
              <w:t>—</w:t>
            </w:r>
          </w:p>
        </w:tc>
      </w:tr>
      <w:tr w:rsidR="00FE20B2" w:rsidRPr="00E106BD" w:rsidTr="00B807DA">
        <w:trPr>
          <w:cantSplit/>
        </w:trPr>
        <w:tc>
          <w:tcPr>
            <w:tcW w:w="1470" w:type="pct"/>
            <w:tcBorders>
              <w:right w:val="nil"/>
            </w:tcBorders>
            <w:shd w:val="clear" w:color="auto" w:fill="auto"/>
          </w:tcPr>
          <w:p w:rsidR="00FE20B2" w:rsidRPr="00E106BD" w:rsidRDefault="00FE20B2">
            <w:pPr>
              <w:pStyle w:val="ENoteTableText"/>
            </w:pPr>
            <w:r w:rsidRPr="00E106BD">
              <w:t>PB 55 of 2016</w:t>
            </w:r>
          </w:p>
        </w:tc>
        <w:tc>
          <w:tcPr>
            <w:tcW w:w="1178" w:type="pct"/>
            <w:tcBorders>
              <w:left w:val="nil"/>
              <w:right w:val="nil"/>
            </w:tcBorders>
            <w:shd w:val="clear" w:color="auto" w:fill="auto"/>
          </w:tcPr>
          <w:p w:rsidR="00FE20B2" w:rsidRPr="00E106BD" w:rsidRDefault="00FE20B2">
            <w:pPr>
              <w:pStyle w:val="ENoteTableText"/>
            </w:pPr>
            <w:r w:rsidRPr="00E106BD">
              <w:t>28</w:t>
            </w:r>
            <w:r w:rsidR="00E106BD">
              <w:t> </w:t>
            </w:r>
            <w:r w:rsidRPr="00E106BD">
              <w:t>June 2016 (F2016L01091)</w:t>
            </w:r>
          </w:p>
        </w:tc>
        <w:tc>
          <w:tcPr>
            <w:tcW w:w="1177" w:type="pct"/>
            <w:tcBorders>
              <w:left w:val="nil"/>
              <w:right w:val="nil"/>
            </w:tcBorders>
            <w:shd w:val="clear" w:color="auto" w:fill="auto"/>
          </w:tcPr>
          <w:p w:rsidR="00FE20B2" w:rsidRPr="00E106BD" w:rsidRDefault="00FE20B2">
            <w:pPr>
              <w:pStyle w:val="ENoteTableText"/>
            </w:pPr>
            <w:r w:rsidRPr="00E106BD">
              <w:t>1</w:t>
            </w:r>
            <w:r w:rsidR="00E106BD">
              <w:t> </w:t>
            </w:r>
            <w:r w:rsidRPr="00E106BD">
              <w:t>July 2016 (s 2)</w:t>
            </w:r>
          </w:p>
        </w:tc>
        <w:tc>
          <w:tcPr>
            <w:tcW w:w="1175" w:type="pct"/>
            <w:tcBorders>
              <w:left w:val="nil"/>
            </w:tcBorders>
            <w:shd w:val="clear" w:color="auto" w:fill="auto"/>
          </w:tcPr>
          <w:p w:rsidR="00FE20B2" w:rsidRPr="00E106BD" w:rsidRDefault="00FE20B2" w:rsidP="004E4760">
            <w:pPr>
              <w:pStyle w:val="ENoteTableText"/>
            </w:pPr>
            <w:r w:rsidRPr="00E106BD">
              <w:t>—</w:t>
            </w:r>
          </w:p>
        </w:tc>
      </w:tr>
      <w:tr w:rsidR="00EF418D" w:rsidRPr="00E106BD" w:rsidTr="00B807DA">
        <w:trPr>
          <w:cantSplit/>
        </w:trPr>
        <w:tc>
          <w:tcPr>
            <w:tcW w:w="1470" w:type="pct"/>
            <w:tcBorders>
              <w:right w:val="nil"/>
            </w:tcBorders>
            <w:shd w:val="clear" w:color="auto" w:fill="auto"/>
          </w:tcPr>
          <w:p w:rsidR="00EF418D" w:rsidRPr="00E106BD" w:rsidRDefault="00EF418D">
            <w:pPr>
              <w:pStyle w:val="ENoteTableText"/>
            </w:pPr>
            <w:r w:rsidRPr="00E106BD">
              <w:t>PB 67 of 2016</w:t>
            </w:r>
          </w:p>
        </w:tc>
        <w:tc>
          <w:tcPr>
            <w:tcW w:w="1178" w:type="pct"/>
            <w:tcBorders>
              <w:left w:val="nil"/>
              <w:right w:val="nil"/>
            </w:tcBorders>
            <w:shd w:val="clear" w:color="auto" w:fill="auto"/>
          </w:tcPr>
          <w:p w:rsidR="00EF418D" w:rsidRPr="00E106BD" w:rsidRDefault="00EF418D">
            <w:pPr>
              <w:pStyle w:val="ENoteTableText"/>
            </w:pPr>
            <w:r w:rsidRPr="00E106BD">
              <w:t>28</w:t>
            </w:r>
            <w:r w:rsidR="00E106BD">
              <w:t> </w:t>
            </w:r>
            <w:r w:rsidRPr="00E106BD">
              <w:t>July 2016 (F2016L01240)</w:t>
            </w:r>
          </w:p>
        </w:tc>
        <w:tc>
          <w:tcPr>
            <w:tcW w:w="1177" w:type="pct"/>
            <w:tcBorders>
              <w:left w:val="nil"/>
              <w:right w:val="nil"/>
            </w:tcBorders>
            <w:shd w:val="clear" w:color="auto" w:fill="auto"/>
          </w:tcPr>
          <w:p w:rsidR="00EF418D" w:rsidRPr="00E106BD" w:rsidRDefault="00EF418D">
            <w:pPr>
              <w:pStyle w:val="ENoteTableText"/>
            </w:pPr>
            <w:r w:rsidRPr="00E106BD">
              <w:t>1 Aug 2016 (s 2)</w:t>
            </w:r>
          </w:p>
        </w:tc>
        <w:tc>
          <w:tcPr>
            <w:tcW w:w="1175" w:type="pct"/>
            <w:tcBorders>
              <w:left w:val="nil"/>
            </w:tcBorders>
            <w:shd w:val="clear" w:color="auto" w:fill="auto"/>
          </w:tcPr>
          <w:p w:rsidR="00EF418D" w:rsidRPr="00E106BD" w:rsidRDefault="00EF418D" w:rsidP="004E4760">
            <w:pPr>
              <w:pStyle w:val="ENoteTableText"/>
            </w:pPr>
            <w:r w:rsidRPr="00E106BD">
              <w:t>—</w:t>
            </w:r>
          </w:p>
        </w:tc>
      </w:tr>
      <w:tr w:rsidR="00705622" w:rsidRPr="00E106BD" w:rsidTr="00B807DA">
        <w:trPr>
          <w:cantSplit/>
        </w:trPr>
        <w:tc>
          <w:tcPr>
            <w:tcW w:w="1470" w:type="pct"/>
            <w:tcBorders>
              <w:right w:val="nil"/>
            </w:tcBorders>
            <w:shd w:val="clear" w:color="auto" w:fill="auto"/>
          </w:tcPr>
          <w:p w:rsidR="00705622" w:rsidRPr="00E106BD" w:rsidRDefault="00705622">
            <w:pPr>
              <w:pStyle w:val="ENoteTableText"/>
            </w:pPr>
            <w:r w:rsidRPr="00E106BD">
              <w:t>PB 76 of 2016</w:t>
            </w:r>
          </w:p>
        </w:tc>
        <w:tc>
          <w:tcPr>
            <w:tcW w:w="1178" w:type="pct"/>
            <w:tcBorders>
              <w:left w:val="nil"/>
              <w:right w:val="nil"/>
            </w:tcBorders>
            <w:shd w:val="clear" w:color="auto" w:fill="auto"/>
          </w:tcPr>
          <w:p w:rsidR="00705622" w:rsidRPr="00E106BD" w:rsidRDefault="00705622">
            <w:pPr>
              <w:pStyle w:val="ENoteTableText"/>
            </w:pPr>
            <w:r w:rsidRPr="00E106BD">
              <w:t>30 Aug 2016 (F2016L01365)</w:t>
            </w:r>
          </w:p>
        </w:tc>
        <w:tc>
          <w:tcPr>
            <w:tcW w:w="1177" w:type="pct"/>
            <w:tcBorders>
              <w:left w:val="nil"/>
              <w:right w:val="nil"/>
            </w:tcBorders>
            <w:shd w:val="clear" w:color="auto" w:fill="auto"/>
          </w:tcPr>
          <w:p w:rsidR="00705622" w:rsidRPr="00E106BD" w:rsidRDefault="00705622">
            <w:pPr>
              <w:pStyle w:val="ENoteTableText"/>
            </w:pPr>
            <w:r w:rsidRPr="00E106BD">
              <w:t>1 Sept 2016 (s 2)</w:t>
            </w:r>
          </w:p>
        </w:tc>
        <w:tc>
          <w:tcPr>
            <w:tcW w:w="1175" w:type="pct"/>
            <w:tcBorders>
              <w:left w:val="nil"/>
            </w:tcBorders>
            <w:shd w:val="clear" w:color="auto" w:fill="auto"/>
          </w:tcPr>
          <w:p w:rsidR="00705622" w:rsidRPr="00E106BD" w:rsidRDefault="00705622" w:rsidP="004E4760">
            <w:pPr>
              <w:pStyle w:val="ENoteTableText"/>
            </w:pPr>
            <w:r w:rsidRPr="00E106BD">
              <w:t>—</w:t>
            </w:r>
          </w:p>
        </w:tc>
      </w:tr>
      <w:tr w:rsidR="00E225A4" w:rsidRPr="00E106BD" w:rsidTr="00B807DA">
        <w:trPr>
          <w:cantSplit/>
        </w:trPr>
        <w:tc>
          <w:tcPr>
            <w:tcW w:w="1470" w:type="pct"/>
            <w:tcBorders>
              <w:right w:val="nil"/>
            </w:tcBorders>
            <w:shd w:val="clear" w:color="auto" w:fill="auto"/>
          </w:tcPr>
          <w:p w:rsidR="00E225A4" w:rsidRPr="00E106BD" w:rsidRDefault="00E225A4" w:rsidP="00881195">
            <w:pPr>
              <w:pStyle w:val="ENoteTableText"/>
            </w:pPr>
            <w:r w:rsidRPr="00E106BD">
              <w:t>PB 84 of 2016</w:t>
            </w:r>
          </w:p>
        </w:tc>
        <w:tc>
          <w:tcPr>
            <w:tcW w:w="1178" w:type="pct"/>
            <w:tcBorders>
              <w:left w:val="nil"/>
              <w:right w:val="nil"/>
            </w:tcBorders>
            <w:shd w:val="clear" w:color="auto" w:fill="auto"/>
          </w:tcPr>
          <w:p w:rsidR="00E225A4" w:rsidRPr="00E106BD" w:rsidRDefault="00E225A4" w:rsidP="00881195">
            <w:pPr>
              <w:pStyle w:val="ENoteTableText"/>
            </w:pPr>
            <w:r w:rsidRPr="00E106BD">
              <w:t>30 Sept 2016 (F2016L01559)</w:t>
            </w:r>
          </w:p>
        </w:tc>
        <w:tc>
          <w:tcPr>
            <w:tcW w:w="1177" w:type="pct"/>
            <w:tcBorders>
              <w:left w:val="nil"/>
              <w:right w:val="nil"/>
            </w:tcBorders>
            <w:shd w:val="clear" w:color="auto" w:fill="auto"/>
          </w:tcPr>
          <w:p w:rsidR="00E225A4" w:rsidRPr="00E106BD" w:rsidRDefault="00E225A4" w:rsidP="00881195">
            <w:pPr>
              <w:pStyle w:val="ENoteTableText"/>
            </w:pPr>
            <w:r w:rsidRPr="00E106BD">
              <w:t>1 Oct 2016 (s 2)</w:t>
            </w:r>
          </w:p>
        </w:tc>
        <w:tc>
          <w:tcPr>
            <w:tcW w:w="1175" w:type="pct"/>
            <w:tcBorders>
              <w:left w:val="nil"/>
            </w:tcBorders>
            <w:shd w:val="clear" w:color="auto" w:fill="auto"/>
          </w:tcPr>
          <w:p w:rsidR="00E225A4" w:rsidRPr="00E106BD" w:rsidRDefault="00E225A4" w:rsidP="004E4760">
            <w:pPr>
              <w:pStyle w:val="ENoteTableText"/>
            </w:pPr>
            <w:r w:rsidRPr="00E106BD">
              <w:t>—</w:t>
            </w:r>
          </w:p>
        </w:tc>
      </w:tr>
      <w:tr w:rsidR="00752EC6" w:rsidRPr="00E106BD" w:rsidTr="00B807DA">
        <w:trPr>
          <w:cantSplit/>
        </w:trPr>
        <w:tc>
          <w:tcPr>
            <w:tcW w:w="1470" w:type="pct"/>
            <w:tcBorders>
              <w:right w:val="nil"/>
            </w:tcBorders>
            <w:shd w:val="clear" w:color="auto" w:fill="auto"/>
          </w:tcPr>
          <w:p w:rsidR="00752EC6" w:rsidRPr="00E106BD" w:rsidRDefault="00752EC6" w:rsidP="00881195">
            <w:pPr>
              <w:pStyle w:val="ENoteTableText"/>
            </w:pPr>
            <w:r w:rsidRPr="00E106BD">
              <w:t>PB 93 of 2016</w:t>
            </w:r>
          </w:p>
        </w:tc>
        <w:tc>
          <w:tcPr>
            <w:tcW w:w="1178" w:type="pct"/>
            <w:tcBorders>
              <w:left w:val="nil"/>
              <w:right w:val="nil"/>
            </w:tcBorders>
            <w:shd w:val="clear" w:color="auto" w:fill="auto"/>
          </w:tcPr>
          <w:p w:rsidR="00752EC6" w:rsidRPr="00E106BD" w:rsidRDefault="00752EC6" w:rsidP="00881195">
            <w:pPr>
              <w:pStyle w:val="ENoteTableText"/>
            </w:pPr>
            <w:r w:rsidRPr="00E106BD">
              <w:t>31 Oct 2016 (F2016L01664)</w:t>
            </w:r>
          </w:p>
        </w:tc>
        <w:tc>
          <w:tcPr>
            <w:tcW w:w="1177" w:type="pct"/>
            <w:tcBorders>
              <w:left w:val="nil"/>
              <w:right w:val="nil"/>
            </w:tcBorders>
            <w:shd w:val="clear" w:color="auto" w:fill="auto"/>
          </w:tcPr>
          <w:p w:rsidR="00752EC6" w:rsidRPr="00E106BD" w:rsidRDefault="00752EC6" w:rsidP="00881195">
            <w:pPr>
              <w:pStyle w:val="ENoteTableText"/>
            </w:pPr>
            <w:r w:rsidRPr="00E106BD">
              <w:t>1 Nov 2016 (s 2)</w:t>
            </w:r>
          </w:p>
        </w:tc>
        <w:tc>
          <w:tcPr>
            <w:tcW w:w="1175" w:type="pct"/>
            <w:tcBorders>
              <w:left w:val="nil"/>
            </w:tcBorders>
            <w:shd w:val="clear" w:color="auto" w:fill="auto"/>
          </w:tcPr>
          <w:p w:rsidR="00752EC6" w:rsidRPr="00E106BD" w:rsidRDefault="00752EC6" w:rsidP="004E4760">
            <w:pPr>
              <w:pStyle w:val="ENoteTableText"/>
            </w:pPr>
            <w:r w:rsidRPr="00E106BD">
              <w:t>—</w:t>
            </w:r>
          </w:p>
        </w:tc>
      </w:tr>
      <w:tr w:rsidR="00144512" w:rsidRPr="00E106BD" w:rsidTr="00B807DA">
        <w:trPr>
          <w:cantSplit/>
        </w:trPr>
        <w:tc>
          <w:tcPr>
            <w:tcW w:w="1470" w:type="pct"/>
            <w:tcBorders>
              <w:right w:val="nil"/>
            </w:tcBorders>
            <w:shd w:val="clear" w:color="auto" w:fill="auto"/>
          </w:tcPr>
          <w:p w:rsidR="00144512" w:rsidRPr="00E106BD" w:rsidRDefault="00144512" w:rsidP="00881195">
            <w:pPr>
              <w:pStyle w:val="ENoteTableText"/>
            </w:pPr>
            <w:r w:rsidRPr="00E106BD">
              <w:t>PB 100 of 2016</w:t>
            </w:r>
          </w:p>
        </w:tc>
        <w:tc>
          <w:tcPr>
            <w:tcW w:w="1178" w:type="pct"/>
            <w:tcBorders>
              <w:left w:val="nil"/>
              <w:right w:val="nil"/>
            </w:tcBorders>
            <w:shd w:val="clear" w:color="auto" w:fill="auto"/>
          </w:tcPr>
          <w:p w:rsidR="00144512" w:rsidRPr="00E106BD" w:rsidRDefault="00144512" w:rsidP="00881195">
            <w:pPr>
              <w:pStyle w:val="ENoteTableText"/>
            </w:pPr>
            <w:r w:rsidRPr="00E106BD">
              <w:t>30 Nov 2016 (F2016L01842)</w:t>
            </w:r>
          </w:p>
        </w:tc>
        <w:tc>
          <w:tcPr>
            <w:tcW w:w="1177" w:type="pct"/>
            <w:tcBorders>
              <w:left w:val="nil"/>
              <w:right w:val="nil"/>
            </w:tcBorders>
            <w:shd w:val="clear" w:color="auto" w:fill="auto"/>
          </w:tcPr>
          <w:p w:rsidR="00144512" w:rsidRPr="00E106BD" w:rsidRDefault="00144512" w:rsidP="00881195">
            <w:pPr>
              <w:pStyle w:val="ENoteTableText"/>
            </w:pPr>
            <w:r w:rsidRPr="00E106BD">
              <w:t>1 Dec 2016 (s 2)</w:t>
            </w:r>
          </w:p>
        </w:tc>
        <w:tc>
          <w:tcPr>
            <w:tcW w:w="1175" w:type="pct"/>
            <w:tcBorders>
              <w:left w:val="nil"/>
            </w:tcBorders>
            <w:shd w:val="clear" w:color="auto" w:fill="auto"/>
          </w:tcPr>
          <w:p w:rsidR="00144512" w:rsidRPr="00E106BD" w:rsidRDefault="00144512" w:rsidP="004E4760">
            <w:pPr>
              <w:pStyle w:val="ENoteTableText"/>
            </w:pPr>
            <w:r w:rsidRPr="00E106BD">
              <w:t>—</w:t>
            </w:r>
          </w:p>
        </w:tc>
      </w:tr>
      <w:tr w:rsidR="00116B9A" w:rsidRPr="00E106BD" w:rsidTr="00B807DA">
        <w:trPr>
          <w:cantSplit/>
        </w:trPr>
        <w:tc>
          <w:tcPr>
            <w:tcW w:w="1470" w:type="pct"/>
            <w:tcBorders>
              <w:right w:val="nil"/>
            </w:tcBorders>
            <w:shd w:val="clear" w:color="auto" w:fill="auto"/>
          </w:tcPr>
          <w:p w:rsidR="00116B9A" w:rsidRPr="00E106BD" w:rsidRDefault="00116B9A" w:rsidP="00881195">
            <w:pPr>
              <w:pStyle w:val="ENoteTableText"/>
            </w:pPr>
            <w:r w:rsidRPr="00E106BD">
              <w:t>PB 113 of 2016</w:t>
            </w:r>
          </w:p>
        </w:tc>
        <w:tc>
          <w:tcPr>
            <w:tcW w:w="1178" w:type="pct"/>
            <w:tcBorders>
              <w:left w:val="nil"/>
              <w:right w:val="nil"/>
            </w:tcBorders>
            <w:shd w:val="clear" w:color="auto" w:fill="auto"/>
          </w:tcPr>
          <w:p w:rsidR="00116B9A" w:rsidRPr="00E106BD" w:rsidRDefault="00116B9A" w:rsidP="00881195">
            <w:pPr>
              <w:pStyle w:val="ENoteTableText"/>
            </w:pPr>
            <w:r w:rsidRPr="00E106BD">
              <w:t>22 Dec 2016 (F2016L02027)</w:t>
            </w:r>
          </w:p>
        </w:tc>
        <w:tc>
          <w:tcPr>
            <w:tcW w:w="1177" w:type="pct"/>
            <w:tcBorders>
              <w:left w:val="nil"/>
              <w:right w:val="nil"/>
            </w:tcBorders>
            <w:shd w:val="clear" w:color="auto" w:fill="auto"/>
          </w:tcPr>
          <w:p w:rsidR="00116B9A" w:rsidRPr="00E106BD" w:rsidRDefault="00116B9A" w:rsidP="00881195">
            <w:pPr>
              <w:pStyle w:val="ENoteTableText"/>
            </w:pPr>
            <w:r w:rsidRPr="00E106BD">
              <w:t>1 Jan 2017 (s 2)</w:t>
            </w:r>
          </w:p>
        </w:tc>
        <w:tc>
          <w:tcPr>
            <w:tcW w:w="1175" w:type="pct"/>
            <w:tcBorders>
              <w:left w:val="nil"/>
            </w:tcBorders>
            <w:shd w:val="clear" w:color="auto" w:fill="auto"/>
          </w:tcPr>
          <w:p w:rsidR="00116B9A" w:rsidRPr="00E106BD" w:rsidRDefault="00116B9A" w:rsidP="004E4760">
            <w:pPr>
              <w:pStyle w:val="ENoteTableText"/>
            </w:pPr>
            <w:r w:rsidRPr="00E106BD">
              <w:t>—</w:t>
            </w:r>
          </w:p>
        </w:tc>
      </w:tr>
      <w:tr w:rsidR="00922CF7" w:rsidRPr="00E106BD" w:rsidTr="00B807DA">
        <w:trPr>
          <w:cantSplit/>
        </w:trPr>
        <w:tc>
          <w:tcPr>
            <w:tcW w:w="1470" w:type="pct"/>
            <w:tcBorders>
              <w:right w:val="nil"/>
            </w:tcBorders>
            <w:shd w:val="clear" w:color="auto" w:fill="auto"/>
          </w:tcPr>
          <w:p w:rsidR="00922CF7" w:rsidRPr="00E106BD" w:rsidRDefault="00922CF7">
            <w:pPr>
              <w:pStyle w:val="ENoteTableText"/>
            </w:pPr>
            <w:r w:rsidRPr="00E106BD">
              <w:t>PB 5 of 2017</w:t>
            </w:r>
          </w:p>
        </w:tc>
        <w:tc>
          <w:tcPr>
            <w:tcW w:w="1178" w:type="pct"/>
            <w:tcBorders>
              <w:left w:val="nil"/>
              <w:right w:val="nil"/>
            </w:tcBorders>
            <w:shd w:val="clear" w:color="auto" w:fill="auto"/>
          </w:tcPr>
          <w:p w:rsidR="00922CF7" w:rsidRPr="00E106BD" w:rsidRDefault="00922CF7" w:rsidP="00881195">
            <w:pPr>
              <w:pStyle w:val="ENoteTableText"/>
            </w:pPr>
            <w:r w:rsidRPr="00E106BD">
              <w:t>25 Jan 2017 (F2017L00066)</w:t>
            </w:r>
          </w:p>
        </w:tc>
        <w:tc>
          <w:tcPr>
            <w:tcW w:w="1177" w:type="pct"/>
            <w:tcBorders>
              <w:left w:val="nil"/>
              <w:right w:val="nil"/>
            </w:tcBorders>
            <w:shd w:val="clear" w:color="auto" w:fill="auto"/>
          </w:tcPr>
          <w:p w:rsidR="00922CF7" w:rsidRPr="00E106BD" w:rsidRDefault="00922CF7" w:rsidP="00881195">
            <w:pPr>
              <w:pStyle w:val="ENoteTableText"/>
            </w:pPr>
            <w:r w:rsidRPr="00E106BD">
              <w:t>1 Feb 2017 (s 2)</w:t>
            </w:r>
          </w:p>
        </w:tc>
        <w:tc>
          <w:tcPr>
            <w:tcW w:w="1175" w:type="pct"/>
            <w:tcBorders>
              <w:left w:val="nil"/>
            </w:tcBorders>
            <w:shd w:val="clear" w:color="auto" w:fill="auto"/>
          </w:tcPr>
          <w:p w:rsidR="00922CF7" w:rsidRPr="00E106BD" w:rsidRDefault="00922CF7" w:rsidP="004E4760">
            <w:pPr>
              <w:pStyle w:val="ENoteTableText"/>
            </w:pPr>
            <w:r w:rsidRPr="00E106BD">
              <w:t>—</w:t>
            </w:r>
          </w:p>
        </w:tc>
      </w:tr>
      <w:tr w:rsidR="004A142C" w:rsidRPr="00E106BD" w:rsidTr="00B807DA">
        <w:trPr>
          <w:cantSplit/>
        </w:trPr>
        <w:tc>
          <w:tcPr>
            <w:tcW w:w="1470" w:type="pct"/>
            <w:tcBorders>
              <w:right w:val="nil"/>
            </w:tcBorders>
            <w:shd w:val="clear" w:color="auto" w:fill="auto"/>
          </w:tcPr>
          <w:p w:rsidR="004A142C" w:rsidRPr="00E106BD" w:rsidRDefault="004A142C">
            <w:pPr>
              <w:pStyle w:val="ENoteTableText"/>
            </w:pPr>
            <w:r w:rsidRPr="00E106BD">
              <w:t>PB 20 of 2017</w:t>
            </w:r>
          </w:p>
        </w:tc>
        <w:tc>
          <w:tcPr>
            <w:tcW w:w="1178" w:type="pct"/>
            <w:tcBorders>
              <w:left w:val="nil"/>
              <w:right w:val="nil"/>
            </w:tcBorders>
            <w:shd w:val="clear" w:color="auto" w:fill="auto"/>
          </w:tcPr>
          <w:p w:rsidR="004A142C" w:rsidRPr="00E106BD" w:rsidRDefault="004A142C" w:rsidP="00881195">
            <w:pPr>
              <w:pStyle w:val="ENoteTableText"/>
            </w:pPr>
            <w:r w:rsidRPr="00E106BD">
              <w:t>31 Mar 2017 (F2017L00378)</w:t>
            </w:r>
          </w:p>
        </w:tc>
        <w:tc>
          <w:tcPr>
            <w:tcW w:w="1177" w:type="pct"/>
            <w:tcBorders>
              <w:left w:val="nil"/>
              <w:right w:val="nil"/>
            </w:tcBorders>
            <w:shd w:val="clear" w:color="auto" w:fill="auto"/>
          </w:tcPr>
          <w:p w:rsidR="004A142C" w:rsidRPr="00E106BD" w:rsidRDefault="004A142C" w:rsidP="00881195">
            <w:pPr>
              <w:pStyle w:val="ENoteTableText"/>
            </w:pPr>
            <w:r w:rsidRPr="00E106BD">
              <w:t>1 Apr 2017 (s 2)</w:t>
            </w:r>
          </w:p>
        </w:tc>
        <w:tc>
          <w:tcPr>
            <w:tcW w:w="1175" w:type="pct"/>
            <w:tcBorders>
              <w:left w:val="nil"/>
            </w:tcBorders>
            <w:shd w:val="clear" w:color="auto" w:fill="auto"/>
          </w:tcPr>
          <w:p w:rsidR="004A142C" w:rsidRPr="00E106BD" w:rsidRDefault="004A142C" w:rsidP="004E4760">
            <w:pPr>
              <w:pStyle w:val="ENoteTableText"/>
            </w:pPr>
            <w:r w:rsidRPr="00E106BD">
              <w:t>—</w:t>
            </w:r>
          </w:p>
        </w:tc>
      </w:tr>
      <w:tr w:rsidR="00405405" w:rsidRPr="00E106BD" w:rsidTr="00B807DA">
        <w:trPr>
          <w:cantSplit/>
        </w:trPr>
        <w:tc>
          <w:tcPr>
            <w:tcW w:w="1470" w:type="pct"/>
            <w:tcBorders>
              <w:right w:val="nil"/>
            </w:tcBorders>
            <w:shd w:val="clear" w:color="auto" w:fill="auto"/>
          </w:tcPr>
          <w:p w:rsidR="00405405" w:rsidRPr="00E106BD" w:rsidRDefault="00405405">
            <w:pPr>
              <w:pStyle w:val="ENoteTableText"/>
            </w:pPr>
            <w:r w:rsidRPr="00E106BD">
              <w:t>PB 30 of 2017</w:t>
            </w:r>
          </w:p>
        </w:tc>
        <w:tc>
          <w:tcPr>
            <w:tcW w:w="1178" w:type="pct"/>
            <w:tcBorders>
              <w:left w:val="nil"/>
              <w:right w:val="nil"/>
            </w:tcBorders>
            <w:shd w:val="clear" w:color="auto" w:fill="auto"/>
          </w:tcPr>
          <w:p w:rsidR="00405405" w:rsidRPr="00E106BD" w:rsidRDefault="00405405" w:rsidP="00881195">
            <w:pPr>
              <w:pStyle w:val="ENoteTableText"/>
            </w:pPr>
            <w:r w:rsidRPr="00E106BD">
              <w:t>28 Apr 2017 (F2017L00489)</w:t>
            </w:r>
          </w:p>
        </w:tc>
        <w:tc>
          <w:tcPr>
            <w:tcW w:w="1177" w:type="pct"/>
            <w:tcBorders>
              <w:left w:val="nil"/>
              <w:right w:val="nil"/>
            </w:tcBorders>
            <w:shd w:val="clear" w:color="auto" w:fill="auto"/>
          </w:tcPr>
          <w:p w:rsidR="00405405" w:rsidRPr="00E106BD" w:rsidRDefault="00405405" w:rsidP="00881195">
            <w:pPr>
              <w:pStyle w:val="ENoteTableText"/>
            </w:pPr>
            <w:r w:rsidRPr="00E106BD">
              <w:t>1</w:t>
            </w:r>
            <w:r w:rsidR="00E106BD">
              <w:t> </w:t>
            </w:r>
            <w:r w:rsidRPr="00E106BD">
              <w:t>May 2017 (s 2)</w:t>
            </w:r>
          </w:p>
        </w:tc>
        <w:tc>
          <w:tcPr>
            <w:tcW w:w="1175" w:type="pct"/>
            <w:tcBorders>
              <w:left w:val="nil"/>
            </w:tcBorders>
            <w:shd w:val="clear" w:color="auto" w:fill="auto"/>
          </w:tcPr>
          <w:p w:rsidR="00405405" w:rsidRPr="00E106BD" w:rsidRDefault="00405405" w:rsidP="004E4760">
            <w:pPr>
              <w:pStyle w:val="ENoteTableText"/>
            </w:pPr>
            <w:r w:rsidRPr="00E106BD">
              <w:t>—</w:t>
            </w:r>
          </w:p>
        </w:tc>
      </w:tr>
      <w:tr w:rsidR="009172D1" w:rsidRPr="00E106BD" w:rsidTr="00B807DA">
        <w:trPr>
          <w:cantSplit/>
        </w:trPr>
        <w:tc>
          <w:tcPr>
            <w:tcW w:w="1470" w:type="pct"/>
            <w:tcBorders>
              <w:right w:val="nil"/>
            </w:tcBorders>
            <w:shd w:val="clear" w:color="auto" w:fill="auto"/>
          </w:tcPr>
          <w:p w:rsidR="009172D1" w:rsidRPr="00E106BD" w:rsidRDefault="009172D1">
            <w:pPr>
              <w:pStyle w:val="ENoteTableText"/>
            </w:pPr>
            <w:r w:rsidRPr="00E106BD">
              <w:t>PB 39 of 2017</w:t>
            </w:r>
          </w:p>
        </w:tc>
        <w:tc>
          <w:tcPr>
            <w:tcW w:w="1178" w:type="pct"/>
            <w:tcBorders>
              <w:left w:val="nil"/>
              <w:right w:val="nil"/>
            </w:tcBorders>
            <w:shd w:val="clear" w:color="auto" w:fill="auto"/>
          </w:tcPr>
          <w:p w:rsidR="009172D1" w:rsidRPr="00E106BD" w:rsidRDefault="009172D1" w:rsidP="00881195">
            <w:pPr>
              <w:pStyle w:val="ENoteTableText"/>
            </w:pPr>
            <w:r w:rsidRPr="00E106BD">
              <w:t>31</w:t>
            </w:r>
            <w:r w:rsidR="00E106BD">
              <w:t> </w:t>
            </w:r>
            <w:r w:rsidRPr="00E106BD">
              <w:t>May 2017 (F2017L00634)</w:t>
            </w:r>
          </w:p>
        </w:tc>
        <w:tc>
          <w:tcPr>
            <w:tcW w:w="1177" w:type="pct"/>
            <w:tcBorders>
              <w:left w:val="nil"/>
              <w:right w:val="nil"/>
            </w:tcBorders>
            <w:shd w:val="clear" w:color="auto" w:fill="auto"/>
          </w:tcPr>
          <w:p w:rsidR="009172D1" w:rsidRPr="00E106BD" w:rsidRDefault="009172D1" w:rsidP="00881195">
            <w:pPr>
              <w:pStyle w:val="ENoteTableText"/>
            </w:pPr>
            <w:r w:rsidRPr="00E106BD">
              <w:t>1</w:t>
            </w:r>
            <w:r w:rsidR="00E106BD">
              <w:t> </w:t>
            </w:r>
            <w:r w:rsidRPr="00E106BD">
              <w:t>June 2017 (s 2)</w:t>
            </w:r>
          </w:p>
        </w:tc>
        <w:tc>
          <w:tcPr>
            <w:tcW w:w="1175" w:type="pct"/>
            <w:tcBorders>
              <w:left w:val="nil"/>
            </w:tcBorders>
            <w:shd w:val="clear" w:color="auto" w:fill="auto"/>
          </w:tcPr>
          <w:p w:rsidR="009172D1" w:rsidRPr="00E106BD" w:rsidRDefault="009172D1" w:rsidP="004E4760">
            <w:pPr>
              <w:pStyle w:val="ENoteTableText"/>
            </w:pPr>
            <w:r w:rsidRPr="00E106BD">
              <w:t>—</w:t>
            </w:r>
          </w:p>
        </w:tc>
      </w:tr>
      <w:tr w:rsidR="00941BCE" w:rsidRPr="00E106BD" w:rsidTr="00B807DA">
        <w:trPr>
          <w:cantSplit/>
        </w:trPr>
        <w:tc>
          <w:tcPr>
            <w:tcW w:w="1470" w:type="pct"/>
            <w:tcBorders>
              <w:right w:val="nil"/>
            </w:tcBorders>
            <w:shd w:val="clear" w:color="auto" w:fill="auto"/>
          </w:tcPr>
          <w:p w:rsidR="00941BCE" w:rsidRPr="00E106BD" w:rsidRDefault="00941BCE">
            <w:pPr>
              <w:pStyle w:val="ENoteTableText"/>
            </w:pPr>
            <w:r w:rsidRPr="00E106BD">
              <w:t>PB 47 of 2017</w:t>
            </w:r>
          </w:p>
        </w:tc>
        <w:tc>
          <w:tcPr>
            <w:tcW w:w="1178" w:type="pct"/>
            <w:tcBorders>
              <w:left w:val="nil"/>
              <w:right w:val="nil"/>
            </w:tcBorders>
            <w:shd w:val="clear" w:color="auto" w:fill="auto"/>
          </w:tcPr>
          <w:p w:rsidR="00941BCE" w:rsidRPr="00E106BD" w:rsidRDefault="00941BCE" w:rsidP="000C3959">
            <w:pPr>
              <w:pStyle w:val="ENoteTableText"/>
            </w:pPr>
            <w:r w:rsidRPr="00E106BD">
              <w:t>30</w:t>
            </w:r>
            <w:r w:rsidR="00E106BD">
              <w:t> </w:t>
            </w:r>
            <w:r w:rsidRPr="00E106BD">
              <w:t>June 2017</w:t>
            </w:r>
            <w:r w:rsidR="000C3959" w:rsidRPr="00E106BD">
              <w:t xml:space="preserve"> </w:t>
            </w:r>
            <w:r w:rsidRPr="00E106BD">
              <w:t>(F2017L00856)</w:t>
            </w:r>
          </w:p>
        </w:tc>
        <w:tc>
          <w:tcPr>
            <w:tcW w:w="1177" w:type="pct"/>
            <w:tcBorders>
              <w:left w:val="nil"/>
              <w:right w:val="nil"/>
            </w:tcBorders>
            <w:shd w:val="clear" w:color="auto" w:fill="auto"/>
          </w:tcPr>
          <w:p w:rsidR="00941BCE" w:rsidRPr="00E106BD" w:rsidRDefault="00941BCE" w:rsidP="001E2F13">
            <w:pPr>
              <w:pStyle w:val="ENoteTableText"/>
            </w:pPr>
            <w:r w:rsidRPr="00E106BD">
              <w:t>1</w:t>
            </w:r>
            <w:r w:rsidR="00E106BD">
              <w:t> </w:t>
            </w:r>
            <w:r w:rsidRPr="00E106BD">
              <w:t>July 2017 (s 2)</w:t>
            </w:r>
          </w:p>
        </w:tc>
        <w:tc>
          <w:tcPr>
            <w:tcW w:w="1175" w:type="pct"/>
            <w:tcBorders>
              <w:left w:val="nil"/>
            </w:tcBorders>
            <w:shd w:val="clear" w:color="auto" w:fill="auto"/>
          </w:tcPr>
          <w:p w:rsidR="00941BCE" w:rsidRPr="00E106BD" w:rsidRDefault="00941BCE" w:rsidP="004E4760">
            <w:pPr>
              <w:pStyle w:val="ENoteTableText"/>
            </w:pPr>
            <w:r w:rsidRPr="00E106BD">
              <w:t>—</w:t>
            </w:r>
          </w:p>
        </w:tc>
      </w:tr>
      <w:tr w:rsidR="00E80C54" w:rsidRPr="00E106BD" w:rsidTr="00B807DA">
        <w:trPr>
          <w:cantSplit/>
        </w:trPr>
        <w:tc>
          <w:tcPr>
            <w:tcW w:w="1470" w:type="pct"/>
            <w:tcBorders>
              <w:right w:val="nil"/>
            </w:tcBorders>
            <w:shd w:val="clear" w:color="auto" w:fill="auto"/>
          </w:tcPr>
          <w:p w:rsidR="00E80C54" w:rsidRPr="00E106BD" w:rsidRDefault="00E80C54">
            <w:pPr>
              <w:pStyle w:val="ENoteTableText"/>
            </w:pPr>
            <w:r w:rsidRPr="00E106BD">
              <w:t>PB 57 of 2017</w:t>
            </w:r>
          </w:p>
        </w:tc>
        <w:tc>
          <w:tcPr>
            <w:tcW w:w="1178" w:type="pct"/>
            <w:tcBorders>
              <w:left w:val="nil"/>
              <w:right w:val="nil"/>
            </w:tcBorders>
            <w:shd w:val="clear" w:color="auto" w:fill="auto"/>
          </w:tcPr>
          <w:p w:rsidR="00E80C54" w:rsidRPr="00E106BD" w:rsidRDefault="007D1473" w:rsidP="00881195">
            <w:pPr>
              <w:pStyle w:val="ENoteTableText"/>
            </w:pPr>
            <w:r w:rsidRPr="00E106BD">
              <w:t>27</w:t>
            </w:r>
            <w:r w:rsidR="00E106BD">
              <w:t> </w:t>
            </w:r>
            <w:r w:rsidRPr="00E106BD">
              <w:t>July 2017 (F2017L00959)</w:t>
            </w:r>
          </w:p>
        </w:tc>
        <w:tc>
          <w:tcPr>
            <w:tcW w:w="1177" w:type="pct"/>
            <w:tcBorders>
              <w:left w:val="nil"/>
              <w:right w:val="nil"/>
            </w:tcBorders>
            <w:shd w:val="clear" w:color="auto" w:fill="auto"/>
          </w:tcPr>
          <w:p w:rsidR="00E80C54" w:rsidRPr="00E106BD" w:rsidRDefault="007D1473" w:rsidP="001E2F13">
            <w:pPr>
              <w:pStyle w:val="ENoteTableText"/>
            </w:pPr>
            <w:r w:rsidRPr="00E106BD">
              <w:t>1 Aug 2017 (s 2)</w:t>
            </w:r>
          </w:p>
        </w:tc>
        <w:tc>
          <w:tcPr>
            <w:tcW w:w="1175" w:type="pct"/>
            <w:tcBorders>
              <w:left w:val="nil"/>
            </w:tcBorders>
            <w:shd w:val="clear" w:color="auto" w:fill="auto"/>
          </w:tcPr>
          <w:p w:rsidR="00E80C54" w:rsidRPr="00E106BD" w:rsidRDefault="007D1473" w:rsidP="004E4760">
            <w:pPr>
              <w:pStyle w:val="ENoteTableText"/>
            </w:pPr>
            <w:r w:rsidRPr="00E106BD">
              <w:t>—</w:t>
            </w:r>
          </w:p>
        </w:tc>
      </w:tr>
      <w:tr w:rsidR="00B93540" w:rsidRPr="00E106BD" w:rsidTr="00B807DA">
        <w:trPr>
          <w:cantSplit/>
        </w:trPr>
        <w:tc>
          <w:tcPr>
            <w:tcW w:w="1470" w:type="pct"/>
            <w:tcBorders>
              <w:right w:val="nil"/>
            </w:tcBorders>
            <w:shd w:val="clear" w:color="auto" w:fill="auto"/>
          </w:tcPr>
          <w:p w:rsidR="00B93540" w:rsidRPr="00E106BD" w:rsidRDefault="00B93540">
            <w:pPr>
              <w:pStyle w:val="ENoteTableText"/>
            </w:pPr>
            <w:r w:rsidRPr="00E106BD">
              <w:t>PB 66 of 2017</w:t>
            </w:r>
          </w:p>
        </w:tc>
        <w:tc>
          <w:tcPr>
            <w:tcW w:w="1178" w:type="pct"/>
            <w:tcBorders>
              <w:left w:val="nil"/>
              <w:right w:val="nil"/>
            </w:tcBorders>
            <w:shd w:val="clear" w:color="auto" w:fill="auto"/>
          </w:tcPr>
          <w:p w:rsidR="00B93540" w:rsidRPr="00E106BD" w:rsidRDefault="00B93540" w:rsidP="00881195">
            <w:pPr>
              <w:pStyle w:val="ENoteTableText"/>
            </w:pPr>
            <w:r w:rsidRPr="00E106BD">
              <w:t>31 Aug 2017 (F2017L01117)</w:t>
            </w:r>
          </w:p>
        </w:tc>
        <w:tc>
          <w:tcPr>
            <w:tcW w:w="1177" w:type="pct"/>
            <w:tcBorders>
              <w:left w:val="nil"/>
              <w:right w:val="nil"/>
            </w:tcBorders>
            <w:shd w:val="clear" w:color="auto" w:fill="auto"/>
          </w:tcPr>
          <w:p w:rsidR="00B93540" w:rsidRPr="00E106BD" w:rsidRDefault="00B93540" w:rsidP="001E2F13">
            <w:pPr>
              <w:pStyle w:val="ENoteTableText"/>
            </w:pPr>
            <w:r w:rsidRPr="00E106BD">
              <w:t>1 Sept 2017 (s 2)</w:t>
            </w:r>
          </w:p>
        </w:tc>
        <w:tc>
          <w:tcPr>
            <w:tcW w:w="1175" w:type="pct"/>
            <w:tcBorders>
              <w:left w:val="nil"/>
            </w:tcBorders>
            <w:shd w:val="clear" w:color="auto" w:fill="auto"/>
          </w:tcPr>
          <w:p w:rsidR="00B93540" w:rsidRPr="00E106BD" w:rsidRDefault="00B93540" w:rsidP="004E4760">
            <w:pPr>
              <w:pStyle w:val="ENoteTableText"/>
            </w:pPr>
            <w:r w:rsidRPr="00E106BD">
              <w:t>—</w:t>
            </w:r>
          </w:p>
        </w:tc>
      </w:tr>
      <w:tr w:rsidR="00A8531D" w:rsidRPr="00E106BD" w:rsidTr="00B807DA">
        <w:trPr>
          <w:cantSplit/>
        </w:trPr>
        <w:tc>
          <w:tcPr>
            <w:tcW w:w="1470" w:type="pct"/>
            <w:tcBorders>
              <w:right w:val="nil"/>
            </w:tcBorders>
            <w:shd w:val="clear" w:color="auto" w:fill="auto"/>
          </w:tcPr>
          <w:p w:rsidR="00A8531D" w:rsidRPr="00E106BD" w:rsidRDefault="00A8531D" w:rsidP="00486AEE">
            <w:pPr>
              <w:pStyle w:val="ENoteTableText"/>
            </w:pPr>
            <w:r w:rsidRPr="00E106BD">
              <w:t>PB 75 of 2017</w:t>
            </w:r>
          </w:p>
        </w:tc>
        <w:tc>
          <w:tcPr>
            <w:tcW w:w="1178" w:type="pct"/>
            <w:tcBorders>
              <w:left w:val="nil"/>
              <w:right w:val="nil"/>
            </w:tcBorders>
            <w:shd w:val="clear" w:color="auto" w:fill="auto"/>
          </w:tcPr>
          <w:p w:rsidR="00A8531D" w:rsidRPr="00E106BD" w:rsidRDefault="00A8531D" w:rsidP="00486AEE">
            <w:pPr>
              <w:pStyle w:val="ENoteTableText"/>
            </w:pPr>
            <w:r w:rsidRPr="00E106BD">
              <w:t>26 Sept 2017 (F2017L01271)</w:t>
            </w:r>
          </w:p>
        </w:tc>
        <w:tc>
          <w:tcPr>
            <w:tcW w:w="1177" w:type="pct"/>
            <w:tcBorders>
              <w:left w:val="nil"/>
              <w:right w:val="nil"/>
            </w:tcBorders>
            <w:shd w:val="clear" w:color="auto" w:fill="auto"/>
          </w:tcPr>
          <w:p w:rsidR="00A8531D" w:rsidRPr="00E106BD" w:rsidRDefault="00A8531D" w:rsidP="00486AEE">
            <w:pPr>
              <w:pStyle w:val="ENoteTableText"/>
            </w:pPr>
            <w:r w:rsidRPr="00E106BD">
              <w:t>1 Oct 2017 (s 2)</w:t>
            </w:r>
          </w:p>
        </w:tc>
        <w:tc>
          <w:tcPr>
            <w:tcW w:w="1175" w:type="pct"/>
            <w:tcBorders>
              <w:left w:val="nil"/>
            </w:tcBorders>
            <w:shd w:val="clear" w:color="auto" w:fill="auto"/>
          </w:tcPr>
          <w:p w:rsidR="00A8531D" w:rsidRPr="00E106BD" w:rsidRDefault="00A8531D" w:rsidP="004E4760">
            <w:pPr>
              <w:pStyle w:val="ENoteTableText"/>
            </w:pPr>
            <w:r w:rsidRPr="00E106BD">
              <w:t>—</w:t>
            </w:r>
          </w:p>
        </w:tc>
      </w:tr>
      <w:tr w:rsidR="00141A4D" w:rsidRPr="00E106BD" w:rsidTr="00B807DA">
        <w:trPr>
          <w:cantSplit/>
        </w:trPr>
        <w:tc>
          <w:tcPr>
            <w:tcW w:w="1470" w:type="pct"/>
            <w:tcBorders>
              <w:right w:val="nil"/>
            </w:tcBorders>
            <w:shd w:val="clear" w:color="auto" w:fill="auto"/>
          </w:tcPr>
          <w:p w:rsidR="00141A4D" w:rsidRPr="00E106BD" w:rsidRDefault="00141A4D" w:rsidP="00486AEE">
            <w:pPr>
              <w:pStyle w:val="ENoteTableText"/>
            </w:pPr>
            <w:r w:rsidRPr="00E106BD">
              <w:t>PB 88 of 2017</w:t>
            </w:r>
          </w:p>
        </w:tc>
        <w:tc>
          <w:tcPr>
            <w:tcW w:w="1178" w:type="pct"/>
            <w:tcBorders>
              <w:left w:val="nil"/>
              <w:right w:val="nil"/>
            </w:tcBorders>
            <w:shd w:val="clear" w:color="auto" w:fill="auto"/>
          </w:tcPr>
          <w:p w:rsidR="00141A4D" w:rsidRPr="00E106BD" w:rsidRDefault="00141A4D" w:rsidP="00486AEE">
            <w:pPr>
              <w:pStyle w:val="ENoteTableText"/>
            </w:pPr>
            <w:r w:rsidRPr="00E106BD">
              <w:t>30 Oct 2017 (F2017L01399)</w:t>
            </w:r>
          </w:p>
        </w:tc>
        <w:tc>
          <w:tcPr>
            <w:tcW w:w="1177" w:type="pct"/>
            <w:tcBorders>
              <w:left w:val="nil"/>
              <w:right w:val="nil"/>
            </w:tcBorders>
            <w:shd w:val="clear" w:color="auto" w:fill="auto"/>
          </w:tcPr>
          <w:p w:rsidR="00141A4D" w:rsidRPr="00E106BD" w:rsidRDefault="00141A4D" w:rsidP="00486AEE">
            <w:pPr>
              <w:pStyle w:val="ENoteTableText"/>
            </w:pPr>
            <w:r w:rsidRPr="00E106BD">
              <w:t>1 Nov 2017 (s 2)</w:t>
            </w:r>
          </w:p>
        </w:tc>
        <w:tc>
          <w:tcPr>
            <w:tcW w:w="1175" w:type="pct"/>
            <w:tcBorders>
              <w:left w:val="nil"/>
            </w:tcBorders>
            <w:shd w:val="clear" w:color="auto" w:fill="auto"/>
          </w:tcPr>
          <w:p w:rsidR="00141A4D" w:rsidRPr="00E106BD" w:rsidRDefault="00141A4D" w:rsidP="004E4760">
            <w:pPr>
              <w:pStyle w:val="ENoteTableText"/>
            </w:pPr>
            <w:r w:rsidRPr="00E106BD">
              <w:t>—</w:t>
            </w:r>
          </w:p>
        </w:tc>
      </w:tr>
      <w:tr w:rsidR="001F7C05" w:rsidRPr="00E106BD" w:rsidTr="00B807DA">
        <w:trPr>
          <w:cantSplit/>
        </w:trPr>
        <w:tc>
          <w:tcPr>
            <w:tcW w:w="1470" w:type="pct"/>
            <w:tcBorders>
              <w:right w:val="nil"/>
            </w:tcBorders>
            <w:shd w:val="clear" w:color="auto" w:fill="auto"/>
          </w:tcPr>
          <w:p w:rsidR="001F7C05" w:rsidRPr="00E106BD" w:rsidRDefault="001F7C05" w:rsidP="00486AEE">
            <w:pPr>
              <w:pStyle w:val="ENoteTableText"/>
            </w:pPr>
            <w:r w:rsidRPr="00E106BD">
              <w:t>PB 95 of 2017</w:t>
            </w:r>
          </w:p>
        </w:tc>
        <w:tc>
          <w:tcPr>
            <w:tcW w:w="1178" w:type="pct"/>
            <w:tcBorders>
              <w:left w:val="nil"/>
              <w:right w:val="nil"/>
            </w:tcBorders>
            <w:shd w:val="clear" w:color="auto" w:fill="auto"/>
          </w:tcPr>
          <w:p w:rsidR="001F7C05" w:rsidRPr="00E106BD" w:rsidRDefault="001F7C05" w:rsidP="00486AEE">
            <w:pPr>
              <w:pStyle w:val="ENoteTableText"/>
            </w:pPr>
            <w:r w:rsidRPr="00E106BD">
              <w:t>1 Dec 2017 (F2017L01555)</w:t>
            </w:r>
          </w:p>
        </w:tc>
        <w:tc>
          <w:tcPr>
            <w:tcW w:w="1177" w:type="pct"/>
            <w:tcBorders>
              <w:left w:val="nil"/>
              <w:right w:val="nil"/>
            </w:tcBorders>
            <w:shd w:val="clear" w:color="auto" w:fill="auto"/>
          </w:tcPr>
          <w:p w:rsidR="001F7C05" w:rsidRPr="00E106BD" w:rsidRDefault="001F7C05" w:rsidP="00486AEE">
            <w:pPr>
              <w:pStyle w:val="ENoteTableText"/>
            </w:pPr>
            <w:r w:rsidRPr="00E106BD">
              <w:t>1 Dec 2017 (s 2)</w:t>
            </w:r>
          </w:p>
        </w:tc>
        <w:tc>
          <w:tcPr>
            <w:tcW w:w="1175" w:type="pct"/>
            <w:tcBorders>
              <w:left w:val="nil"/>
            </w:tcBorders>
            <w:shd w:val="clear" w:color="auto" w:fill="auto"/>
          </w:tcPr>
          <w:p w:rsidR="001F7C05" w:rsidRPr="00E106BD" w:rsidRDefault="001F7C05" w:rsidP="004E4760">
            <w:pPr>
              <w:pStyle w:val="ENoteTableText"/>
            </w:pPr>
            <w:r w:rsidRPr="00E106BD">
              <w:t>—</w:t>
            </w:r>
          </w:p>
        </w:tc>
      </w:tr>
      <w:tr w:rsidR="00183340" w:rsidRPr="00E106BD" w:rsidTr="00B807DA">
        <w:trPr>
          <w:cantSplit/>
        </w:trPr>
        <w:tc>
          <w:tcPr>
            <w:tcW w:w="1470" w:type="pct"/>
            <w:tcBorders>
              <w:right w:val="nil"/>
            </w:tcBorders>
            <w:shd w:val="clear" w:color="auto" w:fill="auto"/>
          </w:tcPr>
          <w:p w:rsidR="00183340" w:rsidRPr="00E106BD" w:rsidRDefault="00183340">
            <w:pPr>
              <w:pStyle w:val="ENoteTableText"/>
            </w:pPr>
            <w:r w:rsidRPr="00E106BD">
              <w:t>PB 104 of 2017</w:t>
            </w:r>
          </w:p>
        </w:tc>
        <w:tc>
          <w:tcPr>
            <w:tcW w:w="1178" w:type="pct"/>
            <w:tcBorders>
              <w:left w:val="nil"/>
              <w:right w:val="nil"/>
            </w:tcBorders>
            <w:shd w:val="clear" w:color="auto" w:fill="auto"/>
          </w:tcPr>
          <w:p w:rsidR="00183340" w:rsidRPr="00E106BD" w:rsidRDefault="00183340">
            <w:pPr>
              <w:pStyle w:val="ENoteTableText"/>
            </w:pPr>
            <w:r w:rsidRPr="00E106BD">
              <w:t>15 Dec 2017 (F2017L01626)</w:t>
            </w:r>
          </w:p>
        </w:tc>
        <w:tc>
          <w:tcPr>
            <w:tcW w:w="1177" w:type="pct"/>
            <w:tcBorders>
              <w:left w:val="nil"/>
              <w:right w:val="nil"/>
            </w:tcBorders>
            <w:shd w:val="clear" w:color="auto" w:fill="auto"/>
          </w:tcPr>
          <w:p w:rsidR="00183340" w:rsidRPr="00E106BD" w:rsidRDefault="00183340">
            <w:pPr>
              <w:pStyle w:val="ENoteTableText"/>
            </w:pPr>
            <w:r w:rsidRPr="00E106BD">
              <w:t>1 Jan 2018 (s 2)</w:t>
            </w:r>
          </w:p>
        </w:tc>
        <w:tc>
          <w:tcPr>
            <w:tcW w:w="1175" w:type="pct"/>
            <w:tcBorders>
              <w:left w:val="nil"/>
            </w:tcBorders>
            <w:shd w:val="clear" w:color="auto" w:fill="auto"/>
          </w:tcPr>
          <w:p w:rsidR="00183340" w:rsidRPr="00E106BD" w:rsidRDefault="00183340" w:rsidP="004E4760">
            <w:pPr>
              <w:pStyle w:val="ENoteTableText"/>
            </w:pPr>
            <w:r w:rsidRPr="00E106BD">
              <w:t>—</w:t>
            </w:r>
          </w:p>
        </w:tc>
      </w:tr>
      <w:tr w:rsidR="00414EF3" w:rsidRPr="00E106BD" w:rsidTr="00B807DA">
        <w:trPr>
          <w:cantSplit/>
        </w:trPr>
        <w:tc>
          <w:tcPr>
            <w:tcW w:w="1470" w:type="pct"/>
            <w:tcBorders>
              <w:right w:val="nil"/>
            </w:tcBorders>
            <w:shd w:val="clear" w:color="auto" w:fill="auto"/>
          </w:tcPr>
          <w:p w:rsidR="00414EF3" w:rsidRPr="00E106BD" w:rsidRDefault="00414EF3">
            <w:pPr>
              <w:pStyle w:val="ENoteTableText"/>
            </w:pPr>
            <w:r w:rsidRPr="00E106BD">
              <w:t>PB 6 of 2018</w:t>
            </w:r>
          </w:p>
        </w:tc>
        <w:tc>
          <w:tcPr>
            <w:tcW w:w="1178" w:type="pct"/>
            <w:tcBorders>
              <w:left w:val="nil"/>
              <w:right w:val="nil"/>
            </w:tcBorders>
            <w:shd w:val="clear" w:color="auto" w:fill="auto"/>
          </w:tcPr>
          <w:p w:rsidR="00414EF3" w:rsidRPr="00E106BD" w:rsidRDefault="00414EF3">
            <w:pPr>
              <w:pStyle w:val="ENoteTableText"/>
            </w:pPr>
            <w:r w:rsidRPr="00E106BD">
              <w:t>30 Jan 2018 (F2018L00068)</w:t>
            </w:r>
          </w:p>
        </w:tc>
        <w:tc>
          <w:tcPr>
            <w:tcW w:w="1177" w:type="pct"/>
            <w:tcBorders>
              <w:left w:val="nil"/>
              <w:right w:val="nil"/>
            </w:tcBorders>
            <w:shd w:val="clear" w:color="auto" w:fill="auto"/>
          </w:tcPr>
          <w:p w:rsidR="00414EF3" w:rsidRPr="00E106BD" w:rsidRDefault="00414EF3">
            <w:pPr>
              <w:pStyle w:val="ENoteTableText"/>
            </w:pPr>
            <w:r w:rsidRPr="00E106BD">
              <w:t>1 Feb 2018 (s 2)</w:t>
            </w:r>
          </w:p>
        </w:tc>
        <w:tc>
          <w:tcPr>
            <w:tcW w:w="1175" w:type="pct"/>
            <w:tcBorders>
              <w:left w:val="nil"/>
            </w:tcBorders>
            <w:shd w:val="clear" w:color="auto" w:fill="auto"/>
          </w:tcPr>
          <w:p w:rsidR="00414EF3" w:rsidRPr="00E106BD" w:rsidRDefault="00414EF3" w:rsidP="004E4760">
            <w:pPr>
              <w:pStyle w:val="ENoteTableText"/>
            </w:pPr>
            <w:r w:rsidRPr="00E106BD">
              <w:t>—</w:t>
            </w:r>
          </w:p>
        </w:tc>
      </w:tr>
      <w:tr w:rsidR="006922CF" w:rsidRPr="00E106BD" w:rsidTr="00B807DA">
        <w:trPr>
          <w:cantSplit/>
        </w:trPr>
        <w:tc>
          <w:tcPr>
            <w:tcW w:w="1470" w:type="pct"/>
            <w:tcBorders>
              <w:right w:val="nil"/>
            </w:tcBorders>
            <w:shd w:val="clear" w:color="auto" w:fill="auto"/>
          </w:tcPr>
          <w:p w:rsidR="006922CF" w:rsidRPr="00E106BD" w:rsidRDefault="006922CF">
            <w:pPr>
              <w:pStyle w:val="ENoteTableText"/>
            </w:pPr>
            <w:r w:rsidRPr="00E106BD">
              <w:t>PB 16 of 2018</w:t>
            </w:r>
          </w:p>
        </w:tc>
        <w:tc>
          <w:tcPr>
            <w:tcW w:w="1178" w:type="pct"/>
            <w:tcBorders>
              <w:left w:val="nil"/>
              <w:right w:val="nil"/>
            </w:tcBorders>
            <w:shd w:val="clear" w:color="auto" w:fill="auto"/>
          </w:tcPr>
          <w:p w:rsidR="006922CF" w:rsidRPr="00E106BD" w:rsidRDefault="006922CF">
            <w:pPr>
              <w:pStyle w:val="ENoteTableText"/>
            </w:pPr>
            <w:r w:rsidRPr="00E106BD">
              <w:t>28 Feb 2018 (F2018L00162)</w:t>
            </w:r>
          </w:p>
        </w:tc>
        <w:tc>
          <w:tcPr>
            <w:tcW w:w="1177" w:type="pct"/>
            <w:tcBorders>
              <w:left w:val="nil"/>
              <w:right w:val="nil"/>
            </w:tcBorders>
            <w:shd w:val="clear" w:color="auto" w:fill="auto"/>
          </w:tcPr>
          <w:p w:rsidR="006922CF" w:rsidRPr="00E106BD" w:rsidRDefault="006922CF">
            <w:pPr>
              <w:pStyle w:val="ENoteTableText"/>
            </w:pPr>
            <w:r w:rsidRPr="00E106BD">
              <w:t>1 Mar 2018 (s 2)</w:t>
            </w:r>
          </w:p>
        </w:tc>
        <w:tc>
          <w:tcPr>
            <w:tcW w:w="1175" w:type="pct"/>
            <w:tcBorders>
              <w:left w:val="nil"/>
            </w:tcBorders>
            <w:shd w:val="clear" w:color="auto" w:fill="auto"/>
          </w:tcPr>
          <w:p w:rsidR="006922CF" w:rsidRPr="00E106BD" w:rsidRDefault="006922CF" w:rsidP="004E4760">
            <w:pPr>
              <w:pStyle w:val="ENoteTableText"/>
            </w:pPr>
            <w:r w:rsidRPr="00E106BD">
              <w:t>—</w:t>
            </w:r>
          </w:p>
        </w:tc>
      </w:tr>
      <w:tr w:rsidR="004B23AD" w:rsidRPr="00E106BD" w:rsidTr="00B807DA">
        <w:trPr>
          <w:cantSplit/>
        </w:trPr>
        <w:tc>
          <w:tcPr>
            <w:tcW w:w="1470" w:type="pct"/>
            <w:tcBorders>
              <w:right w:val="nil"/>
            </w:tcBorders>
            <w:shd w:val="clear" w:color="auto" w:fill="auto"/>
          </w:tcPr>
          <w:p w:rsidR="004B23AD" w:rsidRPr="00E106BD" w:rsidRDefault="004B23AD">
            <w:pPr>
              <w:pStyle w:val="ENoteTableText"/>
            </w:pPr>
            <w:r w:rsidRPr="00E106BD">
              <w:t>PB 22 of 2018</w:t>
            </w:r>
          </w:p>
        </w:tc>
        <w:tc>
          <w:tcPr>
            <w:tcW w:w="1178" w:type="pct"/>
            <w:tcBorders>
              <w:left w:val="nil"/>
              <w:right w:val="nil"/>
            </w:tcBorders>
            <w:shd w:val="clear" w:color="auto" w:fill="auto"/>
          </w:tcPr>
          <w:p w:rsidR="004B23AD" w:rsidRPr="00E106BD" w:rsidRDefault="004B23AD">
            <w:pPr>
              <w:pStyle w:val="ENoteTableText"/>
            </w:pPr>
            <w:r w:rsidRPr="00E106BD">
              <w:t>28 Mar 2018 (F2018L00428)</w:t>
            </w:r>
          </w:p>
        </w:tc>
        <w:tc>
          <w:tcPr>
            <w:tcW w:w="1177" w:type="pct"/>
            <w:tcBorders>
              <w:left w:val="nil"/>
              <w:right w:val="nil"/>
            </w:tcBorders>
            <w:shd w:val="clear" w:color="auto" w:fill="auto"/>
          </w:tcPr>
          <w:p w:rsidR="004B23AD" w:rsidRPr="00E106BD" w:rsidRDefault="004B23AD">
            <w:pPr>
              <w:pStyle w:val="ENoteTableText"/>
            </w:pPr>
            <w:r w:rsidRPr="00E106BD">
              <w:t>1 Apr 2018 (s 2)</w:t>
            </w:r>
          </w:p>
        </w:tc>
        <w:tc>
          <w:tcPr>
            <w:tcW w:w="1175" w:type="pct"/>
            <w:tcBorders>
              <w:left w:val="nil"/>
            </w:tcBorders>
            <w:shd w:val="clear" w:color="auto" w:fill="auto"/>
          </w:tcPr>
          <w:p w:rsidR="004B23AD" w:rsidRPr="00E106BD" w:rsidRDefault="004B23AD" w:rsidP="004E4760">
            <w:pPr>
              <w:pStyle w:val="ENoteTableText"/>
            </w:pPr>
            <w:r w:rsidRPr="00E106BD">
              <w:t>—</w:t>
            </w:r>
          </w:p>
        </w:tc>
      </w:tr>
      <w:tr w:rsidR="009E220A" w:rsidRPr="00E106BD" w:rsidTr="00B807DA">
        <w:trPr>
          <w:cantSplit/>
        </w:trPr>
        <w:tc>
          <w:tcPr>
            <w:tcW w:w="1470" w:type="pct"/>
            <w:tcBorders>
              <w:right w:val="nil"/>
            </w:tcBorders>
            <w:shd w:val="clear" w:color="auto" w:fill="auto"/>
          </w:tcPr>
          <w:p w:rsidR="009E220A" w:rsidRPr="00E106BD" w:rsidRDefault="009E220A" w:rsidP="005D5361">
            <w:pPr>
              <w:pStyle w:val="ENoteTableText"/>
            </w:pPr>
            <w:r w:rsidRPr="00E106BD">
              <w:t>PB 40 of 2018</w:t>
            </w:r>
          </w:p>
        </w:tc>
        <w:tc>
          <w:tcPr>
            <w:tcW w:w="1178" w:type="pct"/>
            <w:tcBorders>
              <w:left w:val="nil"/>
              <w:right w:val="nil"/>
            </w:tcBorders>
            <w:shd w:val="clear" w:color="auto" w:fill="auto"/>
          </w:tcPr>
          <w:p w:rsidR="009E220A" w:rsidRPr="00E106BD" w:rsidRDefault="009E220A" w:rsidP="005D5361">
            <w:pPr>
              <w:pStyle w:val="ENoteTableText"/>
            </w:pPr>
            <w:r w:rsidRPr="00E106BD">
              <w:t>1</w:t>
            </w:r>
            <w:r w:rsidR="00E106BD">
              <w:t> </w:t>
            </w:r>
            <w:r w:rsidRPr="00E106BD">
              <w:t>June 2018 (F2018L00704)</w:t>
            </w:r>
          </w:p>
        </w:tc>
        <w:tc>
          <w:tcPr>
            <w:tcW w:w="1177" w:type="pct"/>
            <w:tcBorders>
              <w:left w:val="nil"/>
              <w:right w:val="nil"/>
            </w:tcBorders>
            <w:shd w:val="clear" w:color="auto" w:fill="auto"/>
          </w:tcPr>
          <w:p w:rsidR="009E220A" w:rsidRPr="00E106BD" w:rsidRDefault="009E220A" w:rsidP="005D5361">
            <w:pPr>
              <w:pStyle w:val="ENoteTableText"/>
            </w:pPr>
            <w:r w:rsidRPr="00E106BD">
              <w:t>1</w:t>
            </w:r>
            <w:r w:rsidR="00E106BD">
              <w:t> </w:t>
            </w:r>
            <w:r w:rsidRPr="00E106BD">
              <w:t>June 2018 (s 2)</w:t>
            </w:r>
          </w:p>
        </w:tc>
        <w:tc>
          <w:tcPr>
            <w:tcW w:w="1175" w:type="pct"/>
            <w:tcBorders>
              <w:left w:val="nil"/>
            </w:tcBorders>
            <w:shd w:val="clear" w:color="auto" w:fill="auto"/>
          </w:tcPr>
          <w:p w:rsidR="009E220A" w:rsidRPr="00E106BD" w:rsidRDefault="009E220A" w:rsidP="005D5361">
            <w:pPr>
              <w:pStyle w:val="ENoteTableText"/>
            </w:pPr>
            <w:r w:rsidRPr="00E106BD">
              <w:t>—</w:t>
            </w:r>
          </w:p>
        </w:tc>
      </w:tr>
      <w:tr w:rsidR="006E4038" w:rsidRPr="00E106BD" w:rsidTr="00B807DA">
        <w:trPr>
          <w:cantSplit/>
        </w:trPr>
        <w:tc>
          <w:tcPr>
            <w:tcW w:w="1470" w:type="pct"/>
            <w:tcBorders>
              <w:right w:val="nil"/>
            </w:tcBorders>
            <w:shd w:val="clear" w:color="auto" w:fill="auto"/>
          </w:tcPr>
          <w:p w:rsidR="006E4038" w:rsidRPr="00E106BD" w:rsidRDefault="006E4038" w:rsidP="005D5361">
            <w:pPr>
              <w:pStyle w:val="ENoteTableText"/>
            </w:pPr>
            <w:r w:rsidRPr="00E106BD">
              <w:t>PB 54 of 2018</w:t>
            </w:r>
          </w:p>
        </w:tc>
        <w:tc>
          <w:tcPr>
            <w:tcW w:w="1178" w:type="pct"/>
            <w:tcBorders>
              <w:left w:val="nil"/>
              <w:right w:val="nil"/>
            </w:tcBorders>
            <w:shd w:val="clear" w:color="auto" w:fill="auto"/>
          </w:tcPr>
          <w:p w:rsidR="006E4038" w:rsidRPr="00E106BD" w:rsidRDefault="006E4038" w:rsidP="005D5361">
            <w:pPr>
              <w:pStyle w:val="ENoteTableText"/>
            </w:pPr>
            <w:r w:rsidRPr="00E106BD">
              <w:t>29</w:t>
            </w:r>
            <w:r w:rsidR="00E106BD">
              <w:t> </w:t>
            </w:r>
            <w:r w:rsidRPr="00E106BD">
              <w:t>June 2018</w:t>
            </w:r>
            <w:r w:rsidR="009F7B3A" w:rsidRPr="00E106BD">
              <w:t xml:space="preserve"> </w:t>
            </w:r>
            <w:r w:rsidRPr="00E106BD">
              <w:t>(F2018L00951)</w:t>
            </w:r>
          </w:p>
        </w:tc>
        <w:tc>
          <w:tcPr>
            <w:tcW w:w="1177" w:type="pct"/>
            <w:tcBorders>
              <w:left w:val="nil"/>
              <w:right w:val="nil"/>
            </w:tcBorders>
            <w:shd w:val="clear" w:color="auto" w:fill="auto"/>
          </w:tcPr>
          <w:p w:rsidR="006E4038" w:rsidRPr="00E106BD" w:rsidRDefault="006E4038" w:rsidP="005D5361">
            <w:pPr>
              <w:pStyle w:val="ENoteTableText"/>
            </w:pPr>
            <w:r w:rsidRPr="00E106BD">
              <w:t>1</w:t>
            </w:r>
            <w:r w:rsidR="00E106BD">
              <w:t> </w:t>
            </w:r>
            <w:r w:rsidRPr="00E106BD">
              <w:t>July 2018 (s 2)</w:t>
            </w:r>
          </w:p>
        </w:tc>
        <w:tc>
          <w:tcPr>
            <w:tcW w:w="1175" w:type="pct"/>
            <w:tcBorders>
              <w:left w:val="nil"/>
            </w:tcBorders>
            <w:shd w:val="clear" w:color="auto" w:fill="auto"/>
          </w:tcPr>
          <w:p w:rsidR="006E4038" w:rsidRPr="00E106BD" w:rsidRDefault="006E4038" w:rsidP="005D5361">
            <w:pPr>
              <w:pStyle w:val="ENoteTableText"/>
            </w:pPr>
            <w:r w:rsidRPr="00E106BD">
              <w:t>—</w:t>
            </w:r>
          </w:p>
        </w:tc>
      </w:tr>
      <w:tr w:rsidR="00101E7A" w:rsidRPr="00E106BD" w:rsidTr="00B807DA">
        <w:trPr>
          <w:cantSplit/>
        </w:trPr>
        <w:tc>
          <w:tcPr>
            <w:tcW w:w="1470" w:type="pct"/>
            <w:tcBorders>
              <w:right w:val="nil"/>
            </w:tcBorders>
            <w:shd w:val="clear" w:color="auto" w:fill="auto"/>
          </w:tcPr>
          <w:p w:rsidR="00101E7A" w:rsidRPr="00E106BD" w:rsidRDefault="00101E7A" w:rsidP="005D5361">
            <w:pPr>
              <w:pStyle w:val="ENoteTableText"/>
            </w:pPr>
            <w:r w:rsidRPr="00E106BD">
              <w:t>PB 67 of 2018</w:t>
            </w:r>
          </w:p>
        </w:tc>
        <w:tc>
          <w:tcPr>
            <w:tcW w:w="1178" w:type="pct"/>
            <w:tcBorders>
              <w:left w:val="nil"/>
              <w:right w:val="nil"/>
            </w:tcBorders>
            <w:shd w:val="clear" w:color="auto" w:fill="auto"/>
          </w:tcPr>
          <w:p w:rsidR="00101E7A" w:rsidRPr="00E106BD" w:rsidRDefault="00101E7A" w:rsidP="005D5361">
            <w:pPr>
              <w:pStyle w:val="ENoteTableText"/>
            </w:pPr>
            <w:r w:rsidRPr="00E106BD">
              <w:t>31</w:t>
            </w:r>
            <w:r w:rsidR="00E106BD">
              <w:t> </w:t>
            </w:r>
            <w:r w:rsidRPr="00E106BD">
              <w:t>July 2018 (F2018L01069)</w:t>
            </w:r>
          </w:p>
        </w:tc>
        <w:tc>
          <w:tcPr>
            <w:tcW w:w="1177" w:type="pct"/>
            <w:tcBorders>
              <w:left w:val="nil"/>
              <w:right w:val="nil"/>
            </w:tcBorders>
            <w:shd w:val="clear" w:color="auto" w:fill="auto"/>
          </w:tcPr>
          <w:p w:rsidR="00101E7A" w:rsidRPr="00E106BD" w:rsidRDefault="00101E7A" w:rsidP="005D5361">
            <w:pPr>
              <w:pStyle w:val="ENoteTableText"/>
            </w:pPr>
            <w:r w:rsidRPr="00E106BD">
              <w:t>1 Aug 2018 (s 2)</w:t>
            </w:r>
          </w:p>
        </w:tc>
        <w:tc>
          <w:tcPr>
            <w:tcW w:w="1175" w:type="pct"/>
            <w:tcBorders>
              <w:left w:val="nil"/>
            </w:tcBorders>
            <w:shd w:val="clear" w:color="auto" w:fill="auto"/>
          </w:tcPr>
          <w:p w:rsidR="00101E7A" w:rsidRPr="00E106BD" w:rsidRDefault="00101E7A" w:rsidP="005D5361">
            <w:pPr>
              <w:pStyle w:val="ENoteTableText"/>
            </w:pPr>
            <w:r w:rsidRPr="00E106BD">
              <w:t>—</w:t>
            </w:r>
          </w:p>
        </w:tc>
      </w:tr>
      <w:tr w:rsidR="00907BDA" w:rsidRPr="00E106BD" w:rsidTr="00B807DA">
        <w:trPr>
          <w:cantSplit/>
        </w:trPr>
        <w:tc>
          <w:tcPr>
            <w:tcW w:w="1470" w:type="pct"/>
            <w:tcBorders>
              <w:right w:val="nil"/>
            </w:tcBorders>
            <w:shd w:val="clear" w:color="auto" w:fill="auto"/>
          </w:tcPr>
          <w:p w:rsidR="00907BDA" w:rsidRPr="00E106BD" w:rsidRDefault="00907BDA" w:rsidP="005D5361">
            <w:pPr>
              <w:pStyle w:val="ENoteTableText"/>
            </w:pPr>
            <w:r w:rsidRPr="00E106BD">
              <w:t>PB 77 of 2018</w:t>
            </w:r>
          </w:p>
        </w:tc>
        <w:tc>
          <w:tcPr>
            <w:tcW w:w="1178" w:type="pct"/>
            <w:tcBorders>
              <w:left w:val="nil"/>
              <w:right w:val="nil"/>
            </w:tcBorders>
            <w:shd w:val="clear" w:color="auto" w:fill="auto"/>
          </w:tcPr>
          <w:p w:rsidR="00907BDA" w:rsidRPr="00E106BD" w:rsidRDefault="00907BDA" w:rsidP="005D5361">
            <w:pPr>
              <w:pStyle w:val="ENoteTableText"/>
            </w:pPr>
            <w:r w:rsidRPr="00E106BD">
              <w:t>30 Aug 2018 (F2018L01211)</w:t>
            </w:r>
          </w:p>
        </w:tc>
        <w:tc>
          <w:tcPr>
            <w:tcW w:w="1177" w:type="pct"/>
            <w:tcBorders>
              <w:left w:val="nil"/>
              <w:right w:val="nil"/>
            </w:tcBorders>
            <w:shd w:val="clear" w:color="auto" w:fill="auto"/>
          </w:tcPr>
          <w:p w:rsidR="00907BDA" w:rsidRPr="00E106BD" w:rsidRDefault="00907BDA" w:rsidP="005D5361">
            <w:pPr>
              <w:pStyle w:val="ENoteTableText"/>
            </w:pPr>
            <w:r w:rsidRPr="00E106BD">
              <w:t>1 Sept 2018 (s 2)</w:t>
            </w:r>
          </w:p>
        </w:tc>
        <w:tc>
          <w:tcPr>
            <w:tcW w:w="1175" w:type="pct"/>
            <w:tcBorders>
              <w:left w:val="nil"/>
            </w:tcBorders>
            <w:shd w:val="clear" w:color="auto" w:fill="auto"/>
          </w:tcPr>
          <w:p w:rsidR="00907BDA" w:rsidRPr="00E106BD" w:rsidRDefault="00907BDA" w:rsidP="005D5361">
            <w:pPr>
              <w:pStyle w:val="ENoteTableText"/>
            </w:pPr>
            <w:r w:rsidRPr="00E106BD">
              <w:t>—</w:t>
            </w:r>
          </w:p>
        </w:tc>
      </w:tr>
      <w:tr w:rsidR="006706F0" w:rsidRPr="00E106BD" w:rsidTr="00B807DA">
        <w:trPr>
          <w:cantSplit/>
        </w:trPr>
        <w:tc>
          <w:tcPr>
            <w:tcW w:w="1470" w:type="pct"/>
            <w:tcBorders>
              <w:right w:val="nil"/>
            </w:tcBorders>
            <w:shd w:val="clear" w:color="auto" w:fill="auto"/>
          </w:tcPr>
          <w:p w:rsidR="006706F0" w:rsidRPr="00E106BD" w:rsidRDefault="006706F0" w:rsidP="005D5361">
            <w:pPr>
              <w:pStyle w:val="ENoteTableText"/>
            </w:pPr>
            <w:r w:rsidRPr="00E106BD">
              <w:t>PB 85 of 2018</w:t>
            </w:r>
          </w:p>
        </w:tc>
        <w:tc>
          <w:tcPr>
            <w:tcW w:w="1178" w:type="pct"/>
            <w:tcBorders>
              <w:left w:val="nil"/>
              <w:right w:val="nil"/>
            </w:tcBorders>
            <w:shd w:val="clear" w:color="auto" w:fill="auto"/>
          </w:tcPr>
          <w:p w:rsidR="006706F0" w:rsidRPr="00E106BD" w:rsidRDefault="006706F0" w:rsidP="005D5361">
            <w:pPr>
              <w:pStyle w:val="ENoteTableText"/>
            </w:pPr>
            <w:r w:rsidRPr="00E106BD">
              <w:t>27 Sept 2018 (F2018L01361)</w:t>
            </w:r>
          </w:p>
        </w:tc>
        <w:tc>
          <w:tcPr>
            <w:tcW w:w="1177" w:type="pct"/>
            <w:tcBorders>
              <w:left w:val="nil"/>
              <w:right w:val="nil"/>
            </w:tcBorders>
            <w:shd w:val="clear" w:color="auto" w:fill="auto"/>
          </w:tcPr>
          <w:p w:rsidR="006706F0" w:rsidRPr="00E106BD" w:rsidRDefault="006706F0" w:rsidP="005D5361">
            <w:pPr>
              <w:pStyle w:val="ENoteTableText"/>
            </w:pPr>
            <w:r w:rsidRPr="00E106BD">
              <w:t>1 Oct 2018 (s 2)</w:t>
            </w:r>
          </w:p>
        </w:tc>
        <w:tc>
          <w:tcPr>
            <w:tcW w:w="1175" w:type="pct"/>
            <w:tcBorders>
              <w:left w:val="nil"/>
            </w:tcBorders>
            <w:shd w:val="clear" w:color="auto" w:fill="auto"/>
          </w:tcPr>
          <w:p w:rsidR="006706F0" w:rsidRPr="00E106BD" w:rsidRDefault="006706F0" w:rsidP="005D5361">
            <w:pPr>
              <w:pStyle w:val="ENoteTableText"/>
            </w:pPr>
            <w:r w:rsidRPr="00E106BD">
              <w:t>—</w:t>
            </w:r>
          </w:p>
        </w:tc>
      </w:tr>
      <w:tr w:rsidR="00EE4124" w:rsidRPr="00E106BD" w:rsidTr="00B807DA">
        <w:trPr>
          <w:cantSplit/>
        </w:trPr>
        <w:tc>
          <w:tcPr>
            <w:tcW w:w="1470" w:type="pct"/>
            <w:tcBorders>
              <w:right w:val="nil"/>
            </w:tcBorders>
            <w:shd w:val="clear" w:color="auto" w:fill="auto"/>
          </w:tcPr>
          <w:p w:rsidR="00EE4124" w:rsidRPr="00E106BD" w:rsidRDefault="00EE4124" w:rsidP="005D5361">
            <w:pPr>
              <w:pStyle w:val="ENoteTableText"/>
            </w:pPr>
            <w:r w:rsidRPr="00E106BD">
              <w:t>PB 94 of 2018</w:t>
            </w:r>
          </w:p>
        </w:tc>
        <w:tc>
          <w:tcPr>
            <w:tcW w:w="1178" w:type="pct"/>
            <w:tcBorders>
              <w:left w:val="nil"/>
              <w:right w:val="nil"/>
            </w:tcBorders>
            <w:shd w:val="clear" w:color="auto" w:fill="auto"/>
          </w:tcPr>
          <w:p w:rsidR="00EE4124" w:rsidRPr="00E106BD" w:rsidRDefault="00EE4124" w:rsidP="00A76615">
            <w:pPr>
              <w:pStyle w:val="ENoteTableText"/>
            </w:pPr>
            <w:r w:rsidRPr="00E106BD">
              <w:t>30 Oct</w:t>
            </w:r>
            <w:r w:rsidR="00A76615" w:rsidRPr="00E106BD">
              <w:t xml:space="preserve"> 2018</w:t>
            </w:r>
            <w:r w:rsidRPr="00E106BD">
              <w:t xml:space="preserve"> (F2018L01508)</w:t>
            </w:r>
          </w:p>
        </w:tc>
        <w:tc>
          <w:tcPr>
            <w:tcW w:w="1177" w:type="pct"/>
            <w:tcBorders>
              <w:left w:val="nil"/>
              <w:right w:val="nil"/>
            </w:tcBorders>
            <w:shd w:val="clear" w:color="auto" w:fill="auto"/>
          </w:tcPr>
          <w:p w:rsidR="00EE4124" w:rsidRPr="00E106BD" w:rsidRDefault="00EE4124" w:rsidP="005D5361">
            <w:pPr>
              <w:pStyle w:val="ENoteTableText"/>
            </w:pPr>
            <w:r w:rsidRPr="00E106BD">
              <w:t>1 Nov 2018 (s 2)</w:t>
            </w:r>
          </w:p>
        </w:tc>
        <w:tc>
          <w:tcPr>
            <w:tcW w:w="1175" w:type="pct"/>
            <w:tcBorders>
              <w:left w:val="nil"/>
            </w:tcBorders>
            <w:shd w:val="clear" w:color="auto" w:fill="auto"/>
          </w:tcPr>
          <w:p w:rsidR="00EE4124" w:rsidRPr="00E106BD" w:rsidRDefault="00EE4124" w:rsidP="005D5361">
            <w:pPr>
              <w:pStyle w:val="ENoteTableText"/>
            </w:pPr>
            <w:r w:rsidRPr="00E106BD">
              <w:t>—</w:t>
            </w:r>
          </w:p>
        </w:tc>
      </w:tr>
      <w:tr w:rsidR="00331071" w:rsidRPr="00E106BD" w:rsidTr="00B807DA">
        <w:trPr>
          <w:cantSplit/>
        </w:trPr>
        <w:tc>
          <w:tcPr>
            <w:tcW w:w="1470" w:type="pct"/>
            <w:tcBorders>
              <w:right w:val="nil"/>
            </w:tcBorders>
            <w:shd w:val="clear" w:color="auto" w:fill="auto"/>
          </w:tcPr>
          <w:p w:rsidR="00331071" w:rsidRPr="00E106BD" w:rsidRDefault="00331071" w:rsidP="005D5361">
            <w:pPr>
              <w:pStyle w:val="ENoteTableText"/>
            </w:pPr>
            <w:r w:rsidRPr="00E106BD">
              <w:t>PB 102 of 2018</w:t>
            </w:r>
          </w:p>
        </w:tc>
        <w:tc>
          <w:tcPr>
            <w:tcW w:w="1178" w:type="pct"/>
            <w:tcBorders>
              <w:left w:val="nil"/>
              <w:right w:val="nil"/>
            </w:tcBorders>
            <w:shd w:val="clear" w:color="auto" w:fill="auto"/>
          </w:tcPr>
          <w:p w:rsidR="00331071" w:rsidRPr="00E106BD" w:rsidRDefault="00331071" w:rsidP="00A76615">
            <w:pPr>
              <w:pStyle w:val="ENoteTableText"/>
            </w:pPr>
            <w:r w:rsidRPr="00E106BD">
              <w:t>30 Nov 2018 (F2018L01646)</w:t>
            </w:r>
          </w:p>
        </w:tc>
        <w:tc>
          <w:tcPr>
            <w:tcW w:w="1177" w:type="pct"/>
            <w:tcBorders>
              <w:left w:val="nil"/>
              <w:right w:val="nil"/>
            </w:tcBorders>
            <w:shd w:val="clear" w:color="auto" w:fill="auto"/>
          </w:tcPr>
          <w:p w:rsidR="00331071" w:rsidRPr="00E106BD" w:rsidRDefault="00331071" w:rsidP="005D5361">
            <w:pPr>
              <w:pStyle w:val="ENoteTableText"/>
            </w:pPr>
            <w:r w:rsidRPr="00E106BD">
              <w:t>1 Dec 2018 (s 2)</w:t>
            </w:r>
          </w:p>
        </w:tc>
        <w:tc>
          <w:tcPr>
            <w:tcW w:w="1175" w:type="pct"/>
            <w:tcBorders>
              <w:left w:val="nil"/>
            </w:tcBorders>
            <w:shd w:val="clear" w:color="auto" w:fill="auto"/>
          </w:tcPr>
          <w:p w:rsidR="00331071" w:rsidRPr="00E106BD" w:rsidRDefault="00331071" w:rsidP="005D5361">
            <w:pPr>
              <w:pStyle w:val="ENoteTableText"/>
            </w:pPr>
            <w:r w:rsidRPr="00E106BD">
              <w:t>—</w:t>
            </w:r>
          </w:p>
        </w:tc>
      </w:tr>
      <w:tr w:rsidR="00376D5A" w:rsidRPr="00E106BD" w:rsidTr="00B807DA">
        <w:trPr>
          <w:cantSplit/>
        </w:trPr>
        <w:tc>
          <w:tcPr>
            <w:tcW w:w="1470" w:type="pct"/>
            <w:tcBorders>
              <w:right w:val="nil"/>
            </w:tcBorders>
            <w:shd w:val="clear" w:color="auto" w:fill="auto"/>
          </w:tcPr>
          <w:p w:rsidR="00376D5A" w:rsidRPr="00E106BD" w:rsidRDefault="00376D5A" w:rsidP="005D5361">
            <w:pPr>
              <w:pStyle w:val="ENoteTableText"/>
            </w:pPr>
            <w:r w:rsidRPr="00E106BD">
              <w:t>PB 107 of 2018</w:t>
            </w:r>
          </w:p>
        </w:tc>
        <w:tc>
          <w:tcPr>
            <w:tcW w:w="1178" w:type="pct"/>
            <w:tcBorders>
              <w:left w:val="nil"/>
              <w:right w:val="nil"/>
            </w:tcBorders>
            <w:shd w:val="clear" w:color="auto" w:fill="auto"/>
          </w:tcPr>
          <w:p w:rsidR="00376D5A" w:rsidRPr="00E106BD" w:rsidRDefault="00376D5A" w:rsidP="00A76615">
            <w:pPr>
              <w:pStyle w:val="ENoteTableText"/>
            </w:pPr>
            <w:r w:rsidRPr="00E106BD">
              <w:t>6 Dec 2018 (F2018L01673)</w:t>
            </w:r>
          </w:p>
        </w:tc>
        <w:tc>
          <w:tcPr>
            <w:tcW w:w="1177" w:type="pct"/>
            <w:tcBorders>
              <w:left w:val="nil"/>
              <w:right w:val="nil"/>
            </w:tcBorders>
            <w:shd w:val="clear" w:color="auto" w:fill="auto"/>
          </w:tcPr>
          <w:p w:rsidR="00376D5A" w:rsidRPr="00E106BD" w:rsidRDefault="00376D5A" w:rsidP="005D5361">
            <w:pPr>
              <w:pStyle w:val="ENoteTableText"/>
            </w:pPr>
            <w:r w:rsidRPr="00E106BD">
              <w:t>21 Dec 2018 (</w:t>
            </w:r>
            <w:r w:rsidR="00CE40C3" w:rsidRPr="00E106BD">
              <w:t>s 2(1) item</w:t>
            </w:r>
            <w:r w:rsidR="00E106BD">
              <w:t> </w:t>
            </w:r>
            <w:r w:rsidR="00CE40C3" w:rsidRPr="00E106BD">
              <w:t>1)</w:t>
            </w:r>
          </w:p>
        </w:tc>
        <w:tc>
          <w:tcPr>
            <w:tcW w:w="1175" w:type="pct"/>
            <w:tcBorders>
              <w:left w:val="nil"/>
            </w:tcBorders>
            <w:shd w:val="clear" w:color="auto" w:fill="auto"/>
          </w:tcPr>
          <w:p w:rsidR="00376D5A" w:rsidRPr="00E106BD" w:rsidRDefault="00CE40C3" w:rsidP="000E10AA">
            <w:pPr>
              <w:pStyle w:val="ENoteTableText"/>
            </w:pPr>
            <w:r w:rsidRPr="00E106BD">
              <w:t>Sch 2</w:t>
            </w:r>
          </w:p>
        </w:tc>
      </w:tr>
      <w:tr w:rsidR="00C52218" w:rsidRPr="00E106BD" w:rsidTr="00B807DA">
        <w:trPr>
          <w:cantSplit/>
        </w:trPr>
        <w:tc>
          <w:tcPr>
            <w:tcW w:w="1470" w:type="pct"/>
            <w:tcBorders>
              <w:right w:val="nil"/>
            </w:tcBorders>
            <w:shd w:val="clear" w:color="auto" w:fill="auto"/>
          </w:tcPr>
          <w:p w:rsidR="00C52218" w:rsidRPr="00E106BD" w:rsidRDefault="00C52218" w:rsidP="005D5361">
            <w:pPr>
              <w:pStyle w:val="ENoteTableText"/>
            </w:pPr>
            <w:r w:rsidRPr="00E106BD">
              <w:t>PB 111 of 2018</w:t>
            </w:r>
          </w:p>
        </w:tc>
        <w:tc>
          <w:tcPr>
            <w:tcW w:w="1178" w:type="pct"/>
            <w:tcBorders>
              <w:left w:val="nil"/>
              <w:right w:val="nil"/>
            </w:tcBorders>
            <w:shd w:val="clear" w:color="auto" w:fill="auto"/>
          </w:tcPr>
          <w:p w:rsidR="00C52218" w:rsidRPr="00E106BD" w:rsidRDefault="00C52218" w:rsidP="00A76615">
            <w:pPr>
              <w:pStyle w:val="ENoteTableText"/>
            </w:pPr>
            <w:r w:rsidRPr="00E106BD">
              <w:t>20 Dec 2018 (F2018L01814)</w:t>
            </w:r>
          </w:p>
        </w:tc>
        <w:tc>
          <w:tcPr>
            <w:tcW w:w="1177" w:type="pct"/>
            <w:tcBorders>
              <w:left w:val="nil"/>
              <w:right w:val="nil"/>
            </w:tcBorders>
            <w:shd w:val="clear" w:color="auto" w:fill="auto"/>
          </w:tcPr>
          <w:p w:rsidR="00C52218" w:rsidRPr="00E106BD" w:rsidRDefault="00C52218" w:rsidP="005D5361">
            <w:pPr>
              <w:pStyle w:val="ENoteTableText"/>
            </w:pPr>
            <w:r w:rsidRPr="00E106BD">
              <w:t>1 Jan 2019 (s 2)</w:t>
            </w:r>
          </w:p>
        </w:tc>
        <w:tc>
          <w:tcPr>
            <w:tcW w:w="1175" w:type="pct"/>
            <w:tcBorders>
              <w:left w:val="nil"/>
            </w:tcBorders>
            <w:shd w:val="clear" w:color="auto" w:fill="auto"/>
          </w:tcPr>
          <w:p w:rsidR="00C52218" w:rsidRPr="00E106BD" w:rsidRDefault="00C52218" w:rsidP="005D5361">
            <w:pPr>
              <w:pStyle w:val="ENoteTableText"/>
            </w:pPr>
            <w:r w:rsidRPr="00E106BD">
              <w:t>—</w:t>
            </w:r>
          </w:p>
        </w:tc>
      </w:tr>
      <w:tr w:rsidR="00B46184" w:rsidRPr="00E106BD" w:rsidTr="00B807DA">
        <w:trPr>
          <w:cantSplit/>
        </w:trPr>
        <w:tc>
          <w:tcPr>
            <w:tcW w:w="1470" w:type="pct"/>
            <w:tcBorders>
              <w:right w:val="nil"/>
            </w:tcBorders>
            <w:shd w:val="clear" w:color="auto" w:fill="auto"/>
          </w:tcPr>
          <w:p w:rsidR="00B46184" w:rsidRPr="00E106BD" w:rsidRDefault="00B46184" w:rsidP="001F0A90">
            <w:pPr>
              <w:pStyle w:val="ENoteTableText"/>
            </w:pPr>
            <w:r w:rsidRPr="00E106BD">
              <w:t>PB 3 of 2019</w:t>
            </w:r>
          </w:p>
        </w:tc>
        <w:tc>
          <w:tcPr>
            <w:tcW w:w="1178" w:type="pct"/>
            <w:tcBorders>
              <w:left w:val="nil"/>
              <w:right w:val="nil"/>
            </w:tcBorders>
            <w:shd w:val="clear" w:color="auto" w:fill="auto"/>
          </w:tcPr>
          <w:p w:rsidR="00B46184" w:rsidRPr="00E106BD" w:rsidRDefault="00B46184" w:rsidP="00A76615">
            <w:pPr>
              <w:pStyle w:val="ENoteTableText"/>
            </w:pPr>
            <w:r w:rsidRPr="00E106BD">
              <w:t>31 Jan 2019 (F2019L00081)</w:t>
            </w:r>
          </w:p>
        </w:tc>
        <w:tc>
          <w:tcPr>
            <w:tcW w:w="1177" w:type="pct"/>
            <w:tcBorders>
              <w:left w:val="nil"/>
              <w:right w:val="nil"/>
            </w:tcBorders>
            <w:shd w:val="clear" w:color="auto" w:fill="auto"/>
          </w:tcPr>
          <w:p w:rsidR="00B46184" w:rsidRPr="00E106BD" w:rsidRDefault="00B46184" w:rsidP="005D5361">
            <w:pPr>
              <w:pStyle w:val="ENoteTableText"/>
            </w:pPr>
            <w:r w:rsidRPr="00E106BD">
              <w:t>1 Feb 2019 (s 2)</w:t>
            </w:r>
          </w:p>
        </w:tc>
        <w:tc>
          <w:tcPr>
            <w:tcW w:w="1175" w:type="pct"/>
            <w:tcBorders>
              <w:left w:val="nil"/>
            </w:tcBorders>
            <w:shd w:val="clear" w:color="auto" w:fill="auto"/>
          </w:tcPr>
          <w:p w:rsidR="00B46184" w:rsidRPr="00E106BD" w:rsidRDefault="00B46184" w:rsidP="005D5361">
            <w:pPr>
              <w:pStyle w:val="ENoteTableText"/>
            </w:pPr>
            <w:r w:rsidRPr="00E106BD">
              <w:t>—</w:t>
            </w:r>
          </w:p>
        </w:tc>
      </w:tr>
      <w:tr w:rsidR="00C871C4" w:rsidRPr="00E106BD" w:rsidTr="00B807DA">
        <w:trPr>
          <w:cantSplit/>
        </w:trPr>
        <w:tc>
          <w:tcPr>
            <w:tcW w:w="1470" w:type="pct"/>
            <w:tcBorders>
              <w:right w:val="nil"/>
            </w:tcBorders>
            <w:shd w:val="clear" w:color="auto" w:fill="auto"/>
          </w:tcPr>
          <w:p w:rsidR="00C871C4" w:rsidRPr="00E106BD" w:rsidRDefault="00C871C4" w:rsidP="001F0A90">
            <w:pPr>
              <w:pStyle w:val="ENoteTableText"/>
            </w:pPr>
            <w:r w:rsidRPr="00E106BD">
              <w:t>PB 13 of 2019</w:t>
            </w:r>
          </w:p>
        </w:tc>
        <w:tc>
          <w:tcPr>
            <w:tcW w:w="1178" w:type="pct"/>
            <w:tcBorders>
              <w:left w:val="nil"/>
              <w:right w:val="nil"/>
            </w:tcBorders>
            <w:shd w:val="clear" w:color="auto" w:fill="auto"/>
          </w:tcPr>
          <w:p w:rsidR="00C871C4" w:rsidRPr="00E106BD" w:rsidRDefault="00C871C4" w:rsidP="00A76615">
            <w:pPr>
              <w:pStyle w:val="ENoteTableText"/>
            </w:pPr>
            <w:r w:rsidRPr="00E106BD">
              <w:t>28 Feb 2019 (</w:t>
            </w:r>
            <w:r w:rsidR="009F5090" w:rsidRPr="00E106BD">
              <w:t>F2019L00216)</w:t>
            </w:r>
          </w:p>
        </w:tc>
        <w:tc>
          <w:tcPr>
            <w:tcW w:w="1177" w:type="pct"/>
            <w:tcBorders>
              <w:left w:val="nil"/>
              <w:right w:val="nil"/>
            </w:tcBorders>
            <w:shd w:val="clear" w:color="auto" w:fill="auto"/>
          </w:tcPr>
          <w:p w:rsidR="00C871C4" w:rsidRPr="00E106BD" w:rsidRDefault="009F5090" w:rsidP="005D5361">
            <w:pPr>
              <w:pStyle w:val="ENoteTableText"/>
            </w:pPr>
            <w:r w:rsidRPr="00E106BD">
              <w:t>1 Mar 2019 (s 2)</w:t>
            </w:r>
          </w:p>
        </w:tc>
        <w:tc>
          <w:tcPr>
            <w:tcW w:w="1175" w:type="pct"/>
            <w:tcBorders>
              <w:left w:val="nil"/>
            </w:tcBorders>
            <w:shd w:val="clear" w:color="auto" w:fill="auto"/>
          </w:tcPr>
          <w:p w:rsidR="00C871C4" w:rsidRPr="00E106BD" w:rsidRDefault="009F5090" w:rsidP="005D5361">
            <w:pPr>
              <w:pStyle w:val="ENoteTableText"/>
            </w:pPr>
            <w:r w:rsidRPr="00E106BD">
              <w:t>—</w:t>
            </w:r>
          </w:p>
        </w:tc>
      </w:tr>
      <w:tr w:rsidR="006A0EA5" w:rsidRPr="00E106BD" w:rsidTr="00B807DA">
        <w:trPr>
          <w:cantSplit/>
        </w:trPr>
        <w:tc>
          <w:tcPr>
            <w:tcW w:w="1470" w:type="pct"/>
            <w:tcBorders>
              <w:right w:val="nil"/>
            </w:tcBorders>
            <w:shd w:val="clear" w:color="auto" w:fill="auto"/>
          </w:tcPr>
          <w:p w:rsidR="006A0EA5" w:rsidRPr="00E106BD" w:rsidRDefault="006A0EA5" w:rsidP="001F0A90">
            <w:pPr>
              <w:pStyle w:val="ENoteTableText"/>
            </w:pPr>
            <w:r w:rsidRPr="00E106BD">
              <w:t>PB 20 of 2019</w:t>
            </w:r>
          </w:p>
        </w:tc>
        <w:tc>
          <w:tcPr>
            <w:tcW w:w="1178" w:type="pct"/>
            <w:tcBorders>
              <w:left w:val="nil"/>
              <w:right w:val="nil"/>
            </w:tcBorders>
            <w:shd w:val="clear" w:color="auto" w:fill="auto"/>
          </w:tcPr>
          <w:p w:rsidR="006A0EA5" w:rsidRPr="00E106BD" w:rsidRDefault="006A0EA5" w:rsidP="00A76615">
            <w:pPr>
              <w:pStyle w:val="ENoteTableText"/>
            </w:pPr>
            <w:r w:rsidRPr="00E106BD">
              <w:t>29 Mar 2019 (F2019L00459)</w:t>
            </w:r>
          </w:p>
        </w:tc>
        <w:tc>
          <w:tcPr>
            <w:tcW w:w="1177" w:type="pct"/>
            <w:tcBorders>
              <w:left w:val="nil"/>
              <w:right w:val="nil"/>
            </w:tcBorders>
            <w:shd w:val="clear" w:color="auto" w:fill="auto"/>
          </w:tcPr>
          <w:p w:rsidR="006A0EA5" w:rsidRPr="00E106BD" w:rsidRDefault="006A0EA5" w:rsidP="005D5361">
            <w:pPr>
              <w:pStyle w:val="ENoteTableText"/>
            </w:pPr>
            <w:r w:rsidRPr="00E106BD">
              <w:t>1 Apr 2019 (s 2)</w:t>
            </w:r>
          </w:p>
        </w:tc>
        <w:tc>
          <w:tcPr>
            <w:tcW w:w="1175" w:type="pct"/>
            <w:tcBorders>
              <w:left w:val="nil"/>
            </w:tcBorders>
            <w:shd w:val="clear" w:color="auto" w:fill="auto"/>
          </w:tcPr>
          <w:p w:rsidR="006A0EA5" w:rsidRPr="00E106BD" w:rsidRDefault="006A0EA5" w:rsidP="005D5361">
            <w:pPr>
              <w:pStyle w:val="ENoteTableText"/>
            </w:pPr>
            <w:r w:rsidRPr="00E106BD">
              <w:t>—</w:t>
            </w:r>
          </w:p>
        </w:tc>
      </w:tr>
      <w:tr w:rsidR="00710DB1" w:rsidRPr="00E106BD" w:rsidTr="00B807DA">
        <w:trPr>
          <w:cantSplit/>
        </w:trPr>
        <w:tc>
          <w:tcPr>
            <w:tcW w:w="1470" w:type="pct"/>
            <w:tcBorders>
              <w:right w:val="nil"/>
            </w:tcBorders>
            <w:shd w:val="clear" w:color="auto" w:fill="auto"/>
          </w:tcPr>
          <w:p w:rsidR="00710DB1" w:rsidRPr="00E106BD" w:rsidRDefault="00AD42F5" w:rsidP="001F0A90">
            <w:pPr>
              <w:pStyle w:val="ENoteTableText"/>
            </w:pPr>
            <w:r w:rsidRPr="00E106BD">
              <w:t>PB 31 of 2019</w:t>
            </w:r>
          </w:p>
        </w:tc>
        <w:tc>
          <w:tcPr>
            <w:tcW w:w="1178" w:type="pct"/>
            <w:tcBorders>
              <w:left w:val="nil"/>
              <w:right w:val="nil"/>
            </w:tcBorders>
            <w:shd w:val="clear" w:color="auto" w:fill="auto"/>
          </w:tcPr>
          <w:p w:rsidR="00710DB1" w:rsidRPr="00E106BD" w:rsidRDefault="00AD42F5" w:rsidP="00A76615">
            <w:pPr>
              <w:pStyle w:val="ENoteTableText"/>
            </w:pPr>
            <w:r w:rsidRPr="00E106BD">
              <w:t>30 Apr 2019 (F2019L00661)</w:t>
            </w:r>
          </w:p>
        </w:tc>
        <w:tc>
          <w:tcPr>
            <w:tcW w:w="1177" w:type="pct"/>
            <w:tcBorders>
              <w:left w:val="nil"/>
              <w:right w:val="nil"/>
            </w:tcBorders>
            <w:shd w:val="clear" w:color="auto" w:fill="auto"/>
          </w:tcPr>
          <w:p w:rsidR="00710DB1" w:rsidRPr="00E106BD" w:rsidRDefault="00AD42F5" w:rsidP="005D5361">
            <w:pPr>
              <w:pStyle w:val="ENoteTableText"/>
            </w:pPr>
            <w:r w:rsidRPr="00E106BD">
              <w:t>1</w:t>
            </w:r>
            <w:r w:rsidR="00E106BD">
              <w:t> </w:t>
            </w:r>
            <w:r w:rsidRPr="00E106BD">
              <w:t>May 2019 (s 2)</w:t>
            </w:r>
          </w:p>
        </w:tc>
        <w:tc>
          <w:tcPr>
            <w:tcW w:w="1175" w:type="pct"/>
            <w:tcBorders>
              <w:left w:val="nil"/>
            </w:tcBorders>
            <w:shd w:val="clear" w:color="auto" w:fill="auto"/>
          </w:tcPr>
          <w:p w:rsidR="00710DB1" w:rsidRPr="00E106BD" w:rsidRDefault="00AD42F5" w:rsidP="005D5361">
            <w:pPr>
              <w:pStyle w:val="ENoteTableText"/>
            </w:pPr>
            <w:r w:rsidRPr="00E106BD">
              <w:t>—</w:t>
            </w:r>
          </w:p>
        </w:tc>
      </w:tr>
      <w:tr w:rsidR="000F6535" w:rsidRPr="00E106BD" w:rsidTr="00B807DA">
        <w:trPr>
          <w:cantSplit/>
        </w:trPr>
        <w:tc>
          <w:tcPr>
            <w:tcW w:w="1470" w:type="pct"/>
            <w:tcBorders>
              <w:right w:val="nil"/>
            </w:tcBorders>
            <w:shd w:val="clear" w:color="auto" w:fill="auto"/>
          </w:tcPr>
          <w:p w:rsidR="000F6535" w:rsidRPr="00E106BD" w:rsidRDefault="000F6535" w:rsidP="001F0A90">
            <w:pPr>
              <w:pStyle w:val="ENoteTableText"/>
            </w:pPr>
            <w:r w:rsidRPr="00E106BD">
              <w:t>PB 39 of 2019</w:t>
            </w:r>
          </w:p>
        </w:tc>
        <w:tc>
          <w:tcPr>
            <w:tcW w:w="1178" w:type="pct"/>
            <w:tcBorders>
              <w:left w:val="nil"/>
              <w:right w:val="nil"/>
            </w:tcBorders>
            <w:shd w:val="clear" w:color="auto" w:fill="auto"/>
          </w:tcPr>
          <w:p w:rsidR="000F6535" w:rsidRPr="00E106BD" w:rsidRDefault="000F6535" w:rsidP="00A76615">
            <w:pPr>
              <w:pStyle w:val="ENoteTableText"/>
            </w:pPr>
            <w:r w:rsidRPr="00E106BD">
              <w:t>30</w:t>
            </w:r>
            <w:r w:rsidR="00E106BD">
              <w:t> </w:t>
            </w:r>
            <w:r w:rsidRPr="00E106BD">
              <w:t>May 2019 (F2019L00697)</w:t>
            </w:r>
          </w:p>
        </w:tc>
        <w:tc>
          <w:tcPr>
            <w:tcW w:w="1177" w:type="pct"/>
            <w:tcBorders>
              <w:left w:val="nil"/>
              <w:right w:val="nil"/>
            </w:tcBorders>
            <w:shd w:val="clear" w:color="auto" w:fill="auto"/>
          </w:tcPr>
          <w:p w:rsidR="000F6535" w:rsidRPr="00E106BD" w:rsidRDefault="000F6535" w:rsidP="005D5361">
            <w:pPr>
              <w:pStyle w:val="ENoteTableText"/>
            </w:pPr>
            <w:r w:rsidRPr="00E106BD">
              <w:t>1</w:t>
            </w:r>
            <w:r w:rsidR="00E106BD">
              <w:t> </w:t>
            </w:r>
            <w:r w:rsidRPr="00E106BD">
              <w:t>June 2019 (s 2)</w:t>
            </w:r>
          </w:p>
        </w:tc>
        <w:tc>
          <w:tcPr>
            <w:tcW w:w="1175" w:type="pct"/>
            <w:tcBorders>
              <w:left w:val="nil"/>
            </w:tcBorders>
            <w:shd w:val="clear" w:color="auto" w:fill="auto"/>
          </w:tcPr>
          <w:p w:rsidR="000F6535" w:rsidRPr="00E106BD" w:rsidRDefault="000F6535" w:rsidP="005D5361">
            <w:pPr>
              <w:pStyle w:val="ENoteTableText"/>
            </w:pPr>
            <w:r w:rsidRPr="00E106BD">
              <w:t>—</w:t>
            </w:r>
          </w:p>
        </w:tc>
      </w:tr>
      <w:tr w:rsidR="00054366" w:rsidRPr="00E106BD" w:rsidTr="00B807DA">
        <w:trPr>
          <w:cantSplit/>
        </w:trPr>
        <w:tc>
          <w:tcPr>
            <w:tcW w:w="1470" w:type="pct"/>
            <w:tcBorders>
              <w:right w:val="nil"/>
            </w:tcBorders>
            <w:shd w:val="clear" w:color="auto" w:fill="auto"/>
          </w:tcPr>
          <w:p w:rsidR="00054366" w:rsidRPr="00E106BD" w:rsidRDefault="00054366" w:rsidP="001F0A90">
            <w:pPr>
              <w:pStyle w:val="ENoteTableText"/>
            </w:pPr>
            <w:r w:rsidRPr="00E106BD">
              <w:t>PB 48 of 2019</w:t>
            </w:r>
          </w:p>
        </w:tc>
        <w:tc>
          <w:tcPr>
            <w:tcW w:w="1178" w:type="pct"/>
            <w:tcBorders>
              <w:left w:val="nil"/>
              <w:right w:val="nil"/>
            </w:tcBorders>
            <w:shd w:val="clear" w:color="auto" w:fill="auto"/>
          </w:tcPr>
          <w:p w:rsidR="00054366" w:rsidRPr="00E106BD" w:rsidRDefault="00054366" w:rsidP="00A76615">
            <w:pPr>
              <w:pStyle w:val="ENoteTableText"/>
            </w:pPr>
            <w:r w:rsidRPr="00E106BD">
              <w:t>28</w:t>
            </w:r>
            <w:r w:rsidR="00E106BD">
              <w:t> </w:t>
            </w:r>
            <w:r w:rsidRPr="00E106BD">
              <w:t>June 2019 (F2019L00919)</w:t>
            </w:r>
          </w:p>
        </w:tc>
        <w:tc>
          <w:tcPr>
            <w:tcW w:w="1177" w:type="pct"/>
            <w:tcBorders>
              <w:left w:val="nil"/>
              <w:right w:val="nil"/>
            </w:tcBorders>
            <w:shd w:val="clear" w:color="auto" w:fill="auto"/>
          </w:tcPr>
          <w:p w:rsidR="00054366" w:rsidRPr="00E106BD" w:rsidRDefault="00054366" w:rsidP="005D5361">
            <w:pPr>
              <w:pStyle w:val="ENoteTableText"/>
            </w:pPr>
            <w:r w:rsidRPr="00E106BD">
              <w:t>1</w:t>
            </w:r>
            <w:r w:rsidR="00E106BD">
              <w:t> </w:t>
            </w:r>
            <w:r w:rsidRPr="00E106BD">
              <w:t>July 2019 (s 2)</w:t>
            </w:r>
          </w:p>
        </w:tc>
        <w:tc>
          <w:tcPr>
            <w:tcW w:w="1175" w:type="pct"/>
            <w:tcBorders>
              <w:left w:val="nil"/>
            </w:tcBorders>
            <w:shd w:val="clear" w:color="auto" w:fill="auto"/>
          </w:tcPr>
          <w:p w:rsidR="00054366" w:rsidRPr="00E106BD" w:rsidRDefault="00054366" w:rsidP="005D5361">
            <w:pPr>
              <w:pStyle w:val="ENoteTableText"/>
            </w:pPr>
            <w:r w:rsidRPr="00E106BD">
              <w:t>—</w:t>
            </w:r>
          </w:p>
        </w:tc>
      </w:tr>
      <w:tr w:rsidR="004F2C32" w:rsidRPr="00E106BD" w:rsidTr="00B807DA">
        <w:trPr>
          <w:cantSplit/>
        </w:trPr>
        <w:tc>
          <w:tcPr>
            <w:tcW w:w="1470" w:type="pct"/>
            <w:tcBorders>
              <w:right w:val="nil"/>
            </w:tcBorders>
            <w:shd w:val="clear" w:color="auto" w:fill="auto"/>
          </w:tcPr>
          <w:p w:rsidR="004F2C32" w:rsidRPr="00E106BD" w:rsidRDefault="004F2C32" w:rsidP="001F0A90">
            <w:pPr>
              <w:pStyle w:val="ENoteTableText"/>
            </w:pPr>
            <w:r w:rsidRPr="00E106BD">
              <w:t>PB 61 of 2019</w:t>
            </w:r>
          </w:p>
        </w:tc>
        <w:tc>
          <w:tcPr>
            <w:tcW w:w="1178" w:type="pct"/>
            <w:tcBorders>
              <w:left w:val="nil"/>
              <w:right w:val="nil"/>
            </w:tcBorders>
            <w:shd w:val="clear" w:color="auto" w:fill="auto"/>
          </w:tcPr>
          <w:p w:rsidR="004F2C32" w:rsidRPr="00E106BD" w:rsidRDefault="004F2C32" w:rsidP="00A76615">
            <w:pPr>
              <w:pStyle w:val="ENoteTableText"/>
            </w:pPr>
            <w:r w:rsidRPr="00E106BD">
              <w:t>31</w:t>
            </w:r>
            <w:r w:rsidR="00E106BD">
              <w:t> </w:t>
            </w:r>
            <w:r w:rsidRPr="00E106BD">
              <w:t>Ju</w:t>
            </w:r>
            <w:r w:rsidR="009B7312" w:rsidRPr="00E106BD">
              <w:t>l</w:t>
            </w:r>
            <w:r w:rsidRPr="00E106BD">
              <w:t>y 2019 (F2019L01023)</w:t>
            </w:r>
          </w:p>
        </w:tc>
        <w:tc>
          <w:tcPr>
            <w:tcW w:w="1177" w:type="pct"/>
            <w:tcBorders>
              <w:left w:val="nil"/>
              <w:right w:val="nil"/>
            </w:tcBorders>
            <w:shd w:val="clear" w:color="auto" w:fill="auto"/>
          </w:tcPr>
          <w:p w:rsidR="004F2C32" w:rsidRPr="00E106BD" w:rsidRDefault="004F2C32" w:rsidP="005D5361">
            <w:pPr>
              <w:pStyle w:val="ENoteTableText"/>
            </w:pPr>
            <w:r w:rsidRPr="00E106BD">
              <w:t>1 Aug 2019 (s 2)</w:t>
            </w:r>
          </w:p>
        </w:tc>
        <w:tc>
          <w:tcPr>
            <w:tcW w:w="1175" w:type="pct"/>
            <w:tcBorders>
              <w:left w:val="nil"/>
            </w:tcBorders>
            <w:shd w:val="clear" w:color="auto" w:fill="auto"/>
          </w:tcPr>
          <w:p w:rsidR="004F2C32" w:rsidRPr="00E106BD" w:rsidRDefault="004F2C32" w:rsidP="005D5361">
            <w:pPr>
              <w:pStyle w:val="ENoteTableText"/>
            </w:pPr>
            <w:r w:rsidRPr="00E106BD">
              <w:t>—</w:t>
            </w:r>
          </w:p>
        </w:tc>
      </w:tr>
      <w:tr w:rsidR="003340D9" w:rsidRPr="00E106BD" w:rsidTr="00B807DA">
        <w:trPr>
          <w:cantSplit/>
        </w:trPr>
        <w:tc>
          <w:tcPr>
            <w:tcW w:w="1470" w:type="pct"/>
            <w:tcBorders>
              <w:right w:val="nil"/>
            </w:tcBorders>
            <w:shd w:val="clear" w:color="auto" w:fill="auto"/>
          </w:tcPr>
          <w:p w:rsidR="003340D9" w:rsidRPr="00E106BD" w:rsidRDefault="003340D9" w:rsidP="001F0A90">
            <w:pPr>
              <w:pStyle w:val="ENoteTableText"/>
            </w:pPr>
            <w:r w:rsidRPr="00E106BD">
              <w:t>PB 70 of 2019</w:t>
            </w:r>
          </w:p>
        </w:tc>
        <w:tc>
          <w:tcPr>
            <w:tcW w:w="1178" w:type="pct"/>
            <w:tcBorders>
              <w:left w:val="nil"/>
              <w:right w:val="nil"/>
            </w:tcBorders>
            <w:shd w:val="clear" w:color="auto" w:fill="auto"/>
          </w:tcPr>
          <w:p w:rsidR="003340D9" w:rsidRPr="00E106BD" w:rsidRDefault="003340D9" w:rsidP="00A76615">
            <w:pPr>
              <w:pStyle w:val="ENoteTableText"/>
            </w:pPr>
            <w:r w:rsidRPr="00E106BD">
              <w:t>30 Aug 2019 (F2019L01123)</w:t>
            </w:r>
          </w:p>
        </w:tc>
        <w:tc>
          <w:tcPr>
            <w:tcW w:w="1177" w:type="pct"/>
            <w:tcBorders>
              <w:left w:val="nil"/>
              <w:right w:val="nil"/>
            </w:tcBorders>
            <w:shd w:val="clear" w:color="auto" w:fill="auto"/>
          </w:tcPr>
          <w:p w:rsidR="003340D9" w:rsidRPr="00E106BD" w:rsidRDefault="003340D9" w:rsidP="005D5361">
            <w:pPr>
              <w:pStyle w:val="ENoteTableText"/>
            </w:pPr>
            <w:r w:rsidRPr="00E106BD">
              <w:t>1 Sept 2019 (s 2)</w:t>
            </w:r>
          </w:p>
        </w:tc>
        <w:tc>
          <w:tcPr>
            <w:tcW w:w="1175" w:type="pct"/>
            <w:tcBorders>
              <w:left w:val="nil"/>
            </w:tcBorders>
            <w:shd w:val="clear" w:color="auto" w:fill="auto"/>
          </w:tcPr>
          <w:p w:rsidR="003340D9" w:rsidRPr="00E106BD" w:rsidRDefault="003340D9" w:rsidP="005D5361">
            <w:pPr>
              <w:pStyle w:val="ENoteTableText"/>
            </w:pPr>
            <w:r w:rsidRPr="00E106BD">
              <w:t>—</w:t>
            </w:r>
          </w:p>
        </w:tc>
      </w:tr>
      <w:tr w:rsidR="00E86CB0" w:rsidRPr="00E106BD" w:rsidTr="00B807DA">
        <w:trPr>
          <w:cantSplit/>
        </w:trPr>
        <w:tc>
          <w:tcPr>
            <w:tcW w:w="1470" w:type="pct"/>
            <w:tcBorders>
              <w:right w:val="nil"/>
            </w:tcBorders>
            <w:shd w:val="clear" w:color="auto" w:fill="auto"/>
          </w:tcPr>
          <w:p w:rsidR="00E86CB0" w:rsidRPr="00E106BD" w:rsidRDefault="00E86CB0" w:rsidP="001F0A90">
            <w:pPr>
              <w:pStyle w:val="ENoteTableText"/>
            </w:pPr>
            <w:r w:rsidRPr="00E106BD">
              <w:t>PB 78 of 2019</w:t>
            </w:r>
          </w:p>
        </w:tc>
        <w:tc>
          <w:tcPr>
            <w:tcW w:w="1178" w:type="pct"/>
            <w:tcBorders>
              <w:left w:val="nil"/>
              <w:right w:val="nil"/>
            </w:tcBorders>
            <w:shd w:val="clear" w:color="auto" w:fill="auto"/>
          </w:tcPr>
          <w:p w:rsidR="00E86CB0" w:rsidRPr="00E106BD" w:rsidRDefault="00E86CB0" w:rsidP="00A76615">
            <w:pPr>
              <w:pStyle w:val="ENoteTableText"/>
            </w:pPr>
            <w:r w:rsidRPr="00E106BD">
              <w:t>30 Sept 2019 (F2019L01295)</w:t>
            </w:r>
          </w:p>
        </w:tc>
        <w:tc>
          <w:tcPr>
            <w:tcW w:w="1177" w:type="pct"/>
            <w:tcBorders>
              <w:left w:val="nil"/>
              <w:right w:val="nil"/>
            </w:tcBorders>
            <w:shd w:val="clear" w:color="auto" w:fill="auto"/>
          </w:tcPr>
          <w:p w:rsidR="00E86CB0" w:rsidRPr="00E106BD" w:rsidRDefault="00E86CB0" w:rsidP="005D5361">
            <w:pPr>
              <w:pStyle w:val="ENoteTableText"/>
            </w:pPr>
            <w:r w:rsidRPr="00E106BD">
              <w:t>1 Oct 2019 (s 2)</w:t>
            </w:r>
          </w:p>
        </w:tc>
        <w:tc>
          <w:tcPr>
            <w:tcW w:w="1175" w:type="pct"/>
            <w:tcBorders>
              <w:left w:val="nil"/>
            </w:tcBorders>
            <w:shd w:val="clear" w:color="auto" w:fill="auto"/>
          </w:tcPr>
          <w:p w:rsidR="00E86CB0" w:rsidRPr="00E106BD" w:rsidRDefault="00E86CB0" w:rsidP="005D5361">
            <w:pPr>
              <w:pStyle w:val="ENoteTableText"/>
            </w:pPr>
            <w:r w:rsidRPr="00E106BD">
              <w:t>—</w:t>
            </w:r>
          </w:p>
        </w:tc>
      </w:tr>
      <w:tr w:rsidR="00857245" w:rsidRPr="00E106BD" w:rsidTr="00B807DA">
        <w:trPr>
          <w:cantSplit/>
        </w:trPr>
        <w:tc>
          <w:tcPr>
            <w:tcW w:w="1470" w:type="pct"/>
            <w:tcBorders>
              <w:right w:val="nil"/>
            </w:tcBorders>
            <w:shd w:val="clear" w:color="auto" w:fill="auto"/>
          </w:tcPr>
          <w:p w:rsidR="00857245" w:rsidRPr="00E106BD" w:rsidRDefault="00857245" w:rsidP="001F0A90">
            <w:pPr>
              <w:pStyle w:val="ENoteTableText"/>
            </w:pPr>
            <w:r w:rsidRPr="00E106BD">
              <w:t>PB 87 of 2019</w:t>
            </w:r>
          </w:p>
        </w:tc>
        <w:tc>
          <w:tcPr>
            <w:tcW w:w="1178" w:type="pct"/>
            <w:tcBorders>
              <w:left w:val="nil"/>
              <w:right w:val="nil"/>
            </w:tcBorders>
            <w:shd w:val="clear" w:color="auto" w:fill="auto"/>
          </w:tcPr>
          <w:p w:rsidR="00857245" w:rsidRPr="00E106BD" w:rsidRDefault="00857245" w:rsidP="00A76615">
            <w:pPr>
              <w:pStyle w:val="ENoteTableText"/>
            </w:pPr>
            <w:r w:rsidRPr="00E106BD">
              <w:t>31 Oct 2019 (F2019L01395)</w:t>
            </w:r>
          </w:p>
        </w:tc>
        <w:tc>
          <w:tcPr>
            <w:tcW w:w="1177" w:type="pct"/>
            <w:tcBorders>
              <w:left w:val="nil"/>
              <w:right w:val="nil"/>
            </w:tcBorders>
            <w:shd w:val="clear" w:color="auto" w:fill="auto"/>
          </w:tcPr>
          <w:p w:rsidR="00857245" w:rsidRPr="00E106BD" w:rsidRDefault="00857245" w:rsidP="005D5361">
            <w:pPr>
              <w:pStyle w:val="ENoteTableText"/>
            </w:pPr>
            <w:r w:rsidRPr="00E106BD">
              <w:t>1 Nov 2019 (s 2)</w:t>
            </w:r>
          </w:p>
        </w:tc>
        <w:tc>
          <w:tcPr>
            <w:tcW w:w="1175" w:type="pct"/>
            <w:tcBorders>
              <w:left w:val="nil"/>
            </w:tcBorders>
            <w:shd w:val="clear" w:color="auto" w:fill="auto"/>
          </w:tcPr>
          <w:p w:rsidR="00857245" w:rsidRPr="00E106BD" w:rsidRDefault="00857245" w:rsidP="005D5361">
            <w:pPr>
              <w:pStyle w:val="ENoteTableText"/>
            </w:pPr>
            <w:r w:rsidRPr="00E106BD">
              <w:t>—</w:t>
            </w:r>
          </w:p>
        </w:tc>
      </w:tr>
      <w:tr w:rsidR="00CA3A91" w:rsidRPr="00E106BD" w:rsidTr="00B807DA">
        <w:trPr>
          <w:cantSplit/>
        </w:trPr>
        <w:tc>
          <w:tcPr>
            <w:tcW w:w="1470" w:type="pct"/>
            <w:tcBorders>
              <w:right w:val="nil"/>
            </w:tcBorders>
            <w:shd w:val="clear" w:color="auto" w:fill="auto"/>
          </w:tcPr>
          <w:p w:rsidR="00CA3A91" w:rsidRPr="00E106BD" w:rsidRDefault="00CA3A91" w:rsidP="001F0A90">
            <w:pPr>
              <w:pStyle w:val="ENoteTableText"/>
            </w:pPr>
            <w:r w:rsidRPr="00E106BD">
              <w:t>PB 95 of 2019</w:t>
            </w:r>
          </w:p>
        </w:tc>
        <w:tc>
          <w:tcPr>
            <w:tcW w:w="1178" w:type="pct"/>
            <w:tcBorders>
              <w:left w:val="nil"/>
              <w:right w:val="nil"/>
            </w:tcBorders>
            <w:shd w:val="clear" w:color="auto" w:fill="auto"/>
          </w:tcPr>
          <w:p w:rsidR="00CA3A91" w:rsidRPr="00E106BD" w:rsidRDefault="00CA3A91" w:rsidP="00A76615">
            <w:pPr>
              <w:pStyle w:val="ENoteTableText"/>
            </w:pPr>
            <w:r w:rsidRPr="00E106BD">
              <w:t>28 Nov 2019 (F2019L01518)</w:t>
            </w:r>
          </w:p>
        </w:tc>
        <w:tc>
          <w:tcPr>
            <w:tcW w:w="1177" w:type="pct"/>
            <w:tcBorders>
              <w:left w:val="nil"/>
              <w:right w:val="nil"/>
            </w:tcBorders>
            <w:shd w:val="clear" w:color="auto" w:fill="auto"/>
          </w:tcPr>
          <w:p w:rsidR="00CA3A91" w:rsidRPr="00E106BD" w:rsidRDefault="005E25AF" w:rsidP="005D5361">
            <w:pPr>
              <w:pStyle w:val="ENoteTableText"/>
            </w:pPr>
            <w:r w:rsidRPr="00E106BD">
              <w:t>1 Dec 2019 (s 2)</w:t>
            </w:r>
          </w:p>
        </w:tc>
        <w:tc>
          <w:tcPr>
            <w:tcW w:w="1175" w:type="pct"/>
            <w:tcBorders>
              <w:left w:val="nil"/>
            </w:tcBorders>
            <w:shd w:val="clear" w:color="auto" w:fill="auto"/>
          </w:tcPr>
          <w:p w:rsidR="00CA3A91" w:rsidRPr="00E106BD" w:rsidRDefault="005E25AF" w:rsidP="005D5361">
            <w:pPr>
              <w:pStyle w:val="ENoteTableText"/>
            </w:pPr>
            <w:r w:rsidRPr="00E106BD">
              <w:t>—</w:t>
            </w:r>
          </w:p>
        </w:tc>
      </w:tr>
      <w:tr w:rsidR="00891467" w:rsidRPr="00E106BD" w:rsidTr="00B807DA">
        <w:trPr>
          <w:cantSplit/>
        </w:trPr>
        <w:tc>
          <w:tcPr>
            <w:tcW w:w="1470" w:type="pct"/>
            <w:tcBorders>
              <w:right w:val="nil"/>
            </w:tcBorders>
            <w:shd w:val="clear" w:color="auto" w:fill="auto"/>
          </w:tcPr>
          <w:p w:rsidR="00891467" w:rsidRPr="00E106BD" w:rsidRDefault="00891467" w:rsidP="001F0A90">
            <w:pPr>
              <w:pStyle w:val="ENoteTableText"/>
            </w:pPr>
            <w:r w:rsidRPr="00E106BD">
              <w:t>PB 106 of 2019</w:t>
            </w:r>
          </w:p>
        </w:tc>
        <w:tc>
          <w:tcPr>
            <w:tcW w:w="1178" w:type="pct"/>
            <w:tcBorders>
              <w:left w:val="nil"/>
              <w:right w:val="nil"/>
            </w:tcBorders>
            <w:shd w:val="clear" w:color="auto" w:fill="auto"/>
          </w:tcPr>
          <w:p w:rsidR="00891467" w:rsidRPr="00E106BD" w:rsidRDefault="00891467" w:rsidP="00A76615">
            <w:pPr>
              <w:pStyle w:val="ENoteTableText"/>
            </w:pPr>
            <w:r w:rsidRPr="00E106BD">
              <w:t>23 Dec 2019 (F2019L01688)</w:t>
            </w:r>
          </w:p>
        </w:tc>
        <w:tc>
          <w:tcPr>
            <w:tcW w:w="1177" w:type="pct"/>
            <w:tcBorders>
              <w:left w:val="nil"/>
              <w:right w:val="nil"/>
            </w:tcBorders>
            <w:shd w:val="clear" w:color="auto" w:fill="auto"/>
          </w:tcPr>
          <w:p w:rsidR="00891467" w:rsidRPr="00E106BD" w:rsidRDefault="00891467" w:rsidP="005D5361">
            <w:pPr>
              <w:pStyle w:val="ENoteTableText"/>
            </w:pPr>
            <w:r w:rsidRPr="00E106BD">
              <w:t>1 Jan 2020 (s 2)</w:t>
            </w:r>
          </w:p>
        </w:tc>
        <w:tc>
          <w:tcPr>
            <w:tcW w:w="1175" w:type="pct"/>
            <w:tcBorders>
              <w:left w:val="nil"/>
            </w:tcBorders>
            <w:shd w:val="clear" w:color="auto" w:fill="auto"/>
          </w:tcPr>
          <w:p w:rsidR="00891467" w:rsidRPr="00E106BD" w:rsidRDefault="00891467" w:rsidP="005D5361">
            <w:pPr>
              <w:pStyle w:val="ENoteTableText"/>
            </w:pPr>
            <w:r w:rsidRPr="00E106BD">
              <w:t>—</w:t>
            </w:r>
          </w:p>
        </w:tc>
      </w:tr>
      <w:tr w:rsidR="008D48BD" w:rsidRPr="00E106BD" w:rsidTr="00B807DA">
        <w:trPr>
          <w:cantSplit/>
        </w:trPr>
        <w:tc>
          <w:tcPr>
            <w:tcW w:w="1470" w:type="pct"/>
            <w:tcBorders>
              <w:right w:val="nil"/>
            </w:tcBorders>
            <w:shd w:val="clear" w:color="auto" w:fill="auto"/>
          </w:tcPr>
          <w:p w:rsidR="008D48BD" w:rsidRPr="00E106BD" w:rsidRDefault="008D48BD" w:rsidP="001F0A90">
            <w:pPr>
              <w:pStyle w:val="ENoteTableText"/>
            </w:pPr>
            <w:r w:rsidRPr="00E106BD">
              <w:t>PB 4 of 2020</w:t>
            </w:r>
          </w:p>
        </w:tc>
        <w:tc>
          <w:tcPr>
            <w:tcW w:w="1178" w:type="pct"/>
            <w:tcBorders>
              <w:left w:val="nil"/>
              <w:right w:val="nil"/>
            </w:tcBorders>
            <w:shd w:val="clear" w:color="auto" w:fill="auto"/>
          </w:tcPr>
          <w:p w:rsidR="008D48BD" w:rsidRPr="00E106BD" w:rsidRDefault="008D48BD" w:rsidP="00A76615">
            <w:pPr>
              <w:pStyle w:val="ENoteTableText"/>
            </w:pPr>
            <w:r w:rsidRPr="00E106BD">
              <w:t>31 Jan 2020 (F2020L00080)</w:t>
            </w:r>
          </w:p>
        </w:tc>
        <w:tc>
          <w:tcPr>
            <w:tcW w:w="1177" w:type="pct"/>
            <w:tcBorders>
              <w:left w:val="nil"/>
              <w:right w:val="nil"/>
            </w:tcBorders>
            <w:shd w:val="clear" w:color="auto" w:fill="auto"/>
          </w:tcPr>
          <w:p w:rsidR="008D48BD" w:rsidRPr="00E106BD" w:rsidRDefault="008D48BD" w:rsidP="005D5361">
            <w:pPr>
              <w:pStyle w:val="ENoteTableText"/>
            </w:pPr>
            <w:r w:rsidRPr="00E106BD">
              <w:t>1 Feb 2020 (s 2)</w:t>
            </w:r>
          </w:p>
        </w:tc>
        <w:tc>
          <w:tcPr>
            <w:tcW w:w="1175" w:type="pct"/>
            <w:tcBorders>
              <w:left w:val="nil"/>
            </w:tcBorders>
            <w:shd w:val="clear" w:color="auto" w:fill="auto"/>
          </w:tcPr>
          <w:p w:rsidR="008D48BD" w:rsidRPr="00E106BD" w:rsidRDefault="008D48BD" w:rsidP="005D5361">
            <w:pPr>
              <w:pStyle w:val="ENoteTableText"/>
            </w:pPr>
            <w:r w:rsidRPr="00E106BD">
              <w:t>—</w:t>
            </w:r>
          </w:p>
        </w:tc>
      </w:tr>
      <w:tr w:rsidR="009C597B" w:rsidRPr="00E106BD" w:rsidTr="00B807DA">
        <w:trPr>
          <w:cantSplit/>
        </w:trPr>
        <w:tc>
          <w:tcPr>
            <w:tcW w:w="1470" w:type="pct"/>
            <w:tcBorders>
              <w:right w:val="nil"/>
            </w:tcBorders>
            <w:shd w:val="clear" w:color="auto" w:fill="auto"/>
          </w:tcPr>
          <w:p w:rsidR="009C597B" w:rsidRPr="00E106BD" w:rsidRDefault="009C597B" w:rsidP="001F0A90">
            <w:pPr>
              <w:pStyle w:val="ENoteTableText"/>
            </w:pPr>
            <w:r w:rsidRPr="00E106BD">
              <w:t>PB 17 of 2020</w:t>
            </w:r>
          </w:p>
        </w:tc>
        <w:tc>
          <w:tcPr>
            <w:tcW w:w="1178" w:type="pct"/>
            <w:tcBorders>
              <w:left w:val="nil"/>
              <w:right w:val="nil"/>
            </w:tcBorders>
            <w:shd w:val="clear" w:color="auto" w:fill="auto"/>
          </w:tcPr>
          <w:p w:rsidR="009C597B" w:rsidRPr="00E106BD" w:rsidRDefault="009C597B" w:rsidP="00A76615">
            <w:pPr>
              <w:pStyle w:val="ENoteTableText"/>
            </w:pPr>
            <w:r w:rsidRPr="00E106BD">
              <w:t>28 Feb 2020 (F2020L00185)</w:t>
            </w:r>
          </w:p>
        </w:tc>
        <w:tc>
          <w:tcPr>
            <w:tcW w:w="1177" w:type="pct"/>
            <w:tcBorders>
              <w:left w:val="nil"/>
              <w:right w:val="nil"/>
            </w:tcBorders>
            <w:shd w:val="clear" w:color="auto" w:fill="auto"/>
          </w:tcPr>
          <w:p w:rsidR="009C597B" w:rsidRPr="00E106BD" w:rsidRDefault="009C597B" w:rsidP="005D5361">
            <w:pPr>
              <w:pStyle w:val="ENoteTableText"/>
            </w:pPr>
            <w:r w:rsidRPr="00E106BD">
              <w:t>1 Mar 2020 (s 2)</w:t>
            </w:r>
          </w:p>
        </w:tc>
        <w:tc>
          <w:tcPr>
            <w:tcW w:w="1175" w:type="pct"/>
            <w:tcBorders>
              <w:left w:val="nil"/>
            </w:tcBorders>
            <w:shd w:val="clear" w:color="auto" w:fill="auto"/>
          </w:tcPr>
          <w:p w:rsidR="009C597B" w:rsidRPr="00E106BD" w:rsidRDefault="009C597B" w:rsidP="005D5361">
            <w:pPr>
              <w:pStyle w:val="ENoteTableText"/>
            </w:pPr>
            <w:r w:rsidRPr="00E106BD">
              <w:t>—</w:t>
            </w:r>
          </w:p>
        </w:tc>
      </w:tr>
      <w:tr w:rsidR="00065467" w:rsidRPr="00E106BD" w:rsidTr="00B807DA">
        <w:trPr>
          <w:cantSplit/>
        </w:trPr>
        <w:tc>
          <w:tcPr>
            <w:tcW w:w="1470" w:type="pct"/>
            <w:tcBorders>
              <w:right w:val="nil"/>
            </w:tcBorders>
            <w:shd w:val="clear" w:color="auto" w:fill="auto"/>
          </w:tcPr>
          <w:p w:rsidR="00065467" w:rsidRPr="00E106BD" w:rsidRDefault="00065467" w:rsidP="001F0A90">
            <w:pPr>
              <w:pStyle w:val="ENoteTableText"/>
            </w:pPr>
            <w:r w:rsidRPr="00E106BD">
              <w:t>PB 24 of 2020</w:t>
            </w:r>
          </w:p>
        </w:tc>
        <w:tc>
          <w:tcPr>
            <w:tcW w:w="1178" w:type="pct"/>
            <w:tcBorders>
              <w:left w:val="nil"/>
              <w:right w:val="nil"/>
            </w:tcBorders>
            <w:shd w:val="clear" w:color="auto" w:fill="auto"/>
          </w:tcPr>
          <w:p w:rsidR="00065467" w:rsidRPr="00E106BD" w:rsidRDefault="00065467" w:rsidP="00A76615">
            <w:pPr>
              <w:pStyle w:val="ENoteTableText"/>
            </w:pPr>
            <w:r w:rsidRPr="00E106BD">
              <w:t>31 Mar 2020 (F2020L00356)</w:t>
            </w:r>
          </w:p>
        </w:tc>
        <w:tc>
          <w:tcPr>
            <w:tcW w:w="1177" w:type="pct"/>
            <w:tcBorders>
              <w:left w:val="nil"/>
              <w:right w:val="nil"/>
            </w:tcBorders>
            <w:shd w:val="clear" w:color="auto" w:fill="auto"/>
          </w:tcPr>
          <w:p w:rsidR="00065467" w:rsidRPr="00E106BD" w:rsidRDefault="00065467" w:rsidP="005D5361">
            <w:pPr>
              <w:pStyle w:val="ENoteTableText"/>
            </w:pPr>
            <w:r w:rsidRPr="00E106BD">
              <w:t>1 Apr 2020 (s 2)</w:t>
            </w:r>
          </w:p>
        </w:tc>
        <w:tc>
          <w:tcPr>
            <w:tcW w:w="1175" w:type="pct"/>
            <w:tcBorders>
              <w:left w:val="nil"/>
            </w:tcBorders>
            <w:shd w:val="clear" w:color="auto" w:fill="auto"/>
          </w:tcPr>
          <w:p w:rsidR="00065467" w:rsidRPr="00E106BD" w:rsidRDefault="00A44042" w:rsidP="005D5361">
            <w:pPr>
              <w:pStyle w:val="ENoteTableText"/>
            </w:pPr>
            <w:r w:rsidRPr="00E106BD">
              <w:t>—</w:t>
            </w:r>
          </w:p>
        </w:tc>
      </w:tr>
      <w:tr w:rsidR="00A44042" w:rsidRPr="00E106BD" w:rsidTr="00D056E5">
        <w:trPr>
          <w:cantSplit/>
        </w:trPr>
        <w:tc>
          <w:tcPr>
            <w:tcW w:w="1470" w:type="pct"/>
            <w:tcBorders>
              <w:right w:val="nil"/>
            </w:tcBorders>
            <w:shd w:val="clear" w:color="auto" w:fill="auto"/>
          </w:tcPr>
          <w:p w:rsidR="00A44042" w:rsidRPr="00E106BD" w:rsidRDefault="00A44042" w:rsidP="001F0A90">
            <w:pPr>
              <w:pStyle w:val="ENoteTableText"/>
            </w:pPr>
            <w:r w:rsidRPr="00E106BD">
              <w:t>PB 26 of 2020</w:t>
            </w:r>
          </w:p>
        </w:tc>
        <w:tc>
          <w:tcPr>
            <w:tcW w:w="1178" w:type="pct"/>
            <w:tcBorders>
              <w:left w:val="nil"/>
              <w:right w:val="nil"/>
            </w:tcBorders>
            <w:shd w:val="clear" w:color="auto" w:fill="auto"/>
          </w:tcPr>
          <w:p w:rsidR="00A44042" w:rsidRPr="00E106BD" w:rsidRDefault="00A44042" w:rsidP="00A76615">
            <w:pPr>
              <w:pStyle w:val="ENoteTableText"/>
            </w:pPr>
            <w:r w:rsidRPr="00E106BD">
              <w:t>31 Mar 2020 (F2020L00366)</w:t>
            </w:r>
          </w:p>
        </w:tc>
        <w:tc>
          <w:tcPr>
            <w:tcW w:w="1177" w:type="pct"/>
            <w:tcBorders>
              <w:left w:val="nil"/>
              <w:right w:val="nil"/>
            </w:tcBorders>
            <w:shd w:val="clear" w:color="auto" w:fill="auto"/>
          </w:tcPr>
          <w:p w:rsidR="00A44042" w:rsidRPr="00E106BD" w:rsidRDefault="00A44042" w:rsidP="005D5361">
            <w:pPr>
              <w:pStyle w:val="ENoteTableText"/>
            </w:pPr>
            <w:r w:rsidRPr="00E106BD">
              <w:t>1 Apr 2020 (s 2(1) item</w:t>
            </w:r>
            <w:r w:rsidR="00E106BD">
              <w:t> </w:t>
            </w:r>
            <w:r w:rsidRPr="00E106BD">
              <w:t>1)</w:t>
            </w:r>
          </w:p>
        </w:tc>
        <w:tc>
          <w:tcPr>
            <w:tcW w:w="1175" w:type="pct"/>
            <w:tcBorders>
              <w:left w:val="nil"/>
            </w:tcBorders>
            <w:shd w:val="clear" w:color="auto" w:fill="auto"/>
          </w:tcPr>
          <w:p w:rsidR="00A44042" w:rsidRPr="00E106BD" w:rsidRDefault="00A44042" w:rsidP="005D5361">
            <w:pPr>
              <w:pStyle w:val="ENoteTableText"/>
            </w:pPr>
            <w:r w:rsidRPr="00E106BD">
              <w:t>—</w:t>
            </w:r>
          </w:p>
        </w:tc>
      </w:tr>
      <w:tr w:rsidR="007E6891" w:rsidRPr="00E106BD" w:rsidTr="00D056E5">
        <w:trPr>
          <w:cantSplit/>
        </w:trPr>
        <w:tc>
          <w:tcPr>
            <w:tcW w:w="1470" w:type="pct"/>
            <w:tcBorders>
              <w:right w:val="nil"/>
            </w:tcBorders>
            <w:shd w:val="clear" w:color="auto" w:fill="auto"/>
          </w:tcPr>
          <w:p w:rsidR="007E6891" w:rsidRPr="00E106BD" w:rsidRDefault="007E6891" w:rsidP="001F0A90">
            <w:pPr>
              <w:pStyle w:val="ENoteTableText"/>
            </w:pPr>
            <w:r>
              <w:t>PB 32 of 2020</w:t>
            </w:r>
          </w:p>
        </w:tc>
        <w:tc>
          <w:tcPr>
            <w:tcW w:w="1178" w:type="pct"/>
            <w:tcBorders>
              <w:left w:val="nil"/>
              <w:right w:val="nil"/>
            </w:tcBorders>
            <w:shd w:val="clear" w:color="auto" w:fill="auto"/>
          </w:tcPr>
          <w:p w:rsidR="007E6891" w:rsidRPr="00E106BD" w:rsidRDefault="007E6891" w:rsidP="00A76615">
            <w:pPr>
              <w:pStyle w:val="ENoteTableText"/>
            </w:pPr>
            <w:r>
              <w:t>30 Apr 2020 (F2020L00531)</w:t>
            </w:r>
          </w:p>
        </w:tc>
        <w:tc>
          <w:tcPr>
            <w:tcW w:w="1177" w:type="pct"/>
            <w:tcBorders>
              <w:left w:val="nil"/>
              <w:right w:val="nil"/>
            </w:tcBorders>
            <w:shd w:val="clear" w:color="auto" w:fill="auto"/>
          </w:tcPr>
          <w:p w:rsidR="007E6891" w:rsidRPr="00E106BD" w:rsidRDefault="00462ED1" w:rsidP="00155A34">
            <w:pPr>
              <w:pStyle w:val="ENoteTableText"/>
            </w:pPr>
            <w:r>
              <w:t>Sch 1</w:t>
            </w:r>
            <w:r w:rsidR="00155A34">
              <w:t xml:space="preserve"> (items 4–6): </w:t>
            </w:r>
            <w:r w:rsidR="007E6891">
              <w:t>1 May 2020 (</w:t>
            </w:r>
            <w:r w:rsidR="00DF7CFF" w:rsidRPr="00E106BD">
              <w:t>s 2(1) item</w:t>
            </w:r>
            <w:r w:rsidR="00DF7CFF">
              <w:t> </w:t>
            </w:r>
            <w:r w:rsidR="00DF7CFF" w:rsidRPr="00E106BD">
              <w:t>1)</w:t>
            </w:r>
          </w:p>
        </w:tc>
        <w:tc>
          <w:tcPr>
            <w:tcW w:w="1175" w:type="pct"/>
            <w:tcBorders>
              <w:left w:val="nil"/>
            </w:tcBorders>
            <w:shd w:val="clear" w:color="auto" w:fill="auto"/>
          </w:tcPr>
          <w:p w:rsidR="007E6891" w:rsidRPr="00E106BD" w:rsidRDefault="00DF7CFF" w:rsidP="005D5361">
            <w:pPr>
              <w:pStyle w:val="ENoteTableText"/>
            </w:pPr>
            <w:r>
              <w:t>—</w:t>
            </w:r>
          </w:p>
        </w:tc>
      </w:tr>
      <w:tr w:rsidR="00B807DA" w:rsidRPr="00E106BD" w:rsidTr="00DE532E">
        <w:trPr>
          <w:cantSplit/>
        </w:trPr>
        <w:tc>
          <w:tcPr>
            <w:tcW w:w="1470" w:type="pct"/>
            <w:tcBorders>
              <w:right w:val="nil"/>
            </w:tcBorders>
            <w:shd w:val="clear" w:color="auto" w:fill="auto"/>
          </w:tcPr>
          <w:p w:rsidR="00B807DA" w:rsidRDefault="00B807DA" w:rsidP="001F0A90">
            <w:pPr>
              <w:pStyle w:val="ENoteTableText"/>
            </w:pPr>
            <w:r>
              <w:t>PB 37 of 2020</w:t>
            </w:r>
          </w:p>
        </w:tc>
        <w:tc>
          <w:tcPr>
            <w:tcW w:w="1178" w:type="pct"/>
            <w:tcBorders>
              <w:left w:val="nil"/>
              <w:right w:val="nil"/>
            </w:tcBorders>
            <w:shd w:val="clear" w:color="auto" w:fill="auto"/>
          </w:tcPr>
          <w:p w:rsidR="00B807DA" w:rsidRDefault="00B807DA">
            <w:pPr>
              <w:pStyle w:val="ENoteTableText"/>
            </w:pPr>
            <w:r>
              <w:t>30 Apr 2020 (F2020L00538)</w:t>
            </w:r>
          </w:p>
        </w:tc>
        <w:tc>
          <w:tcPr>
            <w:tcW w:w="1177" w:type="pct"/>
            <w:tcBorders>
              <w:left w:val="nil"/>
              <w:right w:val="nil"/>
            </w:tcBorders>
            <w:shd w:val="clear" w:color="auto" w:fill="auto"/>
          </w:tcPr>
          <w:p w:rsidR="00B807DA" w:rsidRDefault="00B807DA">
            <w:pPr>
              <w:pStyle w:val="ENoteTableText"/>
            </w:pPr>
            <w:r>
              <w:t>1 May 2020 (</w:t>
            </w:r>
            <w:r w:rsidRPr="00E106BD">
              <w:t>s 2)</w:t>
            </w:r>
          </w:p>
        </w:tc>
        <w:tc>
          <w:tcPr>
            <w:tcW w:w="1175" w:type="pct"/>
            <w:tcBorders>
              <w:left w:val="nil"/>
            </w:tcBorders>
            <w:shd w:val="clear" w:color="auto" w:fill="auto"/>
          </w:tcPr>
          <w:p w:rsidR="00B807DA" w:rsidRDefault="00B807DA" w:rsidP="005D5361">
            <w:pPr>
              <w:pStyle w:val="ENoteTableText"/>
            </w:pPr>
            <w:r>
              <w:t>—</w:t>
            </w:r>
          </w:p>
        </w:tc>
      </w:tr>
      <w:tr w:rsidR="008B7F12" w:rsidRPr="00E106BD" w:rsidTr="00A335DA">
        <w:trPr>
          <w:cantSplit/>
        </w:trPr>
        <w:tc>
          <w:tcPr>
            <w:tcW w:w="1470" w:type="pct"/>
            <w:tcBorders>
              <w:right w:val="nil"/>
            </w:tcBorders>
            <w:shd w:val="clear" w:color="auto" w:fill="auto"/>
          </w:tcPr>
          <w:p w:rsidR="008B7F12" w:rsidRDefault="008B7F12" w:rsidP="001F0A90">
            <w:pPr>
              <w:pStyle w:val="ENoteTableText"/>
            </w:pPr>
            <w:r>
              <w:t>PB 46 of 2020</w:t>
            </w:r>
          </w:p>
        </w:tc>
        <w:tc>
          <w:tcPr>
            <w:tcW w:w="1178" w:type="pct"/>
            <w:tcBorders>
              <w:left w:val="nil"/>
              <w:right w:val="nil"/>
            </w:tcBorders>
            <w:shd w:val="clear" w:color="auto" w:fill="auto"/>
          </w:tcPr>
          <w:p w:rsidR="008B7F12" w:rsidRDefault="008B7F12">
            <w:pPr>
              <w:pStyle w:val="ENoteTableText"/>
            </w:pPr>
            <w:r>
              <w:t>29 May 2020 (F2020L00646)</w:t>
            </w:r>
          </w:p>
        </w:tc>
        <w:tc>
          <w:tcPr>
            <w:tcW w:w="1177" w:type="pct"/>
            <w:tcBorders>
              <w:left w:val="nil"/>
              <w:right w:val="nil"/>
            </w:tcBorders>
            <w:shd w:val="clear" w:color="auto" w:fill="auto"/>
          </w:tcPr>
          <w:p w:rsidR="008B7F12" w:rsidRDefault="008B7F12">
            <w:pPr>
              <w:pStyle w:val="ENoteTableText"/>
            </w:pPr>
            <w:r>
              <w:t>1 June 2020 (s 2)</w:t>
            </w:r>
          </w:p>
        </w:tc>
        <w:tc>
          <w:tcPr>
            <w:tcW w:w="1175" w:type="pct"/>
            <w:tcBorders>
              <w:left w:val="nil"/>
            </w:tcBorders>
            <w:shd w:val="clear" w:color="auto" w:fill="auto"/>
          </w:tcPr>
          <w:p w:rsidR="008B7F12" w:rsidRDefault="008B7F12" w:rsidP="005D5361">
            <w:pPr>
              <w:pStyle w:val="ENoteTableText"/>
            </w:pPr>
            <w:r>
              <w:t>—</w:t>
            </w:r>
          </w:p>
        </w:tc>
      </w:tr>
      <w:tr w:rsidR="009D2EE0" w:rsidRPr="00E106BD" w:rsidTr="00913CDF">
        <w:trPr>
          <w:cantSplit/>
        </w:trPr>
        <w:tc>
          <w:tcPr>
            <w:tcW w:w="1470" w:type="pct"/>
            <w:tcBorders>
              <w:right w:val="nil"/>
            </w:tcBorders>
            <w:shd w:val="clear" w:color="auto" w:fill="auto"/>
          </w:tcPr>
          <w:p w:rsidR="009D2EE0" w:rsidRDefault="009D2EE0" w:rsidP="001F0A90">
            <w:pPr>
              <w:pStyle w:val="ENoteTableText"/>
            </w:pPr>
            <w:r>
              <w:t>PB 72 of 2020</w:t>
            </w:r>
          </w:p>
        </w:tc>
        <w:tc>
          <w:tcPr>
            <w:tcW w:w="1178" w:type="pct"/>
            <w:tcBorders>
              <w:left w:val="nil"/>
              <w:right w:val="nil"/>
            </w:tcBorders>
            <w:shd w:val="clear" w:color="auto" w:fill="auto"/>
          </w:tcPr>
          <w:p w:rsidR="009D2EE0" w:rsidRDefault="00A335DA">
            <w:pPr>
              <w:pStyle w:val="ENoteTableText"/>
            </w:pPr>
            <w:r>
              <w:t>31</w:t>
            </w:r>
            <w:r w:rsidR="00544F0F">
              <w:t xml:space="preserve"> July 2020 (F2020L00971)</w:t>
            </w:r>
          </w:p>
        </w:tc>
        <w:tc>
          <w:tcPr>
            <w:tcW w:w="1177" w:type="pct"/>
            <w:tcBorders>
              <w:left w:val="nil"/>
              <w:right w:val="nil"/>
            </w:tcBorders>
            <w:shd w:val="clear" w:color="auto" w:fill="auto"/>
          </w:tcPr>
          <w:p w:rsidR="009D2EE0" w:rsidRDefault="00544F0F">
            <w:pPr>
              <w:pStyle w:val="ENoteTableText"/>
            </w:pPr>
            <w:r>
              <w:t>1 Aug 2020 (s 2)</w:t>
            </w:r>
          </w:p>
        </w:tc>
        <w:tc>
          <w:tcPr>
            <w:tcW w:w="1175" w:type="pct"/>
            <w:tcBorders>
              <w:left w:val="nil"/>
            </w:tcBorders>
            <w:shd w:val="clear" w:color="auto" w:fill="auto"/>
          </w:tcPr>
          <w:p w:rsidR="009D2EE0" w:rsidRDefault="00544F0F" w:rsidP="005D5361">
            <w:pPr>
              <w:pStyle w:val="ENoteTableText"/>
            </w:pPr>
            <w:r>
              <w:t>—</w:t>
            </w:r>
          </w:p>
        </w:tc>
      </w:tr>
      <w:tr w:rsidR="005C4E1C" w:rsidRPr="00E106BD" w:rsidTr="002B7560">
        <w:trPr>
          <w:cantSplit/>
        </w:trPr>
        <w:tc>
          <w:tcPr>
            <w:tcW w:w="1470" w:type="pct"/>
            <w:tcBorders>
              <w:right w:val="nil"/>
            </w:tcBorders>
            <w:shd w:val="clear" w:color="auto" w:fill="auto"/>
          </w:tcPr>
          <w:p w:rsidR="005C4E1C" w:rsidRDefault="005C4E1C" w:rsidP="001F0A90">
            <w:pPr>
              <w:pStyle w:val="ENoteTableText"/>
            </w:pPr>
            <w:r>
              <w:t>PB 82 of 2020</w:t>
            </w:r>
          </w:p>
        </w:tc>
        <w:tc>
          <w:tcPr>
            <w:tcW w:w="1178" w:type="pct"/>
            <w:tcBorders>
              <w:left w:val="nil"/>
              <w:right w:val="nil"/>
            </w:tcBorders>
            <w:shd w:val="clear" w:color="auto" w:fill="auto"/>
          </w:tcPr>
          <w:p w:rsidR="005C4E1C" w:rsidRDefault="005C4E1C">
            <w:pPr>
              <w:pStyle w:val="ENoteTableText"/>
            </w:pPr>
            <w:r>
              <w:t>28 Aug 2020 (F2020L01090)</w:t>
            </w:r>
          </w:p>
        </w:tc>
        <w:tc>
          <w:tcPr>
            <w:tcW w:w="1177" w:type="pct"/>
            <w:tcBorders>
              <w:left w:val="nil"/>
              <w:right w:val="nil"/>
            </w:tcBorders>
            <w:shd w:val="clear" w:color="auto" w:fill="auto"/>
          </w:tcPr>
          <w:p w:rsidR="005C4E1C" w:rsidRDefault="005C4E1C">
            <w:pPr>
              <w:pStyle w:val="ENoteTableText"/>
            </w:pPr>
            <w:r>
              <w:t>1 Sept 2020 (s 2)</w:t>
            </w:r>
          </w:p>
        </w:tc>
        <w:tc>
          <w:tcPr>
            <w:tcW w:w="1175" w:type="pct"/>
            <w:tcBorders>
              <w:left w:val="nil"/>
            </w:tcBorders>
            <w:shd w:val="clear" w:color="auto" w:fill="auto"/>
          </w:tcPr>
          <w:p w:rsidR="005C4E1C" w:rsidRDefault="005C4E1C" w:rsidP="005D5361">
            <w:pPr>
              <w:pStyle w:val="ENoteTableText"/>
            </w:pPr>
            <w:r>
              <w:t>—</w:t>
            </w:r>
          </w:p>
        </w:tc>
      </w:tr>
      <w:tr w:rsidR="00A653CA" w:rsidRPr="00E106BD" w:rsidTr="002B7560">
        <w:trPr>
          <w:cantSplit/>
        </w:trPr>
        <w:tc>
          <w:tcPr>
            <w:tcW w:w="1470" w:type="pct"/>
            <w:tcBorders>
              <w:right w:val="nil"/>
            </w:tcBorders>
            <w:shd w:val="clear" w:color="auto" w:fill="auto"/>
          </w:tcPr>
          <w:p w:rsidR="00A653CA" w:rsidRDefault="00A653CA" w:rsidP="001F0A90">
            <w:pPr>
              <w:pStyle w:val="ENoteTableText"/>
            </w:pPr>
            <w:r>
              <w:t>PB 100 of 2020</w:t>
            </w:r>
          </w:p>
        </w:tc>
        <w:tc>
          <w:tcPr>
            <w:tcW w:w="1178" w:type="pct"/>
            <w:tcBorders>
              <w:left w:val="nil"/>
              <w:right w:val="nil"/>
            </w:tcBorders>
            <w:shd w:val="clear" w:color="auto" w:fill="auto"/>
          </w:tcPr>
          <w:p w:rsidR="00A653CA" w:rsidRDefault="00A653CA">
            <w:pPr>
              <w:pStyle w:val="ENoteTableText"/>
            </w:pPr>
            <w:r>
              <w:t>29 Sept 2020 (F2020L01247)</w:t>
            </w:r>
          </w:p>
        </w:tc>
        <w:tc>
          <w:tcPr>
            <w:tcW w:w="1177" w:type="pct"/>
            <w:tcBorders>
              <w:left w:val="nil"/>
              <w:right w:val="nil"/>
            </w:tcBorders>
            <w:shd w:val="clear" w:color="auto" w:fill="auto"/>
          </w:tcPr>
          <w:p w:rsidR="00A653CA" w:rsidRDefault="00A653CA">
            <w:pPr>
              <w:pStyle w:val="ENoteTableText"/>
            </w:pPr>
            <w:r>
              <w:t>Sch 1 (item 3)</w:t>
            </w:r>
            <w:r w:rsidR="002B7560">
              <w:t>:30 Sept 2020 (s 2(1) item 1)</w:t>
            </w:r>
          </w:p>
        </w:tc>
        <w:tc>
          <w:tcPr>
            <w:tcW w:w="1175" w:type="pct"/>
            <w:tcBorders>
              <w:left w:val="nil"/>
            </w:tcBorders>
            <w:shd w:val="clear" w:color="auto" w:fill="auto"/>
          </w:tcPr>
          <w:p w:rsidR="00A653CA" w:rsidRDefault="00A653CA" w:rsidP="005D5361">
            <w:pPr>
              <w:pStyle w:val="ENoteTableText"/>
            </w:pPr>
            <w:r>
              <w:t>—</w:t>
            </w:r>
          </w:p>
        </w:tc>
      </w:tr>
      <w:tr w:rsidR="002B7560" w:rsidRPr="00E106BD" w:rsidTr="00B807DA">
        <w:trPr>
          <w:cantSplit/>
        </w:trPr>
        <w:tc>
          <w:tcPr>
            <w:tcW w:w="1470" w:type="pct"/>
            <w:tcBorders>
              <w:bottom w:val="single" w:sz="12" w:space="0" w:color="auto"/>
              <w:right w:val="nil"/>
            </w:tcBorders>
            <w:shd w:val="clear" w:color="auto" w:fill="auto"/>
          </w:tcPr>
          <w:p w:rsidR="002B7560" w:rsidRDefault="002B7560" w:rsidP="001F0A90">
            <w:pPr>
              <w:pStyle w:val="ENoteTableText"/>
            </w:pPr>
            <w:r>
              <w:t>PB 93 of 2020</w:t>
            </w:r>
          </w:p>
        </w:tc>
        <w:tc>
          <w:tcPr>
            <w:tcW w:w="1178" w:type="pct"/>
            <w:tcBorders>
              <w:left w:val="nil"/>
              <w:bottom w:val="single" w:sz="12" w:space="0" w:color="auto"/>
              <w:right w:val="nil"/>
            </w:tcBorders>
            <w:shd w:val="clear" w:color="auto" w:fill="auto"/>
          </w:tcPr>
          <w:p w:rsidR="002B7560" w:rsidRDefault="002B7560">
            <w:pPr>
              <w:pStyle w:val="ENoteTableText"/>
            </w:pPr>
            <w:r>
              <w:t>30 Sept 2020 (F2020L01267)</w:t>
            </w:r>
          </w:p>
        </w:tc>
        <w:tc>
          <w:tcPr>
            <w:tcW w:w="1177" w:type="pct"/>
            <w:tcBorders>
              <w:left w:val="nil"/>
              <w:bottom w:val="single" w:sz="12" w:space="0" w:color="auto"/>
              <w:right w:val="nil"/>
            </w:tcBorders>
            <w:shd w:val="clear" w:color="auto" w:fill="auto"/>
          </w:tcPr>
          <w:p w:rsidR="002B7560" w:rsidRPr="008F022A" w:rsidRDefault="002B7560">
            <w:pPr>
              <w:pStyle w:val="ENoteTableText"/>
            </w:pPr>
            <w:r w:rsidRPr="008F022A">
              <w:t>1 Oct 2020 (s 2)</w:t>
            </w:r>
          </w:p>
        </w:tc>
        <w:tc>
          <w:tcPr>
            <w:tcW w:w="1175" w:type="pct"/>
            <w:tcBorders>
              <w:left w:val="nil"/>
              <w:bottom w:val="single" w:sz="12" w:space="0" w:color="auto"/>
            </w:tcBorders>
            <w:shd w:val="clear" w:color="auto" w:fill="auto"/>
          </w:tcPr>
          <w:p w:rsidR="002B7560" w:rsidRDefault="002B7560" w:rsidP="005D5361">
            <w:pPr>
              <w:pStyle w:val="ENoteTableText"/>
            </w:pPr>
            <w:r>
              <w:t>—</w:t>
            </w:r>
          </w:p>
        </w:tc>
      </w:tr>
    </w:tbl>
    <w:p w:rsidR="00913F82" w:rsidRPr="00E106BD" w:rsidRDefault="00913F82" w:rsidP="00913F82">
      <w:pPr>
        <w:pStyle w:val="Tabletext"/>
      </w:pPr>
    </w:p>
    <w:p w:rsidR="00A3242B" w:rsidRPr="00E106BD" w:rsidRDefault="00A3242B" w:rsidP="00C33CB5">
      <w:pPr>
        <w:pStyle w:val="ENotesHeading2"/>
        <w:pageBreakBefore/>
        <w:outlineLvl w:val="9"/>
      </w:pPr>
      <w:bookmarkStart w:id="298" w:name="_Toc53559013"/>
      <w:r w:rsidRPr="00E106BD">
        <w:t>Endnote 4—Amendment history</w:t>
      </w:r>
      <w:bookmarkEnd w:id="298"/>
    </w:p>
    <w:p w:rsidR="00A3242B" w:rsidRPr="00E106BD" w:rsidRDefault="00A3242B" w:rsidP="004E4760">
      <w:pPr>
        <w:pStyle w:val="Tabletext"/>
      </w:pPr>
    </w:p>
    <w:tbl>
      <w:tblPr>
        <w:tblW w:w="4937" w:type="pct"/>
        <w:tblInd w:w="108" w:type="dxa"/>
        <w:tblLook w:val="0000" w:firstRow="0" w:lastRow="0" w:firstColumn="0" w:lastColumn="0" w:noHBand="0" w:noVBand="0"/>
      </w:tblPr>
      <w:tblGrid>
        <w:gridCol w:w="2348"/>
        <w:gridCol w:w="6074"/>
      </w:tblGrid>
      <w:tr w:rsidR="00A3242B" w:rsidRPr="00E106BD" w:rsidTr="000C3959">
        <w:trPr>
          <w:cantSplit/>
          <w:tblHeader/>
        </w:trPr>
        <w:tc>
          <w:tcPr>
            <w:tcW w:w="1394" w:type="pct"/>
            <w:tcBorders>
              <w:top w:val="single" w:sz="12" w:space="0" w:color="auto"/>
              <w:bottom w:val="single" w:sz="12" w:space="0" w:color="auto"/>
            </w:tcBorders>
            <w:shd w:val="clear" w:color="auto" w:fill="auto"/>
          </w:tcPr>
          <w:p w:rsidR="00A3242B" w:rsidRPr="00E106BD" w:rsidRDefault="00A3242B" w:rsidP="004E4760">
            <w:pPr>
              <w:pStyle w:val="ENoteTableHeading"/>
              <w:keepNext w:val="0"/>
            </w:pPr>
            <w:r w:rsidRPr="00E106BD">
              <w:t>Provision affected</w:t>
            </w:r>
          </w:p>
        </w:tc>
        <w:tc>
          <w:tcPr>
            <w:tcW w:w="3606" w:type="pct"/>
            <w:tcBorders>
              <w:top w:val="single" w:sz="12" w:space="0" w:color="auto"/>
              <w:bottom w:val="single" w:sz="12" w:space="0" w:color="auto"/>
            </w:tcBorders>
            <w:shd w:val="clear" w:color="auto" w:fill="auto"/>
          </w:tcPr>
          <w:p w:rsidR="00A3242B" w:rsidRPr="00E106BD" w:rsidRDefault="00A3242B" w:rsidP="004E4760">
            <w:pPr>
              <w:pStyle w:val="ENoteTableHeading"/>
              <w:keepNext w:val="0"/>
            </w:pPr>
            <w:r w:rsidRPr="00E106BD">
              <w:t>How affected</w:t>
            </w:r>
          </w:p>
        </w:tc>
      </w:tr>
      <w:tr w:rsidR="00EE1051" w:rsidRPr="00E106BD" w:rsidTr="000C3959">
        <w:trPr>
          <w:cantSplit/>
        </w:trPr>
        <w:tc>
          <w:tcPr>
            <w:tcW w:w="1394" w:type="pct"/>
            <w:shd w:val="clear" w:color="auto" w:fill="auto"/>
          </w:tcPr>
          <w:p w:rsidR="00EE1051" w:rsidRPr="00E106BD" w:rsidRDefault="00EE1051" w:rsidP="004E4760">
            <w:pPr>
              <w:pStyle w:val="ENoteTableText"/>
              <w:rPr>
                <w:b/>
              </w:rPr>
            </w:pPr>
            <w:r w:rsidRPr="00E106BD">
              <w:rPr>
                <w:b/>
              </w:rPr>
              <w:t>Part</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rPr>
                <w:b/>
              </w:rPr>
            </w:pPr>
            <w:r w:rsidRPr="00E106BD">
              <w:rPr>
                <w:b/>
              </w:rPr>
              <w:t>Division</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B34278">
            <w:pPr>
              <w:pStyle w:val="ENoteTableText"/>
              <w:tabs>
                <w:tab w:val="center" w:leader="dot" w:pos="2268"/>
              </w:tabs>
            </w:pPr>
            <w:r w:rsidRPr="00E106BD">
              <w:t>s 1</w:t>
            </w:r>
            <w:r w:rsidRPr="00E106BD">
              <w:tab/>
            </w:r>
          </w:p>
        </w:tc>
        <w:tc>
          <w:tcPr>
            <w:tcW w:w="3606" w:type="pct"/>
            <w:shd w:val="clear" w:color="auto" w:fill="auto"/>
          </w:tcPr>
          <w:p w:rsidR="00EE1051" w:rsidRPr="00E106BD" w:rsidRDefault="00EE1051" w:rsidP="00B34278">
            <w:pPr>
              <w:pStyle w:val="ENoteTableText"/>
              <w:tabs>
                <w:tab w:val="center" w:leader="dot" w:pos="2268"/>
              </w:tabs>
            </w:pPr>
            <w:r w:rsidRPr="00E106BD">
              <w:t>am PB 58 of 2015</w:t>
            </w:r>
          </w:p>
        </w:tc>
      </w:tr>
      <w:tr w:rsidR="00EE1051" w:rsidRPr="00E106BD" w:rsidTr="000C3959">
        <w:trPr>
          <w:cantSplit/>
        </w:trPr>
        <w:tc>
          <w:tcPr>
            <w:tcW w:w="1394" w:type="pct"/>
            <w:shd w:val="clear" w:color="auto" w:fill="auto"/>
          </w:tcPr>
          <w:p w:rsidR="00EE1051" w:rsidRPr="00E106BD" w:rsidRDefault="00EE1051" w:rsidP="00B34278">
            <w:pPr>
              <w:pStyle w:val="ENoteTableText"/>
              <w:tabs>
                <w:tab w:val="center" w:leader="dot" w:pos="2268"/>
              </w:tabs>
            </w:pPr>
            <w:r w:rsidRPr="00E106BD">
              <w:t>s 2</w:t>
            </w:r>
            <w:r w:rsidRPr="00E106BD">
              <w:tab/>
            </w:r>
          </w:p>
        </w:tc>
        <w:tc>
          <w:tcPr>
            <w:tcW w:w="3606" w:type="pct"/>
            <w:shd w:val="clear" w:color="auto" w:fill="auto"/>
          </w:tcPr>
          <w:p w:rsidR="00EE1051" w:rsidRPr="00E106BD" w:rsidRDefault="00533F98" w:rsidP="00B34278">
            <w:pPr>
              <w:pStyle w:val="ENoteTableText"/>
              <w:tabs>
                <w:tab w:val="center" w:leader="dot" w:pos="2268"/>
              </w:tabs>
            </w:pPr>
            <w:r w:rsidRPr="00E106BD">
              <w:t>rep L</w:t>
            </w:r>
            <w:r w:rsidR="00EE1051" w:rsidRPr="00E106BD">
              <w:t>A s 48D</w:t>
            </w:r>
          </w:p>
        </w:tc>
      </w:tr>
      <w:tr w:rsidR="009172D1" w:rsidRPr="00E106BD" w:rsidTr="000C3959">
        <w:trPr>
          <w:cantSplit/>
        </w:trPr>
        <w:tc>
          <w:tcPr>
            <w:tcW w:w="1394" w:type="pct"/>
            <w:shd w:val="clear" w:color="auto" w:fill="auto"/>
          </w:tcPr>
          <w:p w:rsidR="009172D1" w:rsidRPr="00E106BD" w:rsidRDefault="009172D1" w:rsidP="00B34278">
            <w:pPr>
              <w:pStyle w:val="ENoteTableText"/>
              <w:tabs>
                <w:tab w:val="center" w:leader="dot" w:pos="2268"/>
              </w:tabs>
            </w:pPr>
            <w:r w:rsidRPr="00E106BD">
              <w:t>s 3</w:t>
            </w:r>
            <w:r w:rsidR="00CE793E" w:rsidRPr="00E106BD">
              <w:tab/>
            </w:r>
          </w:p>
        </w:tc>
        <w:tc>
          <w:tcPr>
            <w:tcW w:w="3606" w:type="pct"/>
            <w:shd w:val="clear" w:color="auto" w:fill="auto"/>
          </w:tcPr>
          <w:p w:rsidR="009172D1" w:rsidRPr="00E106BD" w:rsidRDefault="009172D1" w:rsidP="00B34278">
            <w:pPr>
              <w:pStyle w:val="ENoteTableText"/>
              <w:tabs>
                <w:tab w:val="center" w:leader="dot" w:pos="2268"/>
              </w:tabs>
            </w:pPr>
            <w:r w:rsidRPr="00E106BD">
              <w:t>rep LA s 48C</w:t>
            </w:r>
          </w:p>
        </w:tc>
      </w:tr>
      <w:tr w:rsidR="00EE1051" w:rsidRPr="00E106BD" w:rsidTr="000C3959">
        <w:trPr>
          <w:cantSplit/>
        </w:trPr>
        <w:tc>
          <w:tcPr>
            <w:tcW w:w="1394" w:type="pct"/>
            <w:shd w:val="clear" w:color="auto" w:fill="auto"/>
          </w:tcPr>
          <w:p w:rsidR="00EE1051" w:rsidRPr="00E106BD" w:rsidRDefault="00EE1051" w:rsidP="00B34278">
            <w:pPr>
              <w:pStyle w:val="ENoteTableText"/>
              <w:tabs>
                <w:tab w:val="center" w:leader="dot" w:pos="2268"/>
              </w:tabs>
            </w:pPr>
            <w:r w:rsidRPr="00E106BD">
              <w:t>s 4</w:t>
            </w:r>
            <w:r w:rsidRPr="00E106BD">
              <w:tab/>
            </w:r>
          </w:p>
        </w:tc>
        <w:tc>
          <w:tcPr>
            <w:tcW w:w="3606" w:type="pct"/>
            <w:shd w:val="clear" w:color="auto" w:fill="auto"/>
          </w:tcPr>
          <w:p w:rsidR="00EE1051" w:rsidRPr="00E106BD" w:rsidRDefault="00EE1051" w:rsidP="00A56804">
            <w:pPr>
              <w:pStyle w:val="ENoteTableText"/>
            </w:pPr>
            <w:r w:rsidRPr="00E106BD">
              <w:t>am PB 122 of 2010; PB 2, 16, 28, 46, 62 and 99 of 2011; PB 20, 31, 35, 39 and 76 of 2012; PB 20, 63 and 93 of 2014; PB 3, 30 and 58 of 2015; PB 72 of 2015 (Sch 1 item</w:t>
            </w:r>
            <w:r w:rsidR="00E106BD">
              <w:t> </w:t>
            </w:r>
            <w:r w:rsidRPr="00E106BD">
              <w:t>1</w:t>
            </w:r>
            <w:r w:rsidR="00B00FE6" w:rsidRPr="00E106BD">
              <w:t xml:space="preserve"> md</w:t>
            </w:r>
            <w:r w:rsidR="00D12219" w:rsidRPr="00E106BD">
              <w:t>); PB 33,</w:t>
            </w:r>
            <w:r w:rsidRPr="00E106BD">
              <w:t xml:space="preserve"> 67</w:t>
            </w:r>
            <w:r w:rsidR="00E225A4" w:rsidRPr="00E106BD">
              <w:t>, 76</w:t>
            </w:r>
            <w:r w:rsidR="00116B9A" w:rsidRPr="00E106BD">
              <w:t>,</w:t>
            </w:r>
            <w:r w:rsidR="00E225A4" w:rsidRPr="00E106BD">
              <w:t xml:space="preserve"> 84</w:t>
            </w:r>
            <w:r w:rsidR="00116B9A" w:rsidRPr="00E106BD">
              <w:t xml:space="preserve"> and 113</w:t>
            </w:r>
            <w:r w:rsidR="00263250" w:rsidRPr="00E106BD">
              <w:t xml:space="preserve"> </w:t>
            </w:r>
            <w:r w:rsidRPr="00E106BD">
              <w:t>of 2016</w:t>
            </w:r>
            <w:r w:rsidR="009F0DB0" w:rsidRPr="00E106BD">
              <w:t>; PB 30 of 2017</w:t>
            </w:r>
            <w:r w:rsidR="00B93540" w:rsidRPr="00E106BD">
              <w:t>; PB 66 of 2017</w:t>
            </w:r>
            <w:r w:rsidR="00A8531D" w:rsidRPr="00E106BD">
              <w:t>; PB 75 of 2017</w:t>
            </w:r>
            <w:r w:rsidR="001E38FA" w:rsidRPr="00E106BD">
              <w:t>; PB 104 of 2017</w:t>
            </w:r>
            <w:r w:rsidR="00D06C3C" w:rsidRPr="00E106BD">
              <w:t>; PB 40 of 2018</w:t>
            </w:r>
          </w:p>
        </w:tc>
      </w:tr>
      <w:tr w:rsidR="00913F82" w:rsidRPr="00E106BD" w:rsidTr="000C3959">
        <w:trPr>
          <w:cantSplit/>
        </w:trPr>
        <w:tc>
          <w:tcPr>
            <w:tcW w:w="1394" w:type="pct"/>
            <w:shd w:val="clear" w:color="auto" w:fill="auto"/>
          </w:tcPr>
          <w:p w:rsidR="00913F82" w:rsidRPr="00E106BD" w:rsidRDefault="00913F82" w:rsidP="00B34278">
            <w:pPr>
              <w:pStyle w:val="ENoteTableText"/>
              <w:tabs>
                <w:tab w:val="center" w:leader="dot" w:pos="2268"/>
              </w:tabs>
            </w:pPr>
          </w:p>
        </w:tc>
        <w:tc>
          <w:tcPr>
            <w:tcW w:w="3606" w:type="pct"/>
            <w:shd w:val="clear" w:color="auto" w:fill="auto"/>
          </w:tcPr>
          <w:p w:rsidR="00913F82" w:rsidRPr="00E106BD" w:rsidRDefault="00913F82" w:rsidP="00B00FE6">
            <w:pPr>
              <w:pStyle w:val="ENoteTableText"/>
            </w:pPr>
            <w:r w:rsidRPr="00E106BD">
              <w:t>ed C82</w:t>
            </w:r>
          </w:p>
        </w:tc>
      </w:tr>
      <w:tr w:rsidR="006706F0" w:rsidRPr="00E106BD" w:rsidTr="000C3959">
        <w:trPr>
          <w:cantSplit/>
        </w:trPr>
        <w:tc>
          <w:tcPr>
            <w:tcW w:w="1394" w:type="pct"/>
            <w:shd w:val="clear" w:color="auto" w:fill="auto"/>
          </w:tcPr>
          <w:p w:rsidR="006706F0" w:rsidRPr="00E106BD" w:rsidRDefault="006706F0" w:rsidP="00B34278">
            <w:pPr>
              <w:pStyle w:val="ENoteTableText"/>
              <w:tabs>
                <w:tab w:val="center" w:leader="dot" w:pos="2268"/>
              </w:tabs>
            </w:pPr>
          </w:p>
        </w:tc>
        <w:tc>
          <w:tcPr>
            <w:tcW w:w="3606" w:type="pct"/>
            <w:shd w:val="clear" w:color="auto" w:fill="auto"/>
          </w:tcPr>
          <w:p w:rsidR="006706F0" w:rsidRPr="00E106BD" w:rsidRDefault="006706F0" w:rsidP="00B00FE6">
            <w:pPr>
              <w:pStyle w:val="ENoteTableText"/>
            </w:pPr>
            <w:r w:rsidRPr="00E106BD">
              <w:t>am PB 85 of 2018</w:t>
            </w:r>
            <w:r w:rsidR="00331071" w:rsidRPr="00E106BD">
              <w:t>; PB 102 of 2018</w:t>
            </w:r>
            <w:r w:rsidR="00CE40C3" w:rsidRPr="00E106BD">
              <w:t>; PB 107 of 2018</w:t>
            </w:r>
            <w:r w:rsidR="00B46184" w:rsidRPr="00E106BD">
              <w:t>; PB 3 of 2019</w:t>
            </w:r>
            <w:r w:rsidR="00F6296F" w:rsidRPr="00E106BD">
              <w:t>; PB 13 of 2019</w:t>
            </w:r>
            <w:r w:rsidR="00A56804" w:rsidRPr="00E106BD">
              <w:t>; PB 78 of 2019</w:t>
            </w:r>
            <w:r w:rsidR="005E25AF" w:rsidRPr="00E106BD">
              <w:t>; PB 95 of 2019</w:t>
            </w:r>
            <w:r w:rsidR="006A1218" w:rsidRPr="00E106BD">
              <w:t>; PB 17 of 2020</w:t>
            </w:r>
            <w:r w:rsidR="00CC236B" w:rsidRPr="00E106BD">
              <w:t>; PB 24 of 2020</w:t>
            </w:r>
            <w:r w:rsidR="005F1EDC" w:rsidRPr="00E106BD">
              <w:t>; PB 26 of 2020</w:t>
            </w:r>
          </w:p>
        </w:tc>
      </w:tr>
      <w:tr w:rsidR="00A43145" w:rsidRPr="00E106BD" w:rsidTr="000C3959">
        <w:trPr>
          <w:cantSplit/>
        </w:trPr>
        <w:tc>
          <w:tcPr>
            <w:tcW w:w="1394" w:type="pct"/>
            <w:shd w:val="clear" w:color="auto" w:fill="auto"/>
          </w:tcPr>
          <w:p w:rsidR="00A43145" w:rsidRPr="00E106BD" w:rsidRDefault="00A43145" w:rsidP="00B34278">
            <w:pPr>
              <w:pStyle w:val="ENoteTableText"/>
              <w:tabs>
                <w:tab w:val="center" w:leader="dot" w:pos="2268"/>
              </w:tabs>
            </w:pPr>
          </w:p>
        </w:tc>
        <w:tc>
          <w:tcPr>
            <w:tcW w:w="3606" w:type="pct"/>
            <w:shd w:val="clear" w:color="auto" w:fill="auto"/>
          </w:tcPr>
          <w:p w:rsidR="00A43145" w:rsidRPr="00E106BD" w:rsidRDefault="00A43145" w:rsidP="00B00FE6">
            <w:pPr>
              <w:pStyle w:val="ENoteTableText"/>
            </w:pPr>
            <w:r w:rsidRPr="00E106BD">
              <w:t>ed C105</w:t>
            </w:r>
          </w:p>
        </w:tc>
      </w:tr>
      <w:tr w:rsidR="00DE532E" w:rsidRPr="00E106BD" w:rsidTr="000C3959">
        <w:trPr>
          <w:cantSplit/>
        </w:trPr>
        <w:tc>
          <w:tcPr>
            <w:tcW w:w="1394" w:type="pct"/>
            <w:shd w:val="clear" w:color="auto" w:fill="auto"/>
          </w:tcPr>
          <w:p w:rsidR="00DE532E" w:rsidRPr="00E106BD" w:rsidRDefault="00DE532E" w:rsidP="00B34278">
            <w:pPr>
              <w:pStyle w:val="ENoteTableText"/>
              <w:tabs>
                <w:tab w:val="center" w:leader="dot" w:pos="2268"/>
              </w:tabs>
            </w:pPr>
          </w:p>
        </w:tc>
        <w:tc>
          <w:tcPr>
            <w:tcW w:w="3606" w:type="pct"/>
            <w:shd w:val="clear" w:color="auto" w:fill="auto"/>
          </w:tcPr>
          <w:p w:rsidR="00DE532E" w:rsidRPr="00E106BD" w:rsidRDefault="00DE532E" w:rsidP="00B00FE6">
            <w:pPr>
              <w:pStyle w:val="ENoteTableText"/>
            </w:pPr>
            <w:r>
              <w:t>am PB 46 of 2020</w:t>
            </w:r>
          </w:p>
        </w:tc>
      </w:tr>
      <w:tr w:rsidR="005F1EDC" w:rsidRPr="00E106BD" w:rsidTr="000C3959">
        <w:trPr>
          <w:cantSplit/>
        </w:trPr>
        <w:tc>
          <w:tcPr>
            <w:tcW w:w="1394" w:type="pct"/>
            <w:shd w:val="clear" w:color="auto" w:fill="auto"/>
          </w:tcPr>
          <w:p w:rsidR="005F1EDC" w:rsidRPr="00E106BD" w:rsidRDefault="005F1EDC" w:rsidP="00B34278">
            <w:pPr>
              <w:pStyle w:val="ENoteTableText"/>
              <w:tabs>
                <w:tab w:val="center" w:leader="dot" w:pos="2268"/>
              </w:tabs>
            </w:pPr>
            <w:r w:rsidRPr="00E106BD">
              <w:t>s 4A</w:t>
            </w:r>
            <w:r w:rsidRPr="00E106BD">
              <w:tab/>
            </w:r>
          </w:p>
        </w:tc>
        <w:tc>
          <w:tcPr>
            <w:tcW w:w="3606" w:type="pct"/>
            <w:shd w:val="clear" w:color="auto" w:fill="auto"/>
          </w:tcPr>
          <w:p w:rsidR="005F1EDC" w:rsidRPr="00E106BD" w:rsidRDefault="005F1EDC" w:rsidP="00B00FE6">
            <w:pPr>
              <w:pStyle w:val="ENoteTableText"/>
            </w:pPr>
            <w:r w:rsidRPr="00E106BD">
              <w:t>ad PB 26 of 2020</w:t>
            </w:r>
          </w:p>
        </w:tc>
      </w:tr>
      <w:tr w:rsidR="002E1BDD" w:rsidRPr="00E106BD" w:rsidTr="000C3959">
        <w:trPr>
          <w:cantSplit/>
        </w:trPr>
        <w:tc>
          <w:tcPr>
            <w:tcW w:w="1394" w:type="pct"/>
            <w:shd w:val="clear" w:color="auto" w:fill="auto"/>
          </w:tcPr>
          <w:p w:rsidR="002E1BDD" w:rsidRPr="00E106BD" w:rsidRDefault="002E1BDD" w:rsidP="00B34278">
            <w:pPr>
              <w:pStyle w:val="ENoteTableText"/>
              <w:tabs>
                <w:tab w:val="center" w:leader="dot" w:pos="2268"/>
              </w:tabs>
            </w:pPr>
          </w:p>
        </w:tc>
        <w:tc>
          <w:tcPr>
            <w:tcW w:w="3606" w:type="pct"/>
            <w:shd w:val="clear" w:color="auto" w:fill="auto"/>
          </w:tcPr>
          <w:p w:rsidR="002E1BDD" w:rsidRPr="00E106BD" w:rsidRDefault="002E1BDD" w:rsidP="00B00FE6">
            <w:pPr>
              <w:pStyle w:val="ENoteTableText"/>
            </w:pPr>
            <w:r>
              <w:t>am PB 93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rPr>
                <w:b/>
              </w:rPr>
            </w:pPr>
            <w:r w:rsidRPr="00E106BD">
              <w:rPr>
                <w:b/>
              </w:rPr>
              <w:t>Division</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3B138F" w:rsidRPr="00E106BD" w:rsidTr="000C3959">
        <w:trPr>
          <w:cantSplit/>
        </w:trPr>
        <w:tc>
          <w:tcPr>
            <w:tcW w:w="1394" w:type="pct"/>
            <w:shd w:val="clear" w:color="auto" w:fill="auto"/>
          </w:tcPr>
          <w:p w:rsidR="003B138F" w:rsidRPr="00E106BD" w:rsidRDefault="003B138F" w:rsidP="004E4760">
            <w:pPr>
              <w:pStyle w:val="ENoteTableText"/>
              <w:tabs>
                <w:tab w:val="center" w:leader="dot" w:pos="2268"/>
              </w:tabs>
            </w:pPr>
            <w:r w:rsidRPr="00E106BD">
              <w:t>s 7</w:t>
            </w:r>
            <w:r w:rsidRPr="00E106BD">
              <w:tab/>
            </w:r>
          </w:p>
        </w:tc>
        <w:tc>
          <w:tcPr>
            <w:tcW w:w="3606" w:type="pct"/>
            <w:shd w:val="clear" w:color="auto" w:fill="auto"/>
          </w:tcPr>
          <w:p w:rsidR="003B138F" w:rsidRPr="00E106BD" w:rsidRDefault="003B138F" w:rsidP="004E4760">
            <w:pPr>
              <w:pStyle w:val="ENoteTableText"/>
            </w:pPr>
            <w:r w:rsidRPr="00E106BD">
              <w:t>am PB 87 of 2019</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center" w:leader="dot" w:pos="2268"/>
              </w:tabs>
            </w:pPr>
            <w:r w:rsidRPr="00E106BD">
              <w:t>s 8</w:t>
            </w:r>
            <w:r w:rsidRPr="00E106BD">
              <w:tab/>
            </w:r>
          </w:p>
        </w:tc>
        <w:tc>
          <w:tcPr>
            <w:tcW w:w="3606" w:type="pct"/>
            <w:shd w:val="clear" w:color="auto" w:fill="auto"/>
          </w:tcPr>
          <w:p w:rsidR="005F1EDC" w:rsidRPr="00E106BD" w:rsidRDefault="005F1EDC" w:rsidP="004E4760">
            <w:pPr>
              <w:pStyle w:val="ENoteTableText"/>
            </w:pPr>
            <w:r w:rsidRPr="00E106BD">
              <w:t>am PB 26 of 2020</w:t>
            </w:r>
          </w:p>
        </w:tc>
      </w:tr>
      <w:tr w:rsidR="00DF7CFF" w:rsidRPr="00E106BD" w:rsidTr="000C3959">
        <w:trPr>
          <w:cantSplit/>
        </w:trPr>
        <w:tc>
          <w:tcPr>
            <w:tcW w:w="1394" w:type="pct"/>
            <w:shd w:val="clear" w:color="auto" w:fill="auto"/>
          </w:tcPr>
          <w:p w:rsidR="00DF7CFF" w:rsidRPr="00E106BD" w:rsidRDefault="00DF7CFF" w:rsidP="004E4760">
            <w:pPr>
              <w:pStyle w:val="ENoteTableText"/>
              <w:tabs>
                <w:tab w:val="center" w:leader="dot" w:pos="2268"/>
              </w:tabs>
            </w:pPr>
            <w:r>
              <w:t>s 9</w:t>
            </w:r>
            <w:r>
              <w:tab/>
            </w:r>
          </w:p>
        </w:tc>
        <w:tc>
          <w:tcPr>
            <w:tcW w:w="3606" w:type="pct"/>
            <w:shd w:val="clear" w:color="auto" w:fill="auto"/>
          </w:tcPr>
          <w:p w:rsidR="00DF7CFF" w:rsidRPr="00E106BD" w:rsidRDefault="00DF7CFF" w:rsidP="004E4760">
            <w:pPr>
              <w:pStyle w:val="ENoteTableText"/>
            </w:pPr>
            <w:r>
              <w:t>am PB 32 of 2020</w:t>
            </w:r>
          </w:p>
        </w:tc>
      </w:tr>
      <w:tr w:rsidR="00462ED1" w:rsidRPr="00E106BD" w:rsidTr="000C3959">
        <w:trPr>
          <w:cantSplit/>
        </w:trPr>
        <w:tc>
          <w:tcPr>
            <w:tcW w:w="1394" w:type="pct"/>
            <w:shd w:val="clear" w:color="auto" w:fill="auto"/>
          </w:tcPr>
          <w:p w:rsidR="00462ED1" w:rsidRDefault="00462ED1" w:rsidP="004E4760">
            <w:pPr>
              <w:pStyle w:val="ENoteTableText"/>
              <w:tabs>
                <w:tab w:val="center" w:leader="dot" w:pos="2268"/>
              </w:tabs>
            </w:pPr>
          </w:p>
        </w:tc>
        <w:tc>
          <w:tcPr>
            <w:tcW w:w="3606" w:type="pct"/>
            <w:shd w:val="clear" w:color="auto" w:fill="auto"/>
          </w:tcPr>
          <w:p w:rsidR="00462ED1" w:rsidRDefault="005E43C9" w:rsidP="004E4760">
            <w:pPr>
              <w:pStyle w:val="ENoteTableText"/>
            </w:pPr>
            <w:r>
              <w:t xml:space="preserve">(3) </w:t>
            </w:r>
            <w:r w:rsidR="00462ED1" w:rsidRPr="00D056E5">
              <w:rPr>
                <w:u w:val="single"/>
              </w:rPr>
              <w:t xml:space="preserve">rep </w:t>
            </w:r>
            <w:r w:rsidR="00462ED1" w:rsidRPr="00E43A5C">
              <w:rPr>
                <w:u w:val="single"/>
              </w:rPr>
              <w:t xml:space="preserve">1 </w:t>
            </w:r>
            <w:r w:rsidR="00B72471">
              <w:rPr>
                <w:u w:val="single"/>
              </w:rPr>
              <w:t>Apr 2021</w:t>
            </w:r>
            <w:r w:rsidR="00462ED1" w:rsidRPr="0093356C">
              <w:rPr>
                <w:u w:val="single"/>
              </w:rPr>
              <w:t xml:space="preserve"> (s 9</w:t>
            </w:r>
            <w:r w:rsidR="00B04397">
              <w:rPr>
                <w:u w:val="single"/>
              </w:rPr>
              <w:t>AA</w:t>
            </w:r>
            <w:r w:rsidR="00462ED1" w:rsidRPr="0093356C">
              <w:rPr>
                <w:u w:val="single"/>
              </w:rPr>
              <w:t>(3))</w:t>
            </w:r>
          </w:p>
        </w:tc>
      </w:tr>
      <w:tr w:rsidR="00DF7CFF" w:rsidRPr="00E106BD" w:rsidTr="000C3959">
        <w:trPr>
          <w:cantSplit/>
        </w:trPr>
        <w:tc>
          <w:tcPr>
            <w:tcW w:w="1394" w:type="pct"/>
            <w:shd w:val="clear" w:color="auto" w:fill="auto"/>
          </w:tcPr>
          <w:p w:rsidR="00DF7CFF" w:rsidRDefault="00DF7CFF" w:rsidP="004E4760">
            <w:pPr>
              <w:pStyle w:val="ENoteTableText"/>
              <w:tabs>
                <w:tab w:val="center" w:leader="dot" w:pos="2268"/>
              </w:tabs>
            </w:pPr>
            <w:r>
              <w:t>s 9AA</w:t>
            </w:r>
            <w:r>
              <w:tab/>
            </w:r>
          </w:p>
        </w:tc>
        <w:tc>
          <w:tcPr>
            <w:tcW w:w="3606" w:type="pct"/>
            <w:shd w:val="clear" w:color="auto" w:fill="auto"/>
          </w:tcPr>
          <w:p w:rsidR="00DF7CFF" w:rsidRDefault="00DF7CFF" w:rsidP="004E4760">
            <w:pPr>
              <w:pStyle w:val="ENoteTableText"/>
            </w:pPr>
            <w:r>
              <w:t>ad PB 32 of 2020</w:t>
            </w:r>
          </w:p>
        </w:tc>
      </w:tr>
      <w:tr w:rsidR="00AC4CEF" w:rsidRPr="00E106BD" w:rsidTr="000C3959">
        <w:trPr>
          <w:cantSplit/>
        </w:trPr>
        <w:tc>
          <w:tcPr>
            <w:tcW w:w="1394" w:type="pct"/>
            <w:shd w:val="clear" w:color="auto" w:fill="auto"/>
          </w:tcPr>
          <w:p w:rsidR="00AC4CEF" w:rsidRDefault="00AC4CEF" w:rsidP="004E4760">
            <w:pPr>
              <w:pStyle w:val="ENoteTableText"/>
              <w:tabs>
                <w:tab w:val="center" w:leader="dot" w:pos="2268"/>
              </w:tabs>
            </w:pPr>
          </w:p>
        </w:tc>
        <w:tc>
          <w:tcPr>
            <w:tcW w:w="3606" w:type="pct"/>
            <w:shd w:val="clear" w:color="auto" w:fill="auto"/>
          </w:tcPr>
          <w:p w:rsidR="00AC4CEF" w:rsidRDefault="00AC4CEF" w:rsidP="004E4760">
            <w:pPr>
              <w:pStyle w:val="ENoteTableText"/>
            </w:pPr>
            <w:r>
              <w:t>am PB 100 of 2020</w:t>
            </w:r>
          </w:p>
        </w:tc>
      </w:tr>
      <w:tr w:rsidR="00462ED1" w:rsidRPr="00E106BD" w:rsidTr="000C3959">
        <w:trPr>
          <w:cantSplit/>
        </w:trPr>
        <w:tc>
          <w:tcPr>
            <w:tcW w:w="1394" w:type="pct"/>
            <w:shd w:val="clear" w:color="auto" w:fill="auto"/>
          </w:tcPr>
          <w:p w:rsidR="00462ED1" w:rsidRDefault="00462ED1" w:rsidP="004E4760">
            <w:pPr>
              <w:pStyle w:val="ENoteTableText"/>
              <w:tabs>
                <w:tab w:val="center" w:leader="dot" w:pos="2268"/>
              </w:tabs>
            </w:pPr>
          </w:p>
        </w:tc>
        <w:tc>
          <w:tcPr>
            <w:tcW w:w="3606" w:type="pct"/>
            <w:shd w:val="clear" w:color="auto" w:fill="auto"/>
          </w:tcPr>
          <w:p w:rsidR="00462ED1" w:rsidRDefault="00462ED1">
            <w:pPr>
              <w:pStyle w:val="ENoteTableText"/>
            </w:pPr>
            <w:r>
              <w:t xml:space="preserve">rep </w:t>
            </w:r>
            <w:r w:rsidR="00564E68">
              <w:rPr>
                <w:u w:val="single"/>
              </w:rPr>
              <w:t>1 Apr 2021</w:t>
            </w:r>
            <w:r w:rsidR="005E43C9">
              <w:rPr>
                <w:u w:val="single"/>
              </w:rPr>
              <w:t xml:space="preserve"> (s 9</w:t>
            </w:r>
            <w:r w:rsidR="00B04397">
              <w:rPr>
                <w:u w:val="single"/>
              </w:rPr>
              <w:t>AA</w:t>
            </w:r>
            <w:r w:rsidR="005E43C9">
              <w:rPr>
                <w:u w:val="single"/>
              </w:rPr>
              <w:t>(3))</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9A</w:t>
            </w:r>
            <w:r w:rsidRPr="00E106BD">
              <w:tab/>
            </w:r>
          </w:p>
        </w:tc>
        <w:tc>
          <w:tcPr>
            <w:tcW w:w="3606" w:type="pct"/>
            <w:shd w:val="clear" w:color="auto" w:fill="auto"/>
          </w:tcPr>
          <w:p w:rsidR="00EE1051" w:rsidRPr="00E106BD" w:rsidRDefault="00EE1051" w:rsidP="004E4760">
            <w:pPr>
              <w:pStyle w:val="ENoteTableText"/>
            </w:pPr>
            <w:r w:rsidRPr="00E106BD">
              <w:t>ad PB 93 of 2014</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3</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Division</w:t>
            </w:r>
            <w:r w:rsidR="00E106BD">
              <w:t> </w:t>
            </w:r>
            <w:r w:rsidRPr="00E106BD">
              <w:t>3 heading</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rs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Division</w:t>
            </w:r>
            <w:r w:rsidR="00E106BD">
              <w:t> </w:t>
            </w:r>
            <w:r w:rsidRPr="00E106BD">
              <w:t>3</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am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10</w:t>
            </w:r>
            <w:r w:rsidRPr="00E106BD">
              <w:tab/>
            </w:r>
          </w:p>
        </w:tc>
        <w:tc>
          <w:tcPr>
            <w:tcW w:w="3606" w:type="pct"/>
            <w:shd w:val="clear" w:color="auto" w:fill="auto"/>
          </w:tcPr>
          <w:p w:rsidR="00EE1051" w:rsidRPr="00E106BD" w:rsidRDefault="00EE1051" w:rsidP="004E4760">
            <w:pPr>
              <w:pStyle w:val="ENoteTableText"/>
            </w:pPr>
            <w:r w:rsidRPr="00E106BD">
              <w:t>am PB 62 of 2011; PB 30 of 2015; PB 33 of 2016</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11</w:t>
            </w:r>
            <w:r w:rsidRPr="00E106BD">
              <w:tab/>
            </w:r>
          </w:p>
        </w:tc>
        <w:tc>
          <w:tcPr>
            <w:tcW w:w="3606" w:type="pct"/>
            <w:shd w:val="clear" w:color="auto" w:fill="auto"/>
          </w:tcPr>
          <w:p w:rsidR="00EE1051" w:rsidRPr="00E106BD" w:rsidRDefault="00EE1051" w:rsidP="004E4760">
            <w:pPr>
              <w:pStyle w:val="ENoteTableText"/>
            </w:pPr>
            <w:r w:rsidRPr="00E106BD">
              <w:t>am PB 62 of 2011</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12</w:t>
            </w:r>
            <w:r w:rsidRPr="00E106BD">
              <w:tab/>
            </w:r>
          </w:p>
        </w:tc>
        <w:tc>
          <w:tcPr>
            <w:tcW w:w="3606" w:type="pct"/>
            <w:shd w:val="clear" w:color="auto" w:fill="auto"/>
          </w:tcPr>
          <w:p w:rsidR="00EE1051" w:rsidRPr="00E106BD" w:rsidRDefault="00EE1051" w:rsidP="004E4760">
            <w:pPr>
              <w:pStyle w:val="ENoteTableText"/>
            </w:pPr>
            <w:r w:rsidRPr="00E106BD">
              <w:t>am PB 62 of 2011</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13</w:t>
            </w:r>
            <w:r w:rsidRPr="00E106BD">
              <w:tab/>
            </w:r>
          </w:p>
        </w:tc>
        <w:tc>
          <w:tcPr>
            <w:tcW w:w="3606" w:type="pct"/>
            <w:shd w:val="clear" w:color="auto" w:fill="auto"/>
          </w:tcPr>
          <w:p w:rsidR="00EE1051" w:rsidRPr="00E106BD" w:rsidRDefault="00EE1051" w:rsidP="004E4760">
            <w:pPr>
              <w:pStyle w:val="ENoteTableText"/>
            </w:pPr>
            <w:r w:rsidRPr="00E106BD">
              <w:t>am PB 62 of 2011</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3B138F" w:rsidRPr="00E106BD" w:rsidTr="000C3959">
        <w:trPr>
          <w:cantSplit/>
        </w:trPr>
        <w:tc>
          <w:tcPr>
            <w:tcW w:w="1394" w:type="pct"/>
            <w:shd w:val="clear" w:color="auto" w:fill="auto"/>
          </w:tcPr>
          <w:p w:rsidR="003B138F" w:rsidRPr="00E106BD" w:rsidRDefault="003B138F" w:rsidP="004E4760">
            <w:pPr>
              <w:pStyle w:val="ENoteTableText"/>
              <w:tabs>
                <w:tab w:val="center" w:leader="dot" w:pos="2268"/>
              </w:tabs>
              <w:rPr>
                <w:b/>
              </w:rPr>
            </w:pPr>
            <w:r w:rsidRPr="00E106BD">
              <w:rPr>
                <w:b/>
              </w:rPr>
              <w:t>Division</w:t>
            </w:r>
            <w:r w:rsidR="00E106BD">
              <w:rPr>
                <w:b/>
              </w:rPr>
              <w:t> </w:t>
            </w:r>
            <w:r w:rsidRPr="00E106BD">
              <w:rPr>
                <w:b/>
              </w:rPr>
              <w:t>4</w:t>
            </w:r>
          </w:p>
        </w:tc>
        <w:tc>
          <w:tcPr>
            <w:tcW w:w="3606" w:type="pct"/>
            <w:shd w:val="clear" w:color="auto" w:fill="auto"/>
          </w:tcPr>
          <w:p w:rsidR="003B138F" w:rsidRPr="00E106BD" w:rsidRDefault="003B138F" w:rsidP="004E4760">
            <w:pPr>
              <w:pStyle w:val="ENoteTableText"/>
            </w:pPr>
          </w:p>
        </w:tc>
      </w:tr>
      <w:tr w:rsidR="003B138F" w:rsidRPr="00E106BD" w:rsidTr="000C3959">
        <w:trPr>
          <w:cantSplit/>
        </w:trPr>
        <w:tc>
          <w:tcPr>
            <w:tcW w:w="1394" w:type="pct"/>
            <w:shd w:val="clear" w:color="auto" w:fill="auto"/>
          </w:tcPr>
          <w:p w:rsidR="003B138F" w:rsidRPr="00E106BD" w:rsidRDefault="003B138F" w:rsidP="004E4760">
            <w:pPr>
              <w:pStyle w:val="ENoteTableText"/>
              <w:tabs>
                <w:tab w:val="center" w:leader="dot" w:pos="2268"/>
              </w:tabs>
            </w:pPr>
            <w:r w:rsidRPr="00E106BD">
              <w:t>s 14</w:t>
            </w:r>
            <w:r w:rsidRPr="00E106BD">
              <w:tab/>
            </w:r>
          </w:p>
        </w:tc>
        <w:tc>
          <w:tcPr>
            <w:tcW w:w="3606" w:type="pct"/>
            <w:shd w:val="clear" w:color="auto" w:fill="auto"/>
          </w:tcPr>
          <w:p w:rsidR="003B138F" w:rsidRPr="00E106BD" w:rsidRDefault="003B138F" w:rsidP="004E4760">
            <w:pPr>
              <w:pStyle w:val="ENoteTableText"/>
            </w:pPr>
            <w:r w:rsidRPr="00E106BD">
              <w:t>am PB 87 of 2019</w:t>
            </w:r>
            <w:r w:rsidR="005F1EDC" w:rsidRPr="00E106BD">
              <w:t>; PB 26 of 2020</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center" w:leader="dot" w:pos="2268"/>
              </w:tabs>
            </w:pPr>
            <w:r w:rsidRPr="00E106BD">
              <w:t>s 15</w:t>
            </w:r>
            <w:r w:rsidRPr="00E106BD">
              <w:tab/>
            </w:r>
          </w:p>
        </w:tc>
        <w:tc>
          <w:tcPr>
            <w:tcW w:w="3606" w:type="pct"/>
            <w:shd w:val="clear" w:color="auto" w:fill="auto"/>
          </w:tcPr>
          <w:p w:rsidR="005F1EDC" w:rsidRPr="00E106BD" w:rsidRDefault="005F1EDC" w:rsidP="004E4760">
            <w:pPr>
              <w:pStyle w:val="ENoteTableText"/>
            </w:pPr>
            <w:r w:rsidRPr="00E106BD">
              <w:t>am PB 26 of 2020</w:t>
            </w:r>
          </w:p>
        </w:tc>
      </w:tr>
      <w:tr w:rsidR="00EE1051" w:rsidRPr="00E106BD" w:rsidTr="000C3959">
        <w:trPr>
          <w:cantSplit/>
        </w:trPr>
        <w:tc>
          <w:tcPr>
            <w:tcW w:w="1394" w:type="pct"/>
            <w:shd w:val="clear" w:color="auto" w:fill="auto"/>
          </w:tcPr>
          <w:p w:rsidR="00EE1051" w:rsidRPr="00E106BD" w:rsidRDefault="00EE1051" w:rsidP="00D74028">
            <w:pPr>
              <w:pStyle w:val="ENoteTableText"/>
              <w:keepNext/>
            </w:pPr>
            <w:r w:rsidRPr="00E106BD">
              <w:rPr>
                <w:b/>
              </w:rPr>
              <w:t>Part</w:t>
            </w:r>
            <w:r w:rsidR="00E106BD">
              <w:rPr>
                <w:b/>
              </w:rPr>
              <w:t> </w:t>
            </w:r>
            <w:r w:rsidRPr="00E106BD">
              <w:rPr>
                <w:b/>
              </w:rPr>
              <w:t>2</w:t>
            </w:r>
          </w:p>
        </w:tc>
        <w:tc>
          <w:tcPr>
            <w:tcW w:w="3606" w:type="pct"/>
            <w:shd w:val="clear" w:color="auto" w:fill="auto"/>
          </w:tcPr>
          <w:p w:rsidR="00EE1051" w:rsidRPr="00E106BD" w:rsidRDefault="00EE1051" w:rsidP="00D74028">
            <w:pPr>
              <w:pStyle w:val="ENoteTableText"/>
              <w:keepNext/>
            </w:pPr>
          </w:p>
        </w:tc>
      </w:tr>
      <w:tr w:rsidR="00EE1051" w:rsidRPr="00E106BD" w:rsidTr="000C3959">
        <w:trPr>
          <w:cantSplit/>
        </w:trPr>
        <w:tc>
          <w:tcPr>
            <w:tcW w:w="1394" w:type="pct"/>
            <w:shd w:val="clear" w:color="auto" w:fill="auto"/>
          </w:tcPr>
          <w:p w:rsidR="00EE1051" w:rsidRPr="00E106BD" w:rsidRDefault="00EE1051" w:rsidP="00D74028">
            <w:pPr>
              <w:pStyle w:val="ENoteTableText"/>
              <w:keepNext/>
              <w:rPr>
                <w:b/>
              </w:rPr>
            </w:pPr>
            <w:r w:rsidRPr="00E106BD">
              <w:rPr>
                <w:b/>
              </w:rPr>
              <w:t>Division</w:t>
            </w:r>
            <w:r w:rsidR="00E106BD">
              <w:rPr>
                <w:b/>
              </w:rPr>
              <w:t> </w:t>
            </w:r>
            <w:r w:rsidRPr="00E106BD">
              <w:rPr>
                <w:b/>
              </w:rPr>
              <w:t>1</w:t>
            </w:r>
          </w:p>
        </w:tc>
        <w:tc>
          <w:tcPr>
            <w:tcW w:w="3606" w:type="pct"/>
            <w:shd w:val="clear" w:color="auto" w:fill="auto"/>
          </w:tcPr>
          <w:p w:rsidR="00EE1051" w:rsidRPr="00E106BD" w:rsidRDefault="00EE1051" w:rsidP="00D74028">
            <w:pPr>
              <w:pStyle w:val="ENoteTableText"/>
              <w:keepN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17A</w:t>
            </w:r>
            <w:r w:rsidRPr="00E106BD">
              <w:tab/>
            </w:r>
          </w:p>
        </w:tc>
        <w:tc>
          <w:tcPr>
            <w:tcW w:w="3606" w:type="pct"/>
            <w:shd w:val="clear" w:color="auto" w:fill="auto"/>
          </w:tcPr>
          <w:p w:rsidR="00EE1051" w:rsidRPr="00E106BD" w:rsidRDefault="00EE1051" w:rsidP="004E4760">
            <w:pPr>
              <w:pStyle w:val="ENoteTableText"/>
            </w:pPr>
            <w:r w:rsidRPr="00E106BD">
              <w:t>ad PB 93 of 2014</w:t>
            </w:r>
          </w:p>
        </w:tc>
      </w:tr>
      <w:tr w:rsidR="00EE1051" w:rsidRPr="00E106BD" w:rsidTr="000C3959">
        <w:trPr>
          <w:cantSplit/>
        </w:trPr>
        <w:tc>
          <w:tcPr>
            <w:tcW w:w="1394" w:type="pct"/>
            <w:shd w:val="clear" w:color="auto" w:fill="auto"/>
          </w:tcPr>
          <w:p w:rsidR="00EE1051" w:rsidRPr="00E106BD" w:rsidRDefault="00EE1051" w:rsidP="00803B48">
            <w:pPr>
              <w:pStyle w:val="ENoteTableText"/>
              <w:tabs>
                <w:tab w:val="left" w:leader="dot" w:pos="2268"/>
              </w:tabs>
            </w:pPr>
            <w:r w:rsidRPr="00E106BD">
              <w:t>s 18</w:t>
            </w:r>
            <w:r w:rsidRPr="00E106BD">
              <w:tab/>
            </w:r>
          </w:p>
        </w:tc>
        <w:tc>
          <w:tcPr>
            <w:tcW w:w="3606" w:type="pct"/>
            <w:shd w:val="clear" w:color="auto" w:fill="auto"/>
          </w:tcPr>
          <w:p w:rsidR="00EE1051" w:rsidRPr="00E106BD" w:rsidRDefault="00EE1051" w:rsidP="00803B48">
            <w:pPr>
              <w:pStyle w:val="ENoteTableText"/>
            </w:pPr>
            <w:r w:rsidRPr="00E106BD">
              <w:t>am PB 30 and 58 of 2015</w:t>
            </w:r>
          </w:p>
        </w:tc>
      </w:tr>
      <w:tr w:rsidR="00EE1051" w:rsidRPr="00E106BD" w:rsidTr="000C3959">
        <w:trPr>
          <w:cantSplit/>
        </w:trPr>
        <w:tc>
          <w:tcPr>
            <w:tcW w:w="1394" w:type="pct"/>
            <w:shd w:val="clear" w:color="auto" w:fill="auto"/>
          </w:tcPr>
          <w:p w:rsidR="00EE1051" w:rsidRPr="00E106BD" w:rsidRDefault="00EE1051" w:rsidP="00803B48">
            <w:pPr>
              <w:pStyle w:val="ENoteTableText"/>
              <w:tabs>
                <w:tab w:val="left" w:leader="dot" w:pos="2268"/>
              </w:tabs>
            </w:pPr>
          </w:p>
        </w:tc>
        <w:tc>
          <w:tcPr>
            <w:tcW w:w="3606" w:type="pct"/>
            <w:shd w:val="clear" w:color="auto" w:fill="auto"/>
          </w:tcPr>
          <w:p w:rsidR="00EE1051" w:rsidRPr="00E106BD" w:rsidRDefault="00EE1051" w:rsidP="00803B48">
            <w:pPr>
              <w:pStyle w:val="ENoteTableText"/>
            </w:pPr>
            <w:r w:rsidRPr="00E106BD">
              <w:t>rs PB 33 of 2016</w:t>
            </w:r>
          </w:p>
        </w:tc>
      </w:tr>
      <w:tr w:rsidR="00EE1051" w:rsidRPr="00E106BD" w:rsidTr="000C3959">
        <w:trPr>
          <w:cantSplit/>
        </w:trPr>
        <w:tc>
          <w:tcPr>
            <w:tcW w:w="1394" w:type="pct"/>
            <w:shd w:val="clear" w:color="auto" w:fill="auto"/>
          </w:tcPr>
          <w:p w:rsidR="00EE1051" w:rsidRPr="00E106BD" w:rsidRDefault="00EE1051" w:rsidP="00803B48">
            <w:pPr>
              <w:pStyle w:val="ENoteTableText"/>
              <w:tabs>
                <w:tab w:val="left" w:leader="dot" w:pos="2268"/>
              </w:tabs>
            </w:pPr>
            <w:r w:rsidRPr="00E106BD">
              <w:t>s 18A</w:t>
            </w:r>
            <w:r w:rsidRPr="00E106BD">
              <w:tab/>
            </w:r>
          </w:p>
        </w:tc>
        <w:tc>
          <w:tcPr>
            <w:tcW w:w="3606" w:type="pct"/>
            <w:shd w:val="clear" w:color="auto" w:fill="auto"/>
          </w:tcPr>
          <w:p w:rsidR="00EE1051" w:rsidRPr="00E106BD" w:rsidRDefault="00EE1051" w:rsidP="00803B48">
            <w:pPr>
              <w:pStyle w:val="ENoteTableText"/>
            </w:pPr>
            <w:r w:rsidRPr="00E106BD">
              <w:t>ad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rPr>
                <w:b/>
              </w:rPr>
            </w:pPr>
            <w:r w:rsidRPr="00E106BD">
              <w:rPr>
                <w:b/>
              </w:rPr>
              <w:t>Division</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803B48">
            <w:pPr>
              <w:pStyle w:val="ENoteTableText"/>
              <w:tabs>
                <w:tab w:val="left" w:leader="dot" w:pos="2268"/>
              </w:tabs>
            </w:pPr>
            <w:r w:rsidRPr="00E106BD">
              <w:t>s 19</w:t>
            </w:r>
            <w:r w:rsidRPr="00E106BD">
              <w:tab/>
            </w:r>
          </w:p>
        </w:tc>
        <w:tc>
          <w:tcPr>
            <w:tcW w:w="3606" w:type="pct"/>
            <w:shd w:val="clear" w:color="auto" w:fill="auto"/>
          </w:tcPr>
          <w:p w:rsidR="00EE1051" w:rsidRPr="00E106BD" w:rsidRDefault="00EE1051" w:rsidP="00EA6FB2">
            <w:pPr>
              <w:pStyle w:val="ENoteTableText"/>
            </w:pPr>
            <w:r w:rsidRPr="00E106BD">
              <w:t xml:space="preserve">am PB 30 </w:t>
            </w:r>
            <w:r w:rsidR="00A25D37" w:rsidRPr="00E106BD">
              <w:t>of 201</w:t>
            </w:r>
            <w:r w:rsidR="00EA6FB2" w:rsidRPr="00E106BD">
              <w:t>5</w:t>
            </w:r>
            <w:r w:rsidR="00A25D37" w:rsidRPr="00E106BD">
              <w:t>;</w:t>
            </w:r>
            <w:r w:rsidR="003A41F8" w:rsidRPr="00E106BD">
              <w:t xml:space="preserve"> </w:t>
            </w:r>
            <w:r w:rsidR="00A25D37" w:rsidRPr="00E106BD">
              <w:t>PB</w:t>
            </w:r>
            <w:r w:rsidRPr="00E106BD">
              <w:t xml:space="preserve"> 58 of 2015</w:t>
            </w:r>
          </w:p>
        </w:tc>
      </w:tr>
      <w:tr w:rsidR="00A25D37" w:rsidRPr="00E106BD" w:rsidTr="000C3959">
        <w:trPr>
          <w:cantSplit/>
        </w:trPr>
        <w:tc>
          <w:tcPr>
            <w:tcW w:w="1394" w:type="pct"/>
            <w:shd w:val="clear" w:color="auto" w:fill="auto"/>
          </w:tcPr>
          <w:p w:rsidR="00A25D37" w:rsidRPr="00E106BD" w:rsidRDefault="00A25D37" w:rsidP="00803B48">
            <w:pPr>
              <w:pStyle w:val="ENoteTableText"/>
              <w:tabs>
                <w:tab w:val="left" w:leader="dot" w:pos="2268"/>
              </w:tabs>
            </w:pPr>
          </w:p>
        </w:tc>
        <w:tc>
          <w:tcPr>
            <w:tcW w:w="3606" w:type="pct"/>
            <w:shd w:val="clear" w:color="auto" w:fill="auto"/>
          </w:tcPr>
          <w:p w:rsidR="00A25D37" w:rsidRPr="00E106BD" w:rsidRDefault="00A25D37" w:rsidP="00A25D37">
            <w:pPr>
              <w:pStyle w:val="ENoteTableText"/>
            </w:pPr>
            <w:r w:rsidRPr="00E106BD">
              <w:t>rs PB 107 of 2018</w:t>
            </w:r>
          </w:p>
        </w:tc>
      </w:tr>
      <w:tr w:rsidR="005F1EDC" w:rsidRPr="00E106BD" w:rsidTr="000C3959">
        <w:trPr>
          <w:cantSplit/>
        </w:trPr>
        <w:tc>
          <w:tcPr>
            <w:tcW w:w="1394" w:type="pct"/>
            <w:shd w:val="clear" w:color="auto" w:fill="auto"/>
          </w:tcPr>
          <w:p w:rsidR="005F1EDC" w:rsidRPr="00E106BD" w:rsidRDefault="005F1EDC" w:rsidP="00803B48">
            <w:pPr>
              <w:pStyle w:val="ENoteTableText"/>
              <w:tabs>
                <w:tab w:val="left" w:leader="dot" w:pos="2268"/>
              </w:tabs>
            </w:pPr>
            <w:r w:rsidRPr="00E106BD">
              <w:t>s 20</w:t>
            </w:r>
            <w:r w:rsidRPr="00E106BD">
              <w:tab/>
            </w:r>
          </w:p>
        </w:tc>
        <w:tc>
          <w:tcPr>
            <w:tcW w:w="3606" w:type="pct"/>
            <w:shd w:val="clear" w:color="auto" w:fill="auto"/>
          </w:tcPr>
          <w:p w:rsidR="005F1EDC" w:rsidRPr="00E106BD" w:rsidRDefault="005F1EDC" w:rsidP="00A25D37">
            <w:pPr>
              <w:pStyle w:val="ENoteTableText"/>
            </w:pPr>
            <w:r w:rsidRPr="00E106BD">
              <w:t>am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rPr>
                <w:b/>
              </w:rPr>
            </w:pPr>
            <w:r w:rsidRPr="00E106BD">
              <w:rPr>
                <w:b/>
              </w:rPr>
              <w:t>Division</w:t>
            </w:r>
            <w:r w:rsidR="00E106BD">
              <w:rPr>
                <w:b/>
              </w:rPr>
              <w:t> </w:t>
            </w:r>
            <w:r w:rsidRPr="00E106BD">
              <w:rPr>
                <w:b/>
              </w:rPr>
              <w:t>3</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21</w:t>
            </w:r>
            <w:r w:rsidRPr="00E106BD">
              <w:tab/>
            </w:r>
          </w:p>
        </w:tc>
        <w:tc>
          <w:tcPr>
            <w:tcW w:w="3606" w:type="pct"/>
            <w:shd w:val="clear" w:color="auto" w:fill="auto"/>
          </w:tcPr>
          <w:p w:rsidR="00EE1051" w:rsidRPr="00E106BD" w:rsidRDefault="00EE1051" w:rsidP="004E4760">
            <w:pPr>
              <w:pStyle w:val="ENoteTableText"/>
            </w:pPr>
            <w:r w:rsidRPr="00E106BD">
              <w:t>am PB 30 of 2015</w:t>
            </w:r>
            <w:r w:rsidR="00A25D37" w:rsidRPr="00E106BD">
              <w:t>; PB 107 of 2018</w:t>
            </w:r>
            <w:r w:rsidR="005F1EDC" w:rsidRPr="00E106BD">
              <w:t>;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22</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22A</w:t>
            </w:r>
            <w:r w:rsidRPr="00E106BD">
              <w:tab/>
            </w:r>
          </w:p>
        </w:tc>
        <w:tc>
          <w:tcPr>
            <w:tcW w:w="3606" w:type="pct"/>
            <w:shd w:val="clear" w:color="auto" w:fill="auto"/>
          </w:tcPr>
          <w:p w:rsidR="00EE1051" w:rsidRPr="00E106BD" w:rsidRDefault="00EE1051" w:rsidP="004E4760">
            <w:pPr>
              <w:pStyle w:val="ENoteTableText"/>
            </w:pPr>
            <w:r w:rsidRPr="00E106BD">
              <w:t>ad PB 93 of 2014</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left" w:leader="dot" w:pos="2268"/>
              </w:tabs>
            </w:pPr>
          </w:p>
        </w:tc>
        <w:tc>
          <w:tcPr>
            <w:tcW w:w="3606" w:type="pct"/>
            <w:shd w:val="clear" w:color="auto" w:fill="auto"/>
          </w:tcPr>
          <w:p w:rsidR="005F1EDC" w:rsidRPr="00E106BD" w:rsidRDefault="005F1EDC" w:rsidP="004E4760">
            <w:pPr>
              <w:pStyle w:val="ENoteTableText"/>
            </w:pPr>
            <w:r w:rsidRPr="00E106BD">
              <w:t>am PB 26 of 2020</w:t>
            </w:r>
          </w:p>
        </w:tc>
      </w:tr>
      <w:tr w:rsidR="00EE1051" w:rsidRPr="00E106BD" w:rsidTr="000C3959">
        <w:trPr>
          <w:cantSplit/>
        </w:trPr>
        <w:tc>
          <w:tcPr>
            <w:tcW w:w="1394" w:type="pct"/>
            <w:shd w:val="clear" w:color="auto" w:fill="auto"/>
          </w:tcPr>
          <w:p w:rsidR="00EE1051" w:rsidRPr="00E106BD" w:rsidRDefault="00EE1051" w:rsidP="001E4AAC">
            <w:pPr>
              <w:pStyle w:val="ENoteTableText"/>
              <w:keepNext/>
            </w:pPr>
            <w:r w:rsidRPr="00E106BD">
              <w:rPr>
                <w:b/>
              </w:rPr>
              <w:t>Division</w:t>
            </w:r>
            <w:r w:rsidR="00E106BD">
              <w:rPr>
                <w:b/>
              </w:rPr>
              <w:t> </w:t>
            </w:r>
            <w:r w:rsidRPr="00E106BD">
              <w:rPr>
                <w:b/>
              </w:rPr>
              <w:t>4</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23</w:t>
            </w:r>
            <w:r w:rsidRPr="00E106BD">
              <w:tab/>
            </w:r>
          </w:p>
        </w:tc>
        <w:tc>
          <w:tcPr>
            <w:tcW w:w="3606" w:type="pct"/>
            <w:shd w:val="clear" w:color="auto" w:fill="auto"/>
          </w:tcPr>
          <w:p w:rsidR="00EE1051" w:rsidRPr="00E106BD" w:rsidRDefault="00EE1051" w:rsidP="004E4760">
            <w:pPr>
              <w:pStyle w:val="ENoteTableText"/>
              <w:tabs>
                <w:tab w:val="left" w:leader="dot" w:pos="2268"/>
              </w:tabs>
            </w:pPr>
            <w:r w:rsidRPr="00E106BD">
              <w:t>am PB 30 of 2015</w:t>
            </w:r>
            <w:r w:rsidR="00A25D37" w:rsidRPr="00E106BD">
              <w:t>; PB 107 of 2018</w:t>
            </w:r>
            <w:r w:rsidR="005F1EDC" w:rsidRPr="00E106BD">
              <w:t>;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23A</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ad PB 93 of 2014</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center" w:leader="dot" w:pos="2268"/>
              </w:tabs>
            </w:pPr>
          </w:p>
        </w:tc>
        <w:tc>
          <w:tcPr>
            <w:tcW w:w="3606" w:type="pct"/>
            <w:shd w:val="clear" w:color="auto" w:fill="auto"/>
          </w:tcPr>
          <w:p w:rsidR="005F1EDC" w:rsidRPr="00E106BD" w:rsidRDefault="005F1EDC" w:rsidP="004E4760">
            <w:pPr>
              <w:pStyle w:val="ENoteTableText"/>
              <w:tabs>
                <w:tab w:val="center" w:leader="dot" w:pos="2268"/>
              </w:tabs>
            </w:pPr>
            <w:r w:rsidRPr="00E106BD">
              <w:t>am PB 26 of 2020</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r w:rsidRPr="00E106BD">
              <w:t>s 24</w:t>
            </w:r>
            <w:r w:rsidRPr="00E106BD">
              <w:tab/>
            </w:r>
          </w:p>
        </w:tc>
        <w:tc>
          <w:tcPr>
            <w:tcW w:w="3606" w:type="pct"/>
            <w:shd w:val="clear" w:color="auto" w:fill="auto"/>
          </w:tcPr>
          <w:p w:rsidR="00EE1051" w:rsidRPr="00E106BD" w:rsidRDefault="00EE1051" w:rsidP="00CC48D5">
            <w:pPr>
              <w:pStyle w:val="ENoteTableText"/>
              <w:keepNext/>
            </w:pPr>
            <w:r w:rsidRPr="00E106BD">
              <w:t>am PB 2, 28, 46 and 99 of 2011; PB 5, 20 and 31 of 2012</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p>
        </w:tc>
        <w:tc>
          <w:tcPr>
            <w:tcW w:w="3606" w:type="pct"/>
            <w:shd w:val="clear" w:color="auto" w:fill="auto"/>
          </w:tcPr>
          <w:p w:rsidR="00EE1051" w:rsidRPr="00E106BD" w:rsidRDefault="00EE1051" w:rsidP="00CC48D5">
            <w:pPr>
              <w:pStyle w:val="ENoteTableText"/>
              <w:keepNext/>
            </w:pPr>
            <w:r w:rsidRPr="00E106BD">
              <w:t>rs PB 63 of 2013</w:t>
            </w:r>
          </w:p>
        </w:tc>
      </w:tr>
      <w:tr w:rsidR="00116B9A" w:rsidRPr="00E106BD" w:rsidTr="000C3959">
        <w:trPr>
          <w:cantSplit/>
        </w:trPr>
        <w:tc>
          <w:tcPr>
            <w:tcW w:w="1394" w:type="pct"/>
            <w:shd w:val="clear" w:color="auto" w:fill="auto"/>
          </w:tcPr>
          <w:p w:rsidR="00116B9A" w:rsidRPr="00E106BD" w:rsidRDefault="00116B9A" w:rsidP="00C0284F">
            <w:pPr>
              <w:pStyle w:val="ENoteTableText"/>
              <w:tabs>
                <w:tab w:val="center" w:leader="dot" w:pos="2268"/>
              </w:tabs>
            </w:pPr>
          </w:p>
        </w:tc>
        <w:tc>
          <w:tcPr>
            <w:tcW w:w="3606" w:type="pct"/>
            <w:shd w:val="clear" w:color="auto" w:fill="auto"/>
          </w:tcPr>
          <w:p w:rsidR="00116B9A" w:rsidRPr="00E106BD" w:rsidRDefault="00116B9A" w:rsidP="00027FE6">
            <w:pPr>
              <w:pStyle w:val="ENoteTableText"/>
              <w:keepNext/>
            </w:pPr>
            <w:r w:rsidRPr="00E106BD">
              <w:t>am PB 113 of 2016</w:t>
            </w:r>
            <w:r w:rsidR="00C0284F" w:rsidRPr="00E106BD">
              <w:t>; PB 5 of 2017</w:t>
            </w:r>
            <w:r w:rsidR="00B93540" w:rsidRPr="00E106BD">
              <w:t>; PB 66 of 2017</w:t>
            </w:r>
          </w:p>
        </w:tc>
      </w:tr>
      <w:tr w:rsidR="003A3BBD" w:rsidRPr="00E106BD" w:rsidTr="000C3959">
        <w:trPr>
          <w:cantSplit/>
        </w:trPr>
        <w:tc>
          <w:tcPr>
            <w:tcW w:w="1394" w:type="pct"/>
            <w:shd w:val="clear" w:color="auto" w:fill="auto"/>
          </w:tcPr>
          <w:p w:rsidR="003A3BBD" w:rsidRPr="00E106BD" w:rsidRDefault="003A3BBD" w:rsidP="00C0284F">
            <w:pPr>
              <w:pStyle w:val="ENoteTableText"/>
              <w:tabs>
                <w:tab w:val="center" w:leader="dot" w:pos="2268"/>
              </w:tabs>
            </w:pPr>
          </w:p>
        </w:tc>
        <w:tc>
          <w:tcPr>
            <w:tcW w:w="3606" w:type="pct"/>
            <w:shd w:val="clear" w:color="auto" w:fill="auto"/>
          </w:tcPr>
          <w:p w:rsidR="003A3BBD" w:rsidRPr="00E106BD" w:rsidRDefault="003A3BBD" w:rsidP="00CC48D5">
            <w:pPr>
              <w:pStyle w:val="ENoteTableText"/>
              <w:keepNext/>
            </w:pPr>
            <w:r w:rsidRPr="00E106BD">
              <w:t>ed C74</w:t>
            </w:r>
          </w:p>
        </w:tc>
      </w:tr>
      <w:tr w:rsidR="00142C81" w:rsidRPr="00E106BD" w:rsidTr="000C3959">
        <w:trPr>
          <w:cantSplit/>
        </w:trPr>
        <w:tc>
          <w:tcPr>
            <w:tcW w:w="1394" w:type="pct"/>
            <w:shd w:val="clear" w:color="auto" w:fill="auto"/>
          </w:tcPr>
          <w:p w:rsidR="00142C81" w:rsidRPr="00E106BD" w:rsidRDefault="00142C81" w:rsidP="00C0284F">
            <w:pPr>
              <w:pStyle w:val="ENoteTableText"/>
              <w:tabs>
                <w:tab w:val="center" w:leader="dot" w:pos="2268"/>
              </w:tabs>
            </w:pPr>
          </w:p>
        </w:tc>
        <w:tc>
          <w:tcPr>
            <w:tcW w:w="3606" w:type="pct"/>
            <w:shd w:val="clear" w:color="auto" w:fill="auto"/>
          </w:tcPr>
          <w:p w:rsidR="00142C81" w:rsidRPr="00E106BD" w:rsidRDefault="00142C81" w:rsidP="00CC48D5">
            <w:pPr>
              <w:pStyle w:val="ENoteTableText"/>
              <w:keepNext/>
            </w:pPr>
            <w:r w:rsidRPr="00E106BD">
              <w:t>am PB 75 of 2017</w:t>
            </w:r>
            <w:r w:rsidR="00141A4D" w:rsidRPr="00E106BD">
              <w:t>; PB 88 of 2017</w:t>
            </w:r>
            <w:r w:rsidR="00067639" w:rsidRPr="00E106BD">
              <w:t>; PB 40 of 2018</w:t>
            </w:r>
            <w:r w:rsidR="005F1EDC" w:rsidRPr="00E106BD">
              <w:t>; PB 26 of 2020</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r w:rsidRPr="00E106BD">
              <w:t>s 25</w:t>
            </w:r>
            <w:r w:rsidRPr="00E106BD">
              <w:tab/>
            </w:r>
          </w:p>
        </w:tc>
        <w:tc>
          <w:tcPr>
            <w:tcW w:w="3606" w:type="pct"/>
            <w:shd w:val="clear" w:color="auto" w:fill="auto"/>
          </w:tcPr>
          <w:p w:rsidR="00EE1051" w:rsidRPr="00E106BD" w:rsidRDefault="00EE1051" w:rsidP="00CC48D5">
            <w:pPr>
              <w:pStyle w:val="ENoteTableText"/>
              <w:keepNext/>
            </w:pPr>
            <w:r w:rsidRPr="00E106BD">
              <w:t>am PB 2, 28, 46 and 99 of 2011; PB 20 and 31 of 2012</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rs PB 63 of 2013</w:t>
            </w:r>
          </w:p>
        </w:tc>
      </w:tr>
      <w:tr w:rsidR="00116B9A" w:rsidRPr="00E106BD" w:rsidTr="000C3959">
        <w:trPr>
          <w:cantSplit/>
        </w:trPr>
        <w:tc>
          <w:tcPr>
            <w:tcW w:w="1394" w:type="pct"/>
            <w:shd w:val="clear" w:color="auto" w:fill="auto"/>
          </w:tcPr>
          <w:p w:rsidR="00116B9A" w:rsidRPr="00E106BD" w:rsidRDefault="00116B9A" w:rsidP="00C0284F">
            <w:pPr>
              <w:pStyle w:val="ENoteTableText"/>
              <w:tabs>
                <w:tab w:val="center" w:leader="dot" w:pos="2268"/>
              </w:tabs>
            </w:pPr>
          </w:p>
        </w:tc>
        <w:tc>
          <w:tcPr>
            <w:tcW w:w="3606" w:type="pct"/>
            <w:shd w:val="clear" w:color="auto" w:fill="auto"/>
          </w:tcPr>
          <w:p w:rsidR="00116B9A" w:rsidRPr="00E106BD" w:rsidRDefault="00116B9A" w:rsidP="00142C81">
            <w:pPr>
              <w:pStyle w:val="ENoteTableText"/>
            </w:pPr>
            <w:r w:rsidRPr="00E106BD">
              <w:t>am PB 113 of 2016</w:t>
            </w:r>
            <w:r w:rsidR="00C0284F" w:rsidRPr="00E106BD">
              <w:t>; PB 5 of 2017</w:t>
            </w:r>
            <w:r w:rsidR="00B93540" w:rsidRPr="00E106BD">
              <w:t>; PB 66 of 2017</w:t>
            </w:r>
          </w:p>
        </w:tc>
      </w:tr>
      <w:tr w:rsidR="00C90AC0" w:rsidRPr="00E106BD" w:rsidTr="000C3959">
        <w:trPr>
          <w:cantSplit/>
        </w:trPr>
        <w:tc>
          <w:tcPr>
            <w:tcW w:w="1394" w:type="pct"/>
            <w:shd w:val="clear" w:color="auto" w:fill="auto"/>
          </w:tcPr>
          <w:p w:rsidR="00C90AC0" w:rsidRPr="00E106BD" w:rsidRDefault="00C90AC0" w:rsidP="00C0284F">
            <w:pPr>
              <w:pStyle w:val="ENoteTableText"/>
              <w:tabs>
                <w:tab w:val="center" w:leader="dot" w:pos="2268"/>
              </w:tabs>
            </w:pPr>
          </w:p>
        </w:tc>
        <w:tc>
          <w:tcPr>
            <w:tcW w:w="3606" w:type="pct"/>
            <w:shd w:val="clear" w:color="auto" w:fill="auto"/>
          </w:tcPr>
          <w:p w:rsidR="00C90AC0" w:rsidRPr="00E106BD" w:rsidRDefault="00C90AC0" w:rsidP="004E4760">
            <w:pPr>
              <w:pStyle w:val="ENoteTableText"/>
            </w:pPr>
            <w:r w:rsidRPr="00E106BD">
              <w:t>ed C74</w:t>
            </w:r>
          </w:p>
        </w:tc>
      </w:tr>
      <w:tr w:rsidR="00142C81" w:rsidRPr="00E106BD" w:rsidTr="000C3959">
        <w:trPr>
          <w:cantSplit/>
        </w:trPr>
        <w:tc>
          <w:tcPr>
            <w:tcW w:w="1394" w:type="pct"/>
            <w:shd w:val="clear" w:color="auto" w:fill="auto"/>
          </w:tcPr>
          <w:p w:rsidR="00142C81" w:rsidRPr="00E106BD" w:rsidRDefault="00142C81" w:rsidP="00C0284F">
            <w:pPr>
              <w:pStyle w:val="ENoteTableText"/>
              <w:tabs>
                <w:tab w:val="center" w:leader="dot" w:pos="2268"/>
              </w:tabs>
            </w:pPr>
          </w:p>
        </w:tc>
        <w:tc>
          <w:tcPr>
            <w:tcW w:w="3606" w:type="pct"/>
            <w:shd w:val="clear" w:color="auto" w:fill="auto"/>
          </w:tcPr>
          <w:p w:rsidR="00142C81" w:rsidRPr="00E106BD" w:rsidRDefault="00142C81" w:rsidP="00142C81">
            <w:pPr>
              <w:pStyle w:val="ENoteTableText"/>
            </w:pPr>
            <w:r w:rsidRPr="00E106BD">
              <w:t>am PB 75 of 2017</w:t>
            </w:r>
            <w:r w:rsidR="00141A4D" w:rsidRPr="00E106BD">
              <w:t>; PB 88 of 2017</w:t>
            </w:r>
            <w:r w:rsidR="00027FE6" w:rsidRPr="00E106BD">
              <w:t>; PB 40 of 2018</w:t>
            </w:r>
          </w:p>
        </w:tc>
      </w:tr>
      <w:tr w:rsidR="00913F82" w:rsidRPr="00E106BD" w:rsidTr="000C3959">
        <w:trPr>
          <w:cantSplit/>
        </w:trPr>
        <w:tc>
          <w:tcPr>
            <w:tcW w:w="1394" w:type="pct"/>
            <w:shd w:val="clear" w:color="auto" w:fill="auto"/>
          </w:tcPr>
          <w:p w:rsidR="00913F82" w:rsidRPr="00E106BD" w:rsidRDefault="00913F82" w:rsidP="00C0284F">
            <w:pPr>
              <w:pStyle w:val="ENoteTableText"/>
              <w:tabs>
                <w:tab w:val="center" w:leader="dot" w:pos="2268"/>
              </w:tabs>
            </w:pPr>
          </w:p>
        </w:tc>
        <w:tc>
          <w:tcPr>
            <w:tcW w:w="3606" w:type="pct"/>
            <w:shd w:val="clear" w:color="auto" w:fill="auto"/>
          </w:tcPr>
          <w:p w:rsidR="00913F82" w:rsidRPr="00E106BD" w:rsidRDefault="00913F82" w:rsidP="00142C81">
            <w:pPr>
              <w:pStyle w:val="ENoteTableText"/>
            </w:pPr>
            <w:r w:rsidRPr="00E106BD">
              <w:t>ed C82</w:t>
            </w:r>
          </w:p>
        </w:tc>
      </w:tr>
      <w:tr w:rsidR="005F1EDC" w:rsidRPr="00E106BD" w:rsidTr="000C3959">
        <w:trPr>
          <w:cantSplit/>
        </w:trPr>
        <w:tc>
          <w:tcPr>
            <w:tcW w:w="1394" w:type="pct"/>
            <w:shd w:val="clear" w:color="auto" w:fill="auto"/>
          </w:tcPr>
          <w:p w:rsidR="005F1EDC" w:rsidRPr="00E106BD" w:rsidRDefault="005F1EDC" w:rsidP="00C0284F">
            <w:pPr>
              <w:pStyle w:val="ENoteTableText"/>
              <w:tabs>
                <w:tab w:val="center" w:leader="dot" w:pos="2268"/>
              </w:tabs>
            </w:pPr>
          </w:p>
        </w:tc>
        <w:tc>
          <w:tcPr>
            <w:tcW w:w="3606" w:type="pct"/>
            <w:shd w:val="clear" w:color="auto" w:fill="auto"/>
          </w:tcPr>
          <w:p w:rsidR="005F1EDC" w:rsidRPr="00E106BD" w:rsidRDefault="005F1EDC" w:rsidP="00142C81">
            <w:pPr>
              <w:pStyle w:val="ENoteTableText"/>
            </w:pPr>
            <w:r w:rsidRPr="00E106BD">
              <w:t>am PB 26 of 2020</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r w:rsidRPr="00E106BD">
              <w:t>s 26</w:t>
            </w:r>
            <w:r w:rsidRPr="00E106BD">
              <w:tab/>
            </w:r>
          </w:p>
        </w:tc>
        <w:tc>
          <w:tcPr>
            <w:tcW w:w="3606" w:type="pct"/>
            <w:shd w:val="clear" w:color="auto" w:fill="auto"/>
          </w:tcPr>
          <w:p w:rsidR="00EE1051" w:rsidRPr="00E106BD" w:rsidRDefault="00EE1051" w:rsidP="004E4760">
            <w:pPr>
              <w:pStyle w:val="ENoteTableText"/>
            </w:pPr>
            <w:r w:rsidRPr="00E106BD">
              <w:t>rs PB 30 of 2015</w:t>
            </w:r>
            <w:r w:rsidR="00A25D37" w:rsidRPr="00E106BD">
              <w:t>; PB 107 of 2018</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r w:rsidRPr="00E106BD">
              <w:t>Part</w:t>
            </w:r>
            <w:r w:rsidR="00E106BD">
              <w:t> </w:t>
            </w:r>
            <w:r w:rsidRPr="00E106BD">
              <w:t>3</w:t>
            </w:r>
            <w:r w:rsidRPr="00E106BD">
              <w:tab/>
            </w:r>
          </w:p>
        </w:tc>
        <w:tc>
          <w:tcPr>
            <w:tcW w:w="3606" w:type="pct"/>
            <w:shd w:val="clear" w:color="auto" w:fill="auto"/>
          </w:tcPr>
          <w:p w:rsidR="00EE1051" w:rsidRPr="00E106BD" w:rsidRDefault="00EE1051" w:rsidP="007849DD">
            <w:pPr>
              <w:pStyle w:val="ENoteTableText"/>
              <w:keepNext/>
              <w:keepLines/>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27</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rPr>
                <w:b/>
              </w:rPr>
            </w:pPr>
            <w:r w:rsidRPr="00E106BD">
              <w:rPr>
                <w:b/>
              </w:rPr>
              <w:t>Part</w:t>
            </w:r>
            <w:r w:rsidR="00E106BD">
              <w:rPr>
                <w:b/>
              </w:rPr>
              <w:t> </w:t>
            </w:r>
            <w:r w:rsidRPr="00E106BD">
              <w:rPr>
                <w:b/>
              </w:rPr>
              <w:t>4</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592948">
            <w:pPr>
              <w:pStyle w:val="ENoteTableText"/>
              <w:tabs>
                <w:tab w:val="center" w:leader="dot" w:pos="2268"/>
              </w:tabs>
            </w:pPr>
            <w:r w:rsidRPr="00E106BD">
              <w:t>Division</w:t>
            </w:r>
            <w:r w:rsidR="00E106BD">
              <w:t> </w:t>
            </w:r>
            <w:r w:rsidRPr="00E106BD">
              <w:t>1</w:t>
            </w:r>
            <w:r w:rsidR="00592948"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28</w:t>
            </w:r>
            <w:r w:rsidRPr="00E106BD">
              <w:tab/>
            </w:r>
          </w:p>
        </w:tc>
        <w:tc>
          <w:tcPr>
            <w:tcW w:w="3606" w:type="pct"/>
            <w:shd w:val="clear" w:color="auto" w:fill="auto"/>
          </w:tcPr>
          <w:p w:rsidR="00EE1051" w:rsidRPr="00E106BD" w:rsidRDefault="00EE1051" w:rsidP="004E4760">
            <w:pPr>
              <w:pStyle w:val="ENoteTableText"/>
            </w:pPr>
            <w:r w:rsidRPr="00E106BD">
              <w:t>am PB 62 of 2011; PB 76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29</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rPr>
                <w:b/>
              </w:rPr>
            </w:pPr>
            <w:r w:rsidRPr="00E106BD">
              <w:rPr>
                <w:b/>
              </w:rPr>
              <w:t>Subdivision</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30</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am PB 30 of 2015</w:t>
            </w:r>
            <w:r w:rsidR="007C0666" w:rsidRPr="00E106BD">
              <w:t>; PB 87 of 2019</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Subdivision</w:t>
            </w:r>
            <w:r w:rsidR="00E106BD">
              <w:t> </w:t>
            </w:r>
            <w:r w:rsidRPr="00E106BD">
              <w:t>2</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32</w:t>
            </w:r>
            <w:r w:rsidRPr="00E106BD">
              <w:tab/>
            </w:r>
          </w:p>
        </w:tc>
        <w:tc>
          <w:tcPr>
            <w:tcW w:w="3606" w:type="pct"/>
            <w:shd w:val="clear" w:color="auto" w:fill="auto"/>
          </w:tcPr>
          <w:p w:rsidR="00EE1051" w:rsidRPr="00E106BD" w:rsidRDefault="00EE1051" w:rsidP="004E4760">
            <w:pPr>
              <w:pStyle w:val="ENoteTableText"/>
              <w:tabs>
                <w:tab w:val="center" w:leader="dot" w:pos="2268"/>
              </w:tabs>
              <w:rPr>
                <w:b/>
              </w:rPr>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33</w:t>
            </w:r>
            <w:r w:rsidRPr="00E106BD">
              <w:tab/>
            </w:r>
          </w:p>
        </w:tc>
        <w:tc>
          <w:tcPr>
            <w:tcW w:w="3606" w:type="pct"/>
            <w:shd w:val="clear" w:color="auto" w:fill="auto"/>
          </w:tcPr>
          <w:p w:rsidR="00EE1051" w:rsidRPr="00E106BD" w:rsidRDefault="00EE1051" w:rsidP="004E4760">
            <w:pPr>
              <w:pStyle w:val="ENoteTableText"/>
            </w:pPr>
            <w:r w:rsidRPr="00E106BD">
              <w:t>am PB 39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34</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FF354B">
            <w:pPr>
              <w:pStyle w:val="ENoteTableText"/>
              <w:tabs>
                <w:tab w:val="center" w:leader="dot" w:pos="2268"/>
              </w:tabs>
              <w:rPr>
                <w:b/>
              </w:rPr>
            </w:pPr>
            <w:r w:rsidRPr="00E106BD">
              <w:rPr>
                <w:b/>
              </w:rPr>
              <w:t>Division</w:t>
            </w:r>
            <w:r w:rsidR="00E106BD">
              <w:rPr>
                <w:b/>
              </w:rPr>
              <w:t> </w:t>
            </w:r>
            <w:r w:rsidRPr="00E106BD">
              <w:rPr>
                <w:b/>
              </w:rPr>
              <w:t>3</w:t>
            </w:r>
          </w:p>
        </w:tc>
        <w:tc>
          <w:tcPr>
            <w:tcW w:w="3606" w:type="pct"/>
            <w:shd w:val="clear" w:color="auto" w:fill="auto"/>
          </w:tcPr>
          <w:p w:rsidR="00EE1051" w:rsidRPr="00E106BD" w:rsidRDefault="00EE1051" w:rsidP="00FF354B">
            <w:pPr>
              <w:pStyle w:val="ENoteTableText"/>
              <w:tabs>
                <w:tab w:val="center" w:leader="dot" w:pos="2268"/>
              </w:tabs>
            </w:pPr>
          </w:p>
        </w:tc>
      </w:tr>
      <w:tr w:rsidR="00EE1051" w:rsidRPr="00E106BD" w:rsidTr="000C3959">
        <w:trPr>
          <w:cantSplit/>
        </w:trPr>
        <w:tc>
          <w:tcPr>
            <w:tcW w:w="1394" w:type="pct"/>
            <w:shd w:val="clear" w:color="auto" w:fill="auto"/>
          </w:tcPr>
          <w:p w:rsidR="00EE1051" w:rsidRPr="00E106BD" w:rsidRDefault="00EE1051" w:rsidP="00FF354B">
            <w:pPr>
              <w:pStyle w:val="ENoteTableText"/>
              <w:tabs>
                <w:tab w:val="center" w:leader="dot" w:pos="2268"/>
              </w:tabs>
            </w:pPr>
            <w:r w:rsidRPr="00E106BD">
              <w:t>Division</w:t>
            </w:r>
            <w:r w:rsidR="00E106BD">
              <w:t> </w:t>
            </w:r>
            <w:r w:rsidRPr="00E106BD">
              <w:t>3 heading</w:t>
            </w:r>
            <w:r w:rsidRPr="00E106BD">
              <w:tab/>
            </w:r>
          </w:p>
        </w:tc>
        <w:tc>
          <w:tcPr>
            <w:tcW w:w="3606" w:type="pct"/>
            <w:shd w:val="clear" w:color="auto" w:fill="auto"/>
          </w:tcPr>
          <w:p w:rsidR="00EE1051" w:rsidRPr="00E106BD" w:rsidRDefault="00EE1051" w:rsidP="00133E98">
            <w:pPr>
              <w:pStyle w:val="ENoteTableText"/>
              <w:tabs>
                <w:tab w:val="center" w:leader="dot" w:pos="2268"/>
              </w:tabs>
            </w:pPr>
            <w:r w:rsidRPr="00E106BD">
              <w:t>am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36</w:t>
            </w:r>
            <w:r w:rsidRPr="00E106BD">
              <w:tab/>
            </w:r>
          </w:p>
        </w:tc>
        <w:tc>
          <w:tcPr>
            <w:tcW w:w="3606" w:type="pct"/>
            <w:shd w:val="clear" w:color="auto" w:fill="auto"/>
          </w:tcPr>
          <w:p w:rsidR="00EE1051" w:rsidRPr="00E106BD" w:rsidRDefault="00EE1051" w:rsidP="004E4760">
            <w:pPr>
              <w:pStyle w:val="ENoteTableText"/>
            </w:pPr>
            <w:r w:rsidRPr="00E106BD">
              <w:t>am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Part</w:t>
            </w:r>
            <w:r w:rsidR="00E106BD">
              <w:rPr>
                <w:b/>
              </w:rPr>
              <w:t> </w:t>
            </w:r>
            <w:r w:rsidRPr="00E106BD">
              <w:rPr>
                <w:b/>
              </w:rPr>
              <w:t>5</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37</w:t>
            </w:r>
            <w:r w:rsidRPr="00E106BD">
              <w:tab/>
            </w:r>
          </w:p>
        </w:tc>
        <w:tc>
          <w:tcPr>
            <w:tcW w:w="3606" w:type="pct"/>
            <w:shd w:val="clear" w:color="auto" w:fill="auto"/>
          </w:tcPr>
          <w:p w:rsidR="00EE1051" w:rsidRPr="00E106BD" w:rsidRDefault="00EE1051" w:rsidP="004E4760">
            <w:pPr>
              <w:pStyle w:val="ENoteTableText"/>
            </w:pPr>
            <w:r w:rsidRPr="00E106BD">
              <w:t>am PB 76 and 96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38</w:t>
            </w:r>
            <w:r w:rsidRPr="00E106BD">
              <w:tab/>
            </w:r>
          </w:p>
        </w:tc>
        <w:tc>
          <w:tcPr>
            <w:tcW w:w="3606" w:type="pct"/>
            <w:shd w:val="clear" w:color="auto" w:fill="auto"/>
          </w:tcPr>
          <w:p w:rsidR="00EE1051" w:rsidRPr="00E106BD" w:rsidRDefault="00EE1051" w:rsidP="004E4760">
            <w:pPr>
              <w:pStyle w:val="ENoteTableText"/>
            </w:pPr>
            <w:r w:rsidRPr="00E106BD">
              <w:t>rs PB 76 of 2012</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FD632F">
            <w:pPr>
              <w:pStyle w:val="ENoteTableText"/>
              <w:tabs>
                <w:tab w:val="center" w:leader="dot" w:pos="2268"/>
              </w:tabs>
            </w:pPr>
            <w:r w:rsidRPr="00E106BD">
              <w:t>Division</w:t>
            </w:r>
            <w:r w:rsidR="00E106BD">
              <w:t> </w:t>
            </w:r>
            <w:r w:rsidRPr="00E106BD">
              <w:t>2 heading</w:t>
            </w:r>
            <w:r w:rsidRPr="00E106BD">
              <w:tab/>
            </w:r>
          </w:p>
        </w:tc>
        <w:tc>
          <w:tcPr>
            <w:tcW w:w="3606" w:type="pct"/>
            <w:shd w:val="clear" w:color="auto" w:fill="auto"/>
          </w:tcPr>
          <w:p w:rsidR="00EE1051" w:rsidRPr="00E106BD" w:rsidRDefault="00EE1051" w:rsidP="00FD632F">
            <w:pPr>
              <w:pStyle w:val="ENoteTableText"/>
              <w:tabs>
                <w:tab w:val="center" w:leader="dot" w:pos="2268"/>
              </w:tabs>
            </w:pPr>
            <w:r w:rsidRPr="00E106BD">
              <w:t>am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39</w:t>
            </w:r>
            <w:r w:rsidRPr="00E106BD">
              <w:tab/>
            </w:r>
          </w:p>
        </w:tc>
        <w:tc>
          <w:tcPr>
            <w:tcW w:w="3606" w:type="pct"/>
            <w:shd w:val="clear" w:color="auto" w:fill="auto"/>
          </w:tcPr>
          <w:p w:rsidR="00EE1051" w:rsidRPr="00E106BD" w:rsidRDefault="00EE1051" w:rsidP="004E4760">
            <w:pPr>
              <w:pStyle w:val="ENoteTableText"/>
            </w:pPr>
            <w:r w:rsidRPr="00E106BD">
              <w:t>am PB 122 of 2010; PB 76 of 2012; PB 58 of 2015</w:t>
            </w:r>
            <w:r w:rsidR="001E38FA" w:rsidRPr="00E106BD">
              <w:t>; PB 104 of 2017</w:t>
            </w:r>
            <w:r w:rsidR="002E57A7" w:rsidRPr="00E106BD">
              <w:t>; PB 4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40</w:t>
            </w:r>
            <w:r w:rsidRPr="00E106BD">
              <w:tab/>
            </w:r>
          </w:p>
        </w:tc>
        <w:tc>
          <w:tcPr>
            <w:tcW w:w="3606" w:type="pct"/>
            <w:shd w:val="clear" w:color="auto" w:fill="auto"/>
          </w:tcPr>
          <w:p w:rsidR="00EE1051" w:rsidRPr="00E106BD" w:rsidRDefault="00EE1051" w:rsidP="00FD632F">
            <w:pPr>
              <w:pStyle w:val="ENoteTableText"/>
            </w:pPr>
            <w:r w:rsidRPr="00E106BD">
              <w:t>am PB 76 and 96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41</w:t>
            </w:r>
            <w:r w:rsidRPr="00E106BD">
              <w:tab/>
            </w:r>
          </w:p>
        </w:tc>
        <w:tc>
          <w:tcPr>
            <w:tcW w:w="3606" w:type="pct"/>
            <w:shd w:val="clear" w:color="auto" w:fill="auto"/>
          </w:tcPr>
          <w:p w:rsidR="00EE1051" w:rsidRPr="00E106BD" w:rsidRDefault="00EE1051" w:rsidP="004E4760">
            <w:pPr>
              <w:pStyle w:val="ENoteTableText"/>
            </w:pPr>
            <w:r w:rsidRPr="00E106BD">
              <w:t>rs PB 76 of 2012</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center" w:leader="dot" w:pos="2268"/>
              </w:tabs>
            </w:pPr>
            <w:r w:rsidRPr="00E106BD">
              <w:t>s 42</w:t>
            </w:r>
            <w:r w:rsidRPr="00E106BD">
              <w:tab/>
            </w:r>
          </w:p>
        </w:tc>
        <w:tc>
          <w:tcPr>
            <w:tcW w:w="3606" w:type="pct"/>
            <w:shd w:val="clear" w:color="auto" w:fill="auto"/>
          </w:tcPr>
          <w:p w:rsidR="005F1EDC" w:rsidRPr="00E106BD" w:rsidRDefault="005F1EDC" w:rsidP="004E4760">
            <w:pPr>
              <w:pStyle w:val="ENoteTableText"/>
            </w:pPr>
            <w:r w:rsidRPr="00E106BD">
              <w:t>rs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3</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43</w:t>
            </w:r>
            <w:r w:rsidRPr="00E106BD">
              <w:tab/>
            </w:r>
          </w:p>
        </w:tc>
        <w:tc>
          <w:tcPr>
            <w:tcW w:w="3606" w:type="pct"/>
            <w:shd w:val="clear" w:color="auto" w:fill="auto"/>
          </w:tcPr>
          <w:p w:rsidR="00EE1051" w:rsidRPr="00E106BD" w:rsidRDefault="00EE1051" w:rsidP="004E4760">
            <w:pPr>
              <w:pStyle w:val="ENoteTableText"/>
            </w:pPr>
            <w:r w:rsidRPr="00E106BD">
              <w:t xml:space="preserve">am PB 122 of 2010 </w:t>
            </w:r>
          </w:p>
        </w:tc>
      </w:tr>
      <w:tr w:rsidR="00EE1051" w:rsidRPr="00E106BD" w:rsidTr="000C3959">
        <w:trPr>
          <w:cantSplit/>
        </w:trPr>
        <w:tc>
          <w:tcPr>
            <w:tcW w:w="1394" w:type="pct"/>
            <w:shd w:val="clear" w:color="auto" w:fill="auto"/>
          </w:tcPr>
          <w:p w:rsidR="00EE1051" w:rsidRPr="00E106BD" w:rsidRDefault="00EE1051" w:rsidP="000C3959">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76 of 2012</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Part</w:t>
            </w:r>
            <w:r w:rsidR="00E106BD">
              <w:rPr>
                <w:b/>
              </w:rPr>
              <w:t> </w:t>
            </w:r>
            <w:r w:rsidRPr="00E106BD">
              <w:rPr>
                <w:b/>
              </w:rPr>
              <w:t>6</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45</w:t>
            </w:r>
            <w:r w:rsidRPr="00E106BD">
              <w:tab/>
            </w:r>
          </w:p>
        </w:tc>
        <w:tc>
          <w:tcPr>
            <w:tcW w:w="3606" w:type="pct"/>
            <w:shd w:val="clear" w:color="auto" w:fill="auto"/>
          </w:tcPr>
          <w:p w:rsidR="00EE1051" w:rsidRPr="00E106BD" w:rsidRDefault="00EE1051" w:rsidP="004E4760">
            <w:pPr>
              <w:pStyle w:val="ENoteTableText"/>
            </w:pPr>
            <w:r w:rsidRPr="00E106BD">
              <w:t>am PB 122 of 2010; PB 5 and 106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46</w:t>
            </w:r>
            <w:r w:rsidRPr="00E106BD">
              <w:tab/>
            </w:r>
          </w:p>
        </w:tc>
        <w:tc>
          <w:tcPr>
            <w:tcW w:w="3606" w:type="pct"/>
            <w:shd w:val="clear" w:color="auto" w:fill="auto"/>
          </w:tcPr>
          <w:p w:rsidR="00EE1051" w:rsidRPr="00E106BD" w:rsidRDefault="00EE1051" w:rsidP="004E4760">
            <w:pPr>
              <w:pStyle w:val="ENoteTableText"/>
            </w:pPr>
            <w:r w:rsidRPr="00E106BD">
              <w:t xml:space="preserve">am PB 106 of 2012; PB 30 of 2015 </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47</w:t>
            </w:r>
            <w:r w:rsidRPr="00E106BD">
              <w:tab/>
            </w:r>
          </w:p>
        </w:tc>
        <w:tc>
          <w:tcPr>
            <w:tcW w:w="3606" w:type="pct"/>
            <w:shd w:val="clear" w:color="auto" w:fill="auto"/>
          </w:tcPr>
          <w:p w:rsidR="00EE1051" w:rsidRPr="00E106BD" w:rsidRDefault="00EE1051" w:rsidP="00FD632F">
            <w:pPr>
              <w:pStyle w:val="ENoteTableText"/>
            </w:pPr>
            <w:r w:rsidRPr="00E106BD">
              <w:t>am PB 106 of 2012; PB 30 and 58 of 2015</w:t>
            </w:r>
          </w:p>
        </w:tc>
      </w:tr>
      <w:tr w:rsidR="00EE1051" w:rsidRPr="00E106BD" w:rsidTr="000C3959">
        <w:trPr>
          <w:cantSplit/>
        </w:trPr>
        <w:tc>
          <w:tcPr>
            <w:tcW w:w="1394" w:type="pct"/>
            <w:shd w:val="clear" w:color="auto" w:fill="auto"/>
          </w:tcPr>
          <w:p w:rsidR="00EE1051" w:rsidRPr="00E106BD" w:rsidRDefault="00EE1051" w:rsidP="00CC48D5">
            <w:pPr>
              <w:pStyle w:val="ENoteTableText"/>
              <w:keepNext/>
              <w:tabs>
                <w:tab w:val="center" w:leader="dot" w:pos="2268"/>
              </w:tabs>
            </w:pPr>
            <w:r w:rsidRPr="00E106BD">
              <w:t>s 48</w:t>
            </w:r>
            <w:r w:rsidRPr="00E106BD">
              <w:tab/>
            </w:r>
          </w:p>
        </w:tc>
        <w:tc>
          <w:tcPr>
            <w:tcW w:w="3606" w:type="pct"/>
            <w:shd w:val="clear" w:color="auto" w:fill="auto"/>
          </w:tcPr>
          <w:p w:rsidR="00EE1051" w:rsidRPr="00E106BD" w:rsidRDefault="00EE1051" w:rsidP="00CC48D5">
            <w:pPr>
              <w:pStyle w:val="ENoteTableText"/>
              <w:keepNext/>
            </w:pPr>
            <w:r w:rsidRPr="00E106BD">
              <w:t>am PB 76 of 2012</w:t>
            </w:r>
          </w:p>
        </w:tc>
      </w:tr>
      <w:tr w:rsidR="00EE1051" w:rsidRPr="00E106BD" w:rsidTr="000C3959">
        <w:trPr>
          <w:cantSplit/>
        </w:trPr>
        <w:tc>
          <w:tcPr>
            <w:tcW w:w="1394" w:type="pct"/>
            <w:shd w:val="clear" w:color="auto" w:fill="auto"/>
          </w:tcPr>
          <w:p w:rsidR="00EE1051" w:rsidRPr="00E106BD" w:rsidRDefault="00EE1051" w:rsidP="000C3959">
            <w:pPr>
              <w:pStyle w:val="ENoteTableText"/>
              <w:tabs>
                <w:tab w:val="center" w:leader="dot" w:pos="2268"/>
              </w:tabs>
            </w:pPr>
          </w:p>
        </w:tc>
        <w:tc>
          <w:tcPr>
            <w:tcW w:w="3606" w:type="pct"/>
            <w:shd w:val="clear" w:color="auto" w:fill="auto"/>
          </w:tcPr>
          <w:p w:rsidR="00EE1051" w:rsidRPr="00E106BD" w:rsidRDefault="00EE1051" w:rsidP="00CC48D5">
            <w:pPr>
              <w:pStyle w:val="ENoteTableText"/>
              <w:keepNext/>
            </w:pPr>
            <w:r w:rsidRPr="00E106BD">
              <w:t>rs PB 106 of 2012</w:t>
            </w:r>
          </w:p>
        </w:tc>
      </w:tr>
      <w:tr w:rsidR="00EE1051" w:rsidRPr="00E106BD" w:rsidTr="000C3959">
        <w:trPr>
          <w:cantSplit/>
        </w:trPr>
        <w:tc>
          <w:tcPr>
            <w:tcW w:w="1394" w:type="pct"/>
            <w:shd w:val="clear" w:color="auto" w:fill="auto"/>
          </w:tcPr>
          <w:p w:rsidR="00EE1051" w:rsidRPr="00E106BD" w:rsidRDefault="00EE1051" w:rsidP="000C3959">
            <w:pPr>
              <w:pStyle w:val="ENoteTableText"/>
              <w:tabs>
                <w:tab w:val="center" w:leader="dot" w:pos="2268"/>
              </w:tabs>
            </w:pPr>
          </w:p>
        </w:tc>
        <w:tc>
          <w:tcPr>
            <w:tcW w:w="3606" w:type="pct"/>
            <w:shd w:val="clear" w:color="auto" w:fill="auto"/>
          </w:tcPr>
          <w:p w:rsidR="00EE1051" w:rsidRPr="00E106BD" w:rsidRDefault="00EE1051" w:rsidP="00CC48D5">
            <w:pPr>
              <w:pStyle w:val="ENoteTableText"/>
              <w:keepNext/>
            </w:pPr>
            <w:r w:rsidRPr="00E106BD">
              <w:t>am PB 30 of 2015</w:t>
            </w:r>
          </w:p>
        </w:tc>
      </w:tr>
      <w:tr w:rsidR="00EE1051" w:rsidRPr="00E106BD" w:rsidTr="000C3959">
        <w:trPr>
          <w:cantSplit/>
        </w:trPr>
        <w:tc>
          <w:tcPr>
            <w:tcW w:w="1394" w:type="pct"/>
            <w:shd w:val="clear" w:color="auto" w:fill="auto"/>
          </w:tcPr>
          <w:p w:rsidR="00EE1051" w:rsidRPr="00E106BD" w:rsidRDefault="00EE1051" w:rsidP="00FD632F">
            <w:pPr>
              <w:pStyle w:val="ENoteTableText"/>
              <w:keepNext/>
              <w:keepLines/>
            </w:pPr>
            <w:r w:rsidRPr="00E106BD">
              <w:rPr>
                <w:b/>
              </w:rPr>
              <w:t>Part</w:t>
            </w:r>
            <w:r w:rsidR="00E106BD">
              <w:rPr>
                <w:b/>
              </w:rPr>
              <w:t> </w:t>
            </w:r>
            <w:r w:rsidRPr="00E106BD">
              <w:rPr>
                <w:b/>
              </w:rPr>
              <w:t>7</w:t>
            </w:r>
          </w:p>
        </w:tc>
        <w:tc>
          <w:tcPr>
            <w:tcW w:w="3606" w:type="pct"/>
            <w:shd w:val="clear" w:color="auto" w:fill="auto"/>
          </w:tcPr>
          <w:p w:rsidR="00EE1051" w:rsidRPr="00E106BD" w:rsidRDefault="00EE1051" w:rsidP="00FD632F">
            <w:pPr>
              <w:pStyle w:val="ENoteTableText"/>
              <w:keepNext/>
              <w:keepLines/>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49</w:t>
            </w:r>
            <w:r w:rsidRPr="00E106BD">
              <w:tab/>
            </w:r>
          </w:p>
        </w:tc>
        <w:tc>
          <w:tcPr>
            <w:tcW w:w="3606" w:type="pct"/>
            <w:shd w:val="clear" w:color="auto" w:fill="auto"/>
          </w:tcPr>
          <w:p w:rsidR="00EE1051" w:rsidRPr="00E106BD" w:rsidRDefault="00EE1051" w:rsidP="004E4760">
            <w:pPr>
              <w:pStyle w:val="ENoteTableText"/>
            </w:pPr>
            <w:r w:rsidRPr="00E106BD">
              <w:t>am PB 62 of 2011</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rs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50</w:t>
            </w:r>
            <w:r w:rsidRPr="00E106BD">
              <w:tab/>
            </w:r>
          </w:p>
        </w:tc>
        <w:tc>
          <w:tcPr>
            <w:tcW w:w="3606" w:type="pct"/>
            <w:shd w:val="clear" w:color="auto" w:fill="auto"/>
          </w:tcPr>
          <w:p w:rsidR="00EE1051" w:rsidRPr="00E106BD" w:rsidRDefault="00EE1051" w:rsidP="004E4760">
            <w:pPr>
              <w:pStyle w:val="ENoteTableText"/>
            </w:pPr>
            <w:r w:rsidRPr="00E106BD">
              <w:t>am PB 30 and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51</w:t>
            </w:r>
            <w:r w:rsidRPr="00E106BD">
              <w:tab/>
            </w:r>
          </w:p>
        </w:tc>
        <w:tc>
          <w:tcPr>
            <w:tcW w:w="3606" w:type="pct"/>
            <w:shd w:val="clear" w:color="auto" w:fill="auto"/>
          </w:tcPr>
          <w:p w:rsidR="00EE1051" w:rsidRPr="00E106BD" w:rsidRDefault="00EE1051" w:rsidP="004E4760">
            <w:pPr>
              <w:pStyle w:val="ENoteTableText"/>
            </w:pPr>
            <w:r w:rsidRPr="00E106BD">
              <w:t>am PB 20 of 2012; PB 30 and 58 of 2015</w:t>
            </w:r>
            <w:r w:rsidR="00A25D37" w:rsidRPr="00E106BD">
              <w:t>; PB 107 of 2018</w:t>
            </w:r>
            <w:r w:rsidR="007C0666" w:rsidRPr="00E106BD">
              <w:t>; PB 87 of 2019</w:t>
            </w:r>
          </w:p>
        </w:tc>
      </w:tr>
      <w:tr w:rsidR="00EE1051" w:rsidRPr="00E106BD" w:rsidTr="000C3959">
        <w:trPr>
          <w:cantSplit/>
        </w:trPr>
        <w:tc>
          <w:tcPr>
            <w:tcW w:w="1394" w:type="pct"/>
            <w:shd w:val="clear" w:color="auto" w:fill="auto"/>
          </w:tcPr>
          <w:p w:rsidR="00EE1051" w:rsidRPr="00E106BD" w:rsidRDefault="00EE1051" w:rsidP="00A97343">
            <w:pPr>
              <w:pStyle w:val="ENoteTableText"/>
              <w:keepNext/>
            </w:pPr>
            <w:r w:rsidRPr="00E106BD">
              <w:rPr>
                <w:b/>
              </w:rPr>
              <w:t>Part</w:t>
            </w:r>
            <w:r w:rsidR="00E106BD">
              <w:rPr>
                <w:b/>
              </w:rPr>
              <w:t> </w:t>
            </w:r>
            <w:r w:rsidRPr="00E106BD">
              <w:rPr>
                <w:b/>
              </w:rPr>
              <w:t>8</w:t>
            </w:r>
          </w:p>
        </w:tc>
        <w:tc>
          <w:tcPr>
            <w:tcW w:w="3606" w:type="pct"/>
            <w:shd w:val="clear" w:color="auto" w:fill="auto"/>
          </w:tcPr>
          <w:p w:rsidR="00EE1051" w:rsidRPr="00E106BD" w:rsidRDefault="00EE1051" w:rsidP="00A97343">
            <w:pPr>
              <w:pStyle w:val="ENoteTableText"/>
              <w:keepN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52</w:t>
            </w:r>
            <w:r w:rsidRPr="00E106BD">
              <w:tab/>
            </w:r>
          </w:p>
        </w:tc>
        <w:tc>
          <w:tcPr>
            <w:tcW w:w="3606" w:type="pct"/>
            <w:shd w:val="clear" w:color="auto" w:fill="auto"/>
          </w:tcPr>
          <w:p w:rsidR="00EE1051" w:rsidRPr="00E106BD" w:rsidRDefault="00EE1051" w:rsidP="004E4760">
            <w:pPr>
              <w:pStyle w:val="ENoteTableText"/>
            </w:pPr>
            <w:r w:rsidRPr="00E106BD">
              <w:t>am PB 62 of 2011</w:t>
            </w:r>
            <w:r w:rsidR="00A25D37" w:rsidRPr="00E106BD">
              <w:t>; PB 107 of 2018</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rPr>
                <w:b/>
              </w:rPr>
            </w:pPr>
            <w:r w:rsidRPr="00E106BD">
              <w:rPr>
                <w:b/>
              </w:rPr>
              <w:t>Part</w:t>
            </w:r>
            <w:r w:rsidR="00E106BD">
              <w:rPr>
                <w:b/>
              </w:rPr>
              <w:t> </w:t>
            </w:r>
            <w:r w:rsidRPr="00E106BD">
              <w:rPr>
                <w:b/>
              </w:rPr>
              <w:t>9</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54</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ad PB 30 of 2015</w:t>
            </w:r>
          </w:p>
        </w:tc>
      </w:tr>
      <w:tr w:rsidR="00A25D37" w:rsidRPr="00E106BD" w:rsidTr="000C3959">
        <w:trPr>
          <w:cantSplit/>
        </w:trPr>
        <w:tc>
          <w:tcPr>
            <w:tcW w:w="1394" w:type="pct"/>
            <w:shd w:val="clear" w:color="auto" w:fill="auto"/>
          </w:tcPr>
          <w:p w:rsidR="00A25D37" w:rsidRPr="00E106BD" w:rsidRDefault="00A25D37" w:rsidP="004E4760">
            <w:pPr>
              <w:pStyle w:val="ENoteTableText"/>
              <w:tabs>
                <w:tab w:val="center" w:leader="dot" w:pos="2268"/>
              </w:tabs>
            </w:pPr>
          </w:p>
        </w:tc>
        <w:tc>
          <w:tcPr>
            <w:tcW w:w="3606" w:type="pct"/>
            <w:shd w:val="clear" w:color="auto" w:fill="auto"/>
          </w:tcPr>
          <w:p w:rsidR="00A25D37" w:rsidRPr="00E106BD" w:rsidRDefault="00A25D37" w:rsidP="004E4760">
            <w:pPr>
              <w:pStyle w:val="ENoteTableText"/>
            </w:pPr>
            <w:r w:rsidRPr="00E106BD">
              <w:t>am PB 107 of 2018</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55</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ad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56</w:t>
            </w:r>
            <w:r w:rsidRPr="00E106BD">
              <w:tab/>
            </w:r>
          </w:p>
        </w:tc>
        <w:tc>
          <w:tcPr>
            <w:tcW w:w="3606" w:type="pct"/>
            <w:shd w:val="clear" w:color="auto" w:fill="auto"/>
          </w:tcPr>
          <w:p w:rsidR="00EE1051" w:rsidRPr="00E106BD" w:rsidRDefault="00EE1051" w:rsidP="004E4760">
            <w:pPr>
              <w:pStyle w:val="ENoteTableText"/>
            </w:pPr>
            <w:r w:rsidRPr="00E106BD">
              <w:t>ad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Schedule</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Schedule</w:t>
            </w:r>
            <w:r w:rsidR="00E106BD">
              <w:t> </w:t>
            </w:r>
            <w:r w:rsidRPr="00E106BD">
              <w:t>1</w:t>
            </w:r>
            <w:r w:rsidRPr="00E106BD">
              <w:tab/>
            </w:r>
          </w:p>
        </w:tc>
        <w:tc>
          <w:tcPr>
            <w:tcW w:w="3606" w:type="pct"/>
            <w:shd w:val="clear" w:color="auto" w:fill="auto"/>
          </w:tcPr>
          <w:p w:rsidR="00EE1051" w:rsidRPr="00E106BD" w:rsidRDefault="00EE1051" w:rsidP="00E17E1A">
            <w:pPr>
              <w:pStyle w:val="ENoteTableText"/>
            </w:pPr>
            <w:r w:rsidRPr="00E106BD">
              <w:t xml:space="preserve">am PB 122 of 2010; PB 2, 28, 34, 38, 46, 53, 62, 69, 76, 86 and 99 of 2011; PB 5, 20, 31, 35, 39, 47, 64, 76, 106 and 110 of 2012; PB 10, 16, 30, 42, 56, 63, 70, 78 and 92 of 2013; PB 4, 11, 20, 30, </w:t>
            </w:r>
            <w:r w:rsidR="00B00FE6" w:rsidRPr="00E106BD">
              <w:t>40, 48, 55 and</w:t>
            </w:r>
            <w:r w:rsidRPr="00E106BD">
              <w:t xml:space="preserve"> 63</w:t>
            </w:r>
            <w:r w:rsidR="00B00FE6" w:rsidRPr="00E106BD">
              <w:t xml:space="preserve"> of 2014;</w:t>
            </w:r>
            <w:r w:rsidR="007729A5" w:rsidRPr="00E106BD">
              <w:t xml:space="preserve"> PB </w:t>
            </w:r>
            <w:r w:rsidRPr="00E106BD">
              <w:t xml:space="preserve">93 </w:t>
            </w:r>
            <w:r w:rsidR="00725C96" w:rsidRPr="00E106BD">
              <w:t xml:space="preserve">of 2014 </w:t>
            </w:r>
            <w:r w:rsidRPr="00E106BD">
              <w:t>(</w:t>
            </w:r>
            <w:r w:rsidR="007729A5" w:rsidRPr="00E106BD">
              <w:t>Sch 1</w:t>
            </w:r>
            <w:r w:rsidRPr="00E106BD">
              <w:t xml:space="preserve"> items</w:t>
            </w:r>
            <w:r w:rsidR="00E106BD">
              <w:t> </w:t>
            </w:r>
            <w:r w:rsidRPr="00E106BD">
              <w:t>13, 14</w:t>
            </w:r>
            <w:r w:rsidR="007729A5" w:rsidRPr="00E106BD">
              <w:t xml:space="preserve"> md</w:t>
            </w:r>
            <w:r w:rsidRPr="00E106BD">
              <w:t>)</w:t>
            </w:r>
            <w:r w:rsidR="007729A5" w:rsidRPr="00E106BD">
              <w:t>; PB</w:t>
            </w:r>
            <w:r w:rsidRPr="00E106BD">
              <w:t xml:space="preserve"> 102 of 2014; PB</w:t>
            </w:r>
            <w:r w:rsidR="007729A5" w:rsidRPr="00E106BD">
              <w:t xml:space="preserve"> 3, 30, 43, 50, 58, 72, 83, 94,</w:t>
            </w:r>
            <w:r w:rsidRPr="00E106BD">
              <w:t xml:space="preserve"> 104, 111, 121 and 129 of 2015;</w:t>
            </w:r>
            <w:r w:rsidR="00B00FE6" w:rsidRPr="00E106BD">
              <w:t xml:space="preserve"> PB 5 and</w:t>
            </w:r>
            <w:r w:rsidRPr="00E106BD">
              <w:t xml:space="preserve"> 13</w:t>
            </w:r>
            <w:r w:rsidR="007729A5" w:rsidRPr="00E106BD">
              <w:t xml:space="preserve"> </w:t>
            </w:r>
            <w:r w:rsidR="00B00FE6" w:rsidRPr="00E106BD">
              <w:t xml:space="preserve">of 2016; </w:t>
            </w:r>
            <w:r w:rsidR="007729A5" w:rsidRPr="00E106BD">
              <w:t xml:space="preserve">PB </w:t>
            </w:r>
            <w:r w:rsidR="004E6FF9" w:rsidRPr="00E106BD">
              <w:t>22</w:t>
            </w:r>
            <w:r w:rsidR="007729A5" w:rsidRPr="00E106BD">
              <w:t xml:space="preserve"> of 2016</w:t>
            </w:r>
            <w:r w:rsidRPr="00E106BD">
              <w:t xml:space="preserve"> (</w:t>
            </w:r>
            <w:r w:rsidR="004E6FF9" w:rsidRPr="00E106BD">
              <w:t>S</w:t>
            </w:r>
            <w:r w:rsidRPr="00E106BD">
              <w:t>ch 1 items</w:t>
            </w:r>
            <w:r w:rsidR="00E106BD">
              <w:t> </w:t>
            </w:r>
            <w:r w:rsidRPr="00E106BD">
              <w:t>1</w:t>
            </w:r>
            <w:r w:rsidR="0094431A" w:rsidRPr="00E106BD">
              <w:t>–</w:t>
            </w:r>
            <w:r w:rsidRPr="00E106BD">
              <w:t>3, 6</w:t>
            </w:r>
            <w:r w:rsidR="004E6FF9" w:rsidRPr="00E106BD">
              <w:t xml:space="preserve"> md);</w:t>
            </w:r>
            <w:r w:rsidRPr="00E106BD">
              <w:t xml:space="preserve"> </w:t>
            </w:r>
            <w:r w:rsidR="007729A5" w:rsidRPr="00E106BD">
              <w:t xml:space="preserve">PB </w:t>
            </w:r>
            <w:r w:rsidRPr="00E106BD">
              <w:t>33, 45, 55</w:t>
            </w:r>
            <w:r w:rsidR="005262A4" w:rsidRPr="00E106BD">
              <w:t>,</w:t>
            </w:r>
            <w:r w:rsidRPr="00E106BD">
              <w:t xml:space="preserve"> 67</w:t>
            </w:r>
            <w:r w:rsidR="00B00FE6" w:rsidRPr="00E106BD">
              <w:t xml:space="preserve"> and</w:t>
            </w:r>
            <w:r w:rsidR="00E225A4" w:rsidRPr="00E106BD">
              <w:t xml:space="preserve"> 76</w:t>
            </w:r>
            <w:r w:rsidR="00B00FE6" w:rsidRPr="00E106BD">
              <w:t xml:space="preserve"> of 2016;</w:t>
            </w:r>
            <w:r w:rsidR="00E46EE4" w:rsidRPr="00E106BD">
              <w:t xml:space="preserve"> </w:t>
            </w:r>
            <w:r w:rsidR="00B00FE6" w:rsidRPr="00E106BD">
              <w:t xml:space="preserve">PB </w:t>
            </w:r>
            <w:r w:rsidR="00E225A4" w:rsidRPr="00E106BD">
              <w:t>84</w:t>
            </w:r>
            <w:r w:rsidR="004E6FF9" w:rsidRPr="00E106BD">
              <w:t xml:space="preserve"> </w:t>
            </w:r>
            <w:r w:rsidR="007729A5" w:rsidRPr="00E106BD">
              <w:t xml:space="preserve">of 2016 </w:t>
            </w:r>
            <w:r w:rsidR="004E6FF9" w:rsidRPr="00E106BD">
              <w:t>(Sch 1 item</w:t>
            </w:r>
            <w:r w:rsidR="00E106BD">
              <w:t> </w:t>
            </w:r>
            <w:r w:rsidR="004E6FF9" w:rsidRPr="00E106BD">
              <w:t>8 md)</w:t>
            </w:r>
            <w:r w:rsidR="00B00FE6" w:rsidRPr="00E106BD">
              <w:t>;</w:t>
            </w:r>
            <w:r w:rsidR="00144512" w:rsidRPr="00E106BD">
              <w:t xml:space="preserve"> </w:t>
            </w:r>
            <w:r w:rsidR="00B00FE6" w:rsidRPr="00E106BD">
              <w:t xml:space="preserve">PB </w:t>
            </w:r>
            <w:r w:rsidR="00144512" w:rsidRPr="00E106BD">
              <w:t>93</w:t>
            </w:r>
            <w:r w:rsidR="00116B9A" w:rsidRPr="00E106BD">
              <w:t>,</w:t>
            </w:r>
            <w:r w:rsidR="00144512" w:rsidRPr="00E106BD">
              <w:t xml:space="preserve"> 100</w:t>
            </w:r>
            <w:r w:rsidR="00116B9A" w:rsidRPr="00E106BD">
              <w:t xml:space="preserve"> and 113</w:t>
            </w:r>
            <w:r w:rsidR="00E225A4" w:rsidRPr="00E106BD">
              <w:t xml:space="preserve"> </w:t>
            </w:r>
            <w:r w:rsidRPr="00E106BD">
              <w:t>of 2016</w:t>
            </w:r>
            <w:r w:rsidR="00C0284F" w:rsidRPr="00E106BD">
              <w:t>; PB 5</w:t>
            </w:r>
            <w:r w:rsidR="002608A6" w:rsidRPr="00E106BD">
              <w:t xml:space="preserve"> of 2017; PB</w:t>
            </w:r>
            <w:r w:rsidR="00FD24F8" w:rsidRPr="00E106BD">
              <w:t xml:space="preserve"> 20</w:t>
            </w:r>
            <w:r w:rsidR="00C0284F" w:rsidRPr="00E106BD">
              <w:t xml:space="preserve"> </w:t>
            </w:r>
            <w:r w:rsidR="002608A6" w:rsidRPr="00E106BD">
              <w:t>of 2017;</w:t>
            </w:r>
            <w:r w:rsidR="00DE1521" w:rsidRPr="00E106BD">
              <w:t xml:space="preserve"> </w:t>
            </w:r>
            <w:r w:rsidR="002608A6" w:rsidRPr="00E106BD">
              <w:t xml:space="preserve">PB </w:t>
            </w:r>
            <w:r w:rsidR="00FD24F8" w:rsidRPr="00E106BD">
              <w:t>30</w:t>
            </w:r>
            <w:r w:rsidR="00DE1521" w:rsidRPr="00E106BD">
              <w:t xml:space="preserve"> </w:t>
            </w:r>
            <w:r w:rsidR="00C0284F" w:rsidRPr="00E106BD">
              <w:t>of 2017</w:t>
            </w:r>
            <w:r w:rsidR="009172D1" w:rsidRPr="00E106BD">
              <w:t>; PB 39 of 2017</w:t>
            </w:r>
            <w:r w:rsidR="00941BCE" w:rsidRPr="00E106BD">
              <w:t>; PB 47 of 2017</w:t>
            </w:r>
            <w:r w:rsidR="00647465" w:rsidRPr="00E106BD">
              <w:t>; PB 57 of 2017</w:t>
            </w:r>
            <w:r w:rsidR="00B93540" w:rsidRPr="00E106BD">
              <w:t>; PB 66 of 2017</w:t>
            </w:r>
            <w:r w:rsidR="00A8531D" w:rsidRPr="00E106BD">
              <w:t>; PB 75 of 2017</w:t>
            </w:r>
            <w:r w:rsidR="00141A4D" w:rsidRPr="00E106BD">
              <w:t>; PB 88 of 2017</w:t>
            </w:r>
            <w:r w:rsidR="001F7C05" w:rsidRPr="00E106BD">
              <w:t>; PB 95 of 2017</w:t>
            </w:r>
            <w:r w:rsidR="001E38FA" w:rsidRPr="00E106BD">
              <w:t>; PB 104 of 2017</w:t>
            </w:r>
            <w:r w:rsidR="0028146E" w:rsidRPr="00E106BD">
              <w:t>; PB 6 of 2018</w:t>
            </w:r>
            <w:r w:rsidR="006922CF" w:rsidRPr="00E106BD">
              <w:t>; PB 16 of 2018</w:t>
            </w:r>
            <w:r w:rsidR="00E707FE" w:rsidRPr="00E106BD">
              <w:t>; PB 22 of 2018</w:t>
            </w:r>
            <w:r w:rsidR="00DC58DA" w:rsidRPr="00E106BD">
              <w:t>; PB 40 of 2018</w:t>
            </w:r>
          </w:p>
        </w:tc>
      </w:tr>
      <w:tr w:rsidR="00913F82" w:rsidRPr="00E106BD" w:rsidTr="000C3959">
        <w:trPr>
          <w:cantSplit/>
        </w:trPr>
        <w:tc>
          <w:tcPr>
            <w:tcW w:w="1394" w:type="pct"/>
            <w:shd w:val="clear" w:color="auto" w:fill="auto"/>
          </w:tcPr>
          <w:p w:rsidR="00913F82" w:rsidRPr="00E106BD" w:rsidRDefault="00913F82" w:rsidP="004E4760">
            <w:pPr>
              <w:pStyle w:val="ENoteTableText"/>
              <w:tabs>
                <w:tab w:val="center" w:leader="dot" w:pos="2268"/>
              </w:tabs>
            </w:pPr>
          </w:p>
        </w:tc>
        <w:tc>
          <w:tcPr>
            <w:tcW w:w="3606" w:type="pct"/>
            <w:shd w:val="clear" w:color="auto" w:fill="auto"/>
          </w:tcPr>
          <w:p w:rsidR="00913F82" w:rsidRPr="00E106BD" w:rsidRDefault="00913F82" w:rsidP="008809DA">
            <w:pPr>
              <w:pStyle w:val="ENoteTableText"/>
            </w:pPr>
            <w:r w:rsidRPr="00E106BD">
              <w:t>ed C82</w:t>
            </w:r>
          </w:p>
        </w:tc>
      </w:tr>
      <w:tr w:rsidR="006E4038" w:rsidRPr="00E106BD" w:rsidTr="000C3959">
        <w:trPr>
          <w:cantSplit/>
        </w:trPr>
        <w:tc>
          <w:tcPr>
            <w:tcW w:w="1394" w:type="pct"/>
            <w:shd w:val="clear" w:color="auto" w:fill="auto"/>
          </w:tcPr>
          <w:p w:rsidR="006E4038" w:rsidRPr="00E106BD" w:rsidRDefault="006E4038" w:rsidP="004E4760">
            <w:pPr>
              <w:pStyle w:val="ENoteTableText"/>
              <w:tabs>
                <w:tab w:val="center" w:leader="dot" w:pos="2268"/>
              </w:tabs>
            </w:pPr>
          </w:p>
        </w:tc>
        <w:tc>
          <w:tcPr>
            <w:tcW w:w="3606" w:type="pct"/>
            <w:shd w:val="clear" w:color="auto" w:fill="auto"/>
          </w:tcPr>
          <w:p w:rsidR="006E4038" w:rsidRPr="00E106BD" w:rsidRDefault="006E4038" w:rsidP="008809DA">
            <w:pPr>
              <w:pStyle w:val="ENoteTableText"/>
            </w:pPr>
            <w:r w:rsidRPr="00E106BD">
              <w:t>am PB 54 of 2018</w:t>
            </w:r>
            <w:r w:rsidR="000B24F6" w:rsidRPr="00E106BD">
              <w:t>; PB 67 of 2018</w:t>
            </w:r>
          </w:p>
        </w:tc>
      </w:tr>
      <w:tr w:rsidR="00896D97" w:rsidRPr="00E106BD" w:rsidTr="000C3959">
        <w:trPr>
          <w:cantSplit/>
        </w:trPr>
        <w:tc>
          <w:tcPr>
            <w:tcW w:w="1394" w:type="pct"/>
            <w:shd w:val="clear" w:color="auto" w:fill="auto"/>
          </w:tcPr>
          <w:p w:rsidR="00896D97" w:rsidRPr="00E106BD" w:rsidRDefault="00896D97" w:rsidP="004E4760">
            <w:pPr>
              <w:pStyle w:val="ENoteTableText"/>
              <w:tabs>
                <w:tab w:val="center" w:leader="dot" w:pos="2268"/>
              </w:tabs>
            </w:pPr>
          </w:p>
        </w:tc>
        <w:tc>
          <w:tcPr>
            <w:tcW w:w="3606" w:type="pct"/>
            <w:shd w:val="clear" w:color="auto" w:fill="auto"/>
          </w:tcPr>
          <w:p w:rsidR="00896D97" w:rsidRPr="00E106BD" w:rsidRDefault="00896D97" w:rsidP="008809DA">
            <w:pPr>
              <w:pStyle w:val="ENoteTableText"/>
            </w:pPr>
            <w:r w:rsidRPr="00E106BD">
              <w:t>ed C84</w:t>
            </w:r>
          </w:p>
        </w:tc>
      </w:tr>
      <w:tr w:rsidR="00121D47" w:rsidRPr="00E106BD" w:rsidTr="000C3959">
        <w:trPr>
          <w:cantSplit/>
        </w:trPr>
        <w:tc>
          <w:tcPr>
            <w:tcW w:w="1394" w:type="pct"/>
            <w:shd w:val="clear" w:color="auto" w:fill="auto"/>
          </w:tcPr>
          <w:p w:rsidR="00121D47" w:rsidRPr="00E106BD" w:rsidRDefault="00121D47" w:rsidP="004E4760">
            <w:pPr>
              <w:pStyle w:val="ENoteTableText"/>
              <w:tabs>
                <w:tab w:val="center" w:leader="dot" w:pos="2268"/>
              </w:tabs>
            </w:pPr>
          </w:p>
        </w:tc>
        <w:tc>
          <w:tcPr>
            <w:tcW w:w="3606" w:type="pct"/>
            <w:shd w:val="clear" w:color="auto" w:fill="auto"/>
          </w:tcPr>
          <w:p w:rsidR="00121D47" w:rsidRPr="00E106BD" w:rsidRDefault="00121D47" w:rsidP="008809DA">
            <w:pPr>
              <w:pStyle w:val="ENoteTableText"/>
            </w:pPr>
            <w:r w:rsidRPr="00E106BD">
              <w:t>am PB 77 of 2018</w:t>
            </w:r>
          </w:p>
        </w:tc>
      </w:tr>
      <w:tr w:rsidR="00E55ABB" w:rsidRPr="00E106BD" w:rsidTr="000C3959">
        <w:trPr>
          <w:cantSplit/>
        </w:trPr>
        <w:tc>
          <w:tcPr>
            <w:tcW w:w="1394" w:type="pct"/>
            <w:shd w:val="clear" w:color="auto" w:fill="auto"/>
          </w:tcPr>
          <w:p w:rsidR="00E55ABB" w:rsidRPr="00E106BD" w:rsidRDefault="00E55ABB" w:rsidP="004E4760">
            <w:pPr>
              <w:pStyle w:val="ENoteTableText"/>
              <w:tabs>
                <w:tab w:val="center" w:leader="dot" w:pos="2268"/>
              </w:tabs>
            </w:pPr>
          </w:p>
        </w:tc>
        <w:tc>
          <w:tcPr>
            <w:tcW w:w="3606" w:type="pct"/>
            <w:shd w:val="clear" w:color="auto" w:fill="auto"/>
          </w:tcPr>
          <w:p w:rsidR="00E55ABB" w:rsidRPr="00E106BD" w:rsidRDefault="00E55ABB" w:rsidP="008809DA">
            <w:pPr>
              <w:pStyle w:val="ENoteTableText"/>
            </w:pPr>
            <w:r w:rsidRPr="00E106BD">
              <w:t>ed C85</w:t>
            </w:r>
          </w:p>
        </w:tc>
      </w:tr>
      <w:tr w:rsidR="006706F0" w:rsidRPr="00E106BD" w:rsidTr="000C3959">
        <w:trPr>
          <w:cantSplit/>
        </w:trPr>
        <w:tc>
          <w:tcPr>
            <w:tcW w:w="1394" w:type="pct"/>
            <w:shd w:val="clear" w:color="auto" w:fill="auto"/>
          </w:tcPr>
          <w:p w:rsidR="006706F0" w:rsidRPr="00E106BD" w:rsidRDefault="006706F0" w:rsidP="004E4760">
            <w:pPr>
              <w:pStyle w:val="ENoteTableText"/>
              <w:tabs>
                <w:tab w:val="center" w:leader="dot" w:pos="2268"/>
              </w:tabs>
            </w:pPr>
          </w:p>
        </w:tc>
        <w:tc>
          <w:tcPr>
            <w:tcW w:w="3606" w:type="pct"/>
            <w:shd w:val="clear" w:color="auto" w:fill="auto"/>
          </w:tcPr>
          <w:p w:rsidR="006706F0" w:rsidRPr="00E106BD" w:rsidRDefault="006706F0" w:rsidP="002733AC">
            <w:pPr>
              <w:pStyle w:val="ENoteTableText"/>
            </w:pPr>
            <w:r w:rsidRPr="00E106BD">
              <w:t>am PB 85 of 2018</w:t>
            </w:r>
            <w:r w:rsidR="00EE4124" w:rsidRPr="00E106BD">
              <w:t>; PB 94 of 2018</w:t>
            </w:r>
            <w:r w:rsidR="00331071" w:rsidRPr="00E106BD">
              <w:t>; PB 102 of 2018</w:t>
            </w:r>
            <w:r w:rsidR="00746C08" w:rsidRPr="00E106BD">
              <w:t>; PB 111 of 2018</w:t>
            </w:r>
            <w:r w:rsidR="00B46184" w:rsidRPr="00E106BD">
              <w:t>; PB 3 of 2019</w:t>
            </w:r>
            <w:r w:rsidR="00F6296F" w:rsidRPr="00E106BD">
              <w:t>; PB 13 of 2019</w:t>
            </w:r>
            <w:r w:rsidR="006A0EA5" w:rsidRPr="00E106BD">
              <w:t>; PB 20 of 2019</w:t>
            </w:r>
            <w:r w:rsidR="00AD42F5" w:rsidRPr="00E106BD">
              <w:t>; PB 31 of 2019</w:t>
            </w:r>
            <w:r w:rsidR="000F6535" w:rsidRPr="00E106BD">
              <w:t>; PB 39 of 2019</w:t>
            </w:r>
            <w:r w:rsidR="00054366" w:rsidRPr="00E106BD">
              <w:t>; PB 48 of 2019</w:t>
            </w:r>
            <w:r w:rsidR="004F2C32" w:rsidRPr="00E106BD">
              <w:t>; PB 61 of 2019</w:t>
            </w:r>
            <w:r w:rsidR="003340D9" w:rsidRPr="00E106BD">
              <w:t>; PB 70 of 2019</w:t>
            </w:r>
            <w:r w:rsidR="00E86CB0" w:rsidRPr="00E106BD">
              <w:t>; PB 78 of 2019</w:t>
            </w:r>
          </w:p>
        </w:tc>
      </w:tr>
      <w:tr w:rsidR="005A6FBA" w:rsidRPr="00E106BD" w:rsidTr="000C3959">
        <w:trPr>
          <w:cantSplit/>
        </w:trPr>
        <w:tc>
          <w:tcPr>
            <w:tcW w:w="1394" w:type="pct"/>
            <w:shd w:val="clear" w:color="auto" w:fill="auto"/>
          </w:tcPr>
          <w:p w:rsidR="005A6FBA" w:rsidRPr="00E106BD" w:rsidRDefault="005A6FBA" w:rsidP="004E4760">
            <w:pPr>
              <w:pStyle w:val="ENoteTableText"/>
              <w:tabs>
                <w:tab w:val="center" w:leader="dot" w:pos="2268"/>
              </w:tabs>
            </w:pPr>
          </w:p>
        </w:tc>
        <w:tc>
          <w:tcPr>
            <w:tcW w:w="3606" w:type="pct"/>
            <w:shd w:val="clear" w:color="auto" w:fill="auto"/>
          </w:tcPr>
          <w:p w:rsidR="005A6FBA" w:rsidRPr="00E106BD" w:rsidRDefault="005A6FBA" w:rsidP="002733AC">
            <w:pPr>
              <w:pStyle w:val="ENoteTableText"/>
            </w:pPr>
            <w:r w:rsidRPr="00E106BD">
              <w:t xml:space="preserve">ed </w:t>
            </w:r>
            <w:r w:rsidR="00A13F76" w:rsidRPr="00E106BD">
              <w:t>C</w:t>
            </w:r>
            <w:r w:rsidRPr="00E106BD">
              <w:t>99</w:t>
            </w:r>
          </w:p>
        </w:tc>
      </w:tr>
      <w:tr w:rsidR="007C0666" w:rsidRPr="00E106BD" w:rsidTr="000C3959">
        <w:trPr>
          <w:cantSplit/>
        </w:trPr>
        <w:tc>
          <w:tcPr>
            <w:tcW w:w="1394" w:type="pct"/>
            <w:shd w:val="clear" w:color="auto" w:fill="auto"/>
          </w:tcPr>
          <w:p w:rsidR="007C0666" w:rsidRPr="00E106BD" w:rsidRDefault="007C0666" w:rsidP="004E4760">
            <w:pPr>
              <w:pStyle w:val="ENoteTableText"/>
              <w:tabs>
                <w:tab w:val="center" w:leader="dot" w:pos="2268"/>
              </w:tabs>
            </w:pPr>
          </w:p>
        </w:tc>
        <w:tc>
          <w:tcPr>
            <w:tcW w:w="3606" w:type="pct"/>
            <w:shd w:val="clear" w:color="auto" w:fill="auto"/>
          </w:tcPr>
          <w:p w:rsidR="007C0666" w:rsidRPr="00E106BD" w:rsidRDefault="007C0666" w:rsidP="002733AC">
            <w:pPr>
              <w:pStyle w:val="ENoteTableText"/>
            </w:pPr>
            <w:r w:rsidRPr="00E106BD">
              <w:t>am PB 87 of 2019</w:t>
            </w:r>
            <w:r w:rsidR="005E25AF" w:rsidRPr="00E106BD">
              <w:t>; PB 95 of 2019</w:t>
            </w:r>
            <w:r w:rsidR="00BF0440" w:rsidRPr="00E106BD">
              <w:t>; PB 106 of 2019</w:t>
            </w:r>
            <w:r w:rsidR="002E57A7" w:rsidRPr="00E106BD">
              <w:t>; PB 4 of 2020</w:t>
            </w:r>
            <w:r w:rsidR="006A1218" w:rsidRPr="00E106BD">
              <w:t>; PB 17 of 2020</w:t>
            </w:r>
            <w:r w:rsidR="00CC236B" w:rsidRPr="00E106BD">
              <w:t>; PB 24 of 2020</w:t>
            </w:r>
            <w:r w:rsidR="002D7390" w:rsidRPr="00E106BD">
              <w:t>; PB 26 of 2020</w:t>
            </w:r>
            <w:r w:rsidR="00B807DA">
              <w:t>; PB 37 of 2020</w:t>
            </w:r>
            <w:r w:rsidR="000D0904">
              <w:t>; PB 46 of 2020</w:t>
            </w:r>
            <w:r w:rsidR="006A0F1D">
              <w:t>;</w:t>
            </w:r>
            <w:r w:rsidR="00A22259">
              <w:t xml:space="preserve"> PB 72 of 2020</w:t>
            </w:r>
            <w:r w:rsidR="005C4E1C">
              <w:t>; PB 82 of 2020</w:t>
            </w:r>
            <w:r w:rsidR="005C4963">
              <w:t xml:space="preserve">; </w:t>
            </w:r>
            <w:r w:rsidR="005C4963" w:rsidRPr="00E0263E">
              <w:t>PB 93 of 2020</w:t>
            </w:r>
          </w:p>
        </w:tc>
      </w:tr>
      <w:tr w:rsidR="00EE1051" w:rsidRPr="00E106BD" w:rsidTr="000C3959">
        <w:trPr>
          <w:cantSplit/>
        </w:trPr>
        <w:tc>
          <w:tcPr>
            <w:tcW w:w="1394" w:type="pct"/>
            <w:shd w:val="clear" w:color="auto" w:fill="auto"/>
          </w:tcPr>
          <w:p w:rsidR="00EE1051" w:rsidRPr="00E106BD" w:rsidRDefault="00EE1051" w:rsidP="00F45B87">
            <w:pPr>
              <w:pStyle w:val="ENoteTableText"/>
              <w:keepNext/>
              <w:rPr>
                <w:b/>
              </w:rPr>
            </w:pPr>
            <w:r w:rsidRPr="00E106BD">
              <w:rPr>
                <w:b/>
              </w:rPr>
              <w:t>Schedule</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Schedule</w:t>
            </w:r>
            <w:r w:rsidR="00E106BD">
              <w:t> </w:t>
            </w:r>
            <w:r w:rsidRPr="00E106BD">
              <w:t>2</w:t>
            </w:r>
            <w:r w:rsidRPr="00E106BD">
              <w:tab/>
            </w:r>
          </w:p>
        </w:tc>
        <w:tc>
          <w:tcPr>
            <w:tcW w:w="3606" w:type="pct"/>
            <w:shd w:val="clear" w:color="auto" w:fill="auto"/>
          </w:tcPr>
          <w:p w:rsidR="00EE1051" w:rsidRPr="00E106BD" w:rsidRDefault="00EE1051" w:rsidP="004E4760">
            <w:pPr>
              <w:pStyle w:val="ENoteTableText"/>
            </w:pPr>
            <w:r w:rsidRPr="00E106BD">
              <w:t>am PB 122 of 2010; PB 34, 46, 53 and 69 of 2011; PB 5, 20, 31, 47, 76, 106 and 110 of 2012; PB 16 of 2013</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rs PB 63 of 2013</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pPr>
              <w:pStyle w:val="ENoteTableText"/>
            </w:pPr>
            <w:r w:rsidRPr="00E106BD">
              <w:t>am PB 11, 93 and 102 of 2014; PB 30, 72, 94 and 104 of 2015; PB 5, 22</w:t>
            </w:r>
            <w:r w:rsidR="00380746" w:rsidRPr="00E106BD">
              <w:t xml:space="preserve">, </w:t>
            </w:r>
            <w:r w:rsidRPr="00E106BD">
              <w:t>67</w:t>
            </w:r>
            <w:r w:rsidR="00116B9A" w:rsidRPr="00E106BD">
              <w:t>,</w:t>
            </w:r>
            <w:r w:rsidR="00380746" w:rsidRPr="00E106BD">
              <w:t xml:space="preserve"> 93</w:t>
            </w:r>
            <w:r w:rsidR="00116B9A" w:rsidRPr="00E106BD">
              <w:t xml:space="preserve"> and 113</w:t>
            </w:r>
            <w:r w:rsidRPr="00E106BD">
              <w:t xml:space="preserve"> of 2016</w:t>
            </w:r>
            <w:r w:rsidR="00DE1521" w:rsidRPr="00E106BD">
              <w:t>; PB 20 of 2017</w:t>
            </w:r>
          </w:p>
        </w:tc>
      </w:tr>
      <w:tr w:rsidR="001E38FA" w:rsidRPr="00E106BD" w:rsidTr="000C3959">
        <w:trPr>
          <w:cantSplit/>
        </w:trPr>
        <w:tc>
          <w:tcPr>
            <w:tcW w:w="1394" w:type="pct"/>
            <w:shd w:val="clear" w:color="auto" w:fill="auto"/>
          </w:tcPr>
          <w:p w:rsidR="001E38FA" w:rsidRPr="00E106BD" w:rsidRDefault="001E38FA" w:rsidP="004E4760">
            <w:pPr>
              <w:pStyle w:val="ENoteTableText"/>
              <w:tabs>
                <w:tab w:val="center" w:leader="dot" w:pos="2268"/>
              </w:tabs>
            </w:pPr>
          </w:p>
        </w:tc>
        <w:tc>
          <w:tcPr>
            <w:tcW w:w="3606" w:type="pct"/>
            <w:shd w:val="clear" w:color="auto" w:fill="auto"/>
          </w:tcPr>
          <w:p w:rsidR="001E38FA" w:rsidRPr="00E106BD" w:rsidRDefault="001E38FA">
            <w:pPr>
              <w:pStyle w:val="ENoteTableText"/>
            </w:pPr>
            <w:r w:rsidRPr="00E106BD">
              <w:t>rs PB 104 of 2017</w:t>
            </w:r>
          </w:p>
        </w:tc>
      </w:tr>
      <w:tr w:rsidR="006922CF" w:rsidRPr="00E106BD" w:rsidTr="000C3959">
        <w:trPr>
          <w:cantSplit/>
        </w:trPr>
        <w:tc>
          <w:tcPr>
            <w:tcW w:w="1394" w:type="pct"/>
            <w:shd w:val="clear" w:color="auto" w:fill="auto"/>
          </w:tcPr>
          <w:p w:rsidR="006922CF" w:rsidRPr="00E106BD" w:rsidRDefault="006922CF" w:rsidP="004E4760">
            <w:pPr>
              <w:pStyle w:val="ENoteTableText"/>
              <w:tabs>
                <w:tab w:val="center" w:leader="dot" w:pos="2268"/>
              </w:tabs>
            </w:pPr>
          </w:p>
        </w:tc>
        <w:tc>
          <w:tcPr>
            <w:tcW w:w="3606" w:type="pct"/>
            <w:shd w:val="clear" w:color="auto" w:fill="auto"/>
          </w:tcPr>
          <w:p w:rsidR="006922CF" w:rsidRPr="00E106BD" w:rsidRDefault="006922CF">
            <w:pPr>
              <w:pStyle w:val="ENoteTableText"/>
            </w:pPr>
            <w:r w:rsidRPr="00E106BD">
              <w:t>am PB 16 of 2018</w:t>
            </w:r>
            <w:r w:rsidR="00E707FE" w:rsidRPr="00E106BD">
              <w:t>; PB 22 of 2018</w:t>
            </w:r>
            <w:r w:rsidR="00DC58DA" w:rsidRPr="00E106BD">
              <w:t>; PB 40 of 2018</w:t>
            </w:r>
            <w:r w:rsidR="006706F0" w:rsidRPr="00E106BD">
              <w:t>; PB 85 of 2018</w:t>
            </w:r>
            <w:r w:rsidR="00EE4124" w:rsidRPr="00E106BD">
              <w:t>; PB 94 of 2018</w:t>
            </w:r>
            <w:r w:rsidR="00331071" w:rsidRPr="00E106BD">
              <w:t>; PB 102 of 2018</w:t>
            </w:r>
            <w:r w:rsidR="00746C08" w:rsidRPr="00E106BD">
              <w:t>; PB 111 of 2018</w:t>
            </w:r>
            <w:r w:rsidR="00B46184" w:rsidRPr="00E106BD">
              <w:t>; PB 3 of 2019</w:t>
            </w:r>
            <w:r w:rsidR="00AD42F5" w:rsidRPr="00E106BD">
              <w:t>; PB 31 of 2019</w:t>
            </w:r>
            <w:r w:rsidR="004F2C32" w:rsidRPr="00E106BD">
              <w:t>; PB 61 of 2019</w:t>
            </w:r>
            <w:r w:rsidR="007C0666" w:rsidRPr="00E106BD">
              <w:t>; PB 87 of 2019</w:t>
            </w:r>
            <w:r w:rsidR="005E25AF" w:rsidRPr="00E106BD">
              <w:t>; PB 95 of 2019</w:t>
            </w:r>
            <w:r w:rsidR="002E57A7" w:rsidRPr="00E106BD">
              <w:t>; PB 4 of 2020</w:t>
            </w:r>
            <w:r w:rsidR="0002451D" w:rsidRPr="00E106BD">
              <w:t>; PB 24 of 2020</w:t>
            </w:r>
            <w:r w:rsidR="00B807DA">
              <w:t>; PB 37 of 2020</w:t>
            </w:r>
            <w:r w:rsidR="006A0F1D">
              <w:t>;</w:t>
            </w:r>
            <w:r w:rsidR="00A22259">
              <w:t xml:space="preserve"> PB 72 of 2020</w:t>
            </w:r>
            <w:r w:rsidR="005C4E1C">
              <w:t>; PB 82 of 2020</w:t>
            </w:r>
          </w:p>
        </w:tc>
      </w:tr>
      <w:tr w:rsidR="00EE1051" w:rsidRPr="00E106BD" w:rsidTr="000C3959">
        <w:trPr>
          <w:cantSplit/>
        </w:trPr>
        <w:tc>
          <w:tcPr>
            <w:tcW w:w="1394" w:type="pct"/>
            <w:shd w:val="clear" w:color="auto" w:fill="auto"/>
          </w:tcPr>
          <w:p w:rsidR="00EE1051" w:rsidRPr="00E106BD" w:rsidRDefault="00EE1051" w:rsidP="00286F9A">
            <w:pPr>
              <w:pStyle w:val="ENoteTableText"/>
              <w:keepNext/>
            </w:pPr>
            <w:r w:rsidRPr="00E106BD">
              <w:rPr>
                <w:b/>
              </w:rPr>
              <w:t>Schedule</w:t>
            </w:r>
            <w:r w:rsidR="00E106BD">
              <w:rPr>
                <w:b/>
              </w:rPr>
              <w:t> </w:t>
            </w:r>
            <w:r w:rsidRPr="00E106BD">
              <w:rPr>
                <w:b/>
              </w:rPr>
              <w:t>3</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Schedule</w:t>
            </w:r>
            <w:r w:rsidR="00E106BD">
              <w:t> </w:t>
            </w:r>
            <w:r w:rsidRPr="00E106BD">
              <w:t>3</w:t>
            </w:r>
            <w:r w:rsidRPr="00E106BD">
              <w:tab/>
            </w:r>
          </w:p>
        </w:tc>
        <w:tc>
          <w:tcPr>
            <w:tcW w:w="3606" w:type="pct"/>
            <w:shd w:val="clear" w:color="auto" w:fill="auto"/>
          </w:tcPr>
          <w:p w:rsidR="00EE1051" w:rsidRPr="00E106BD" w:rsidRDefault="00EE1051" w:rsidP="001E2F13">
            <w:pPr>
              <w:pStyle w:val="ENoteTableText"/>
            </w:pPr>
            <w:r w:rsidRPr="00E106BD">
              <w:t xml:space="preserve">am PB 122 of 2010; PB 16, 28, 34, 38, 46, 62, 76, 86 and 99 of 2011; PB 5, 20, 31, 35, 39, 47 and 106 of 2012; PB 16, 56, 63, 70, 78 and 92 of 2013; PB 4, 20, 30, </w:t>
            </w:r>
            <w:r w:rsidR="00EF33E7" w:rsidRPr="00E106BD">
              <w:t>40, 48 and</w:t>
            </w:r>
            <w:r w:rsidRPr="00E106BD">
              <w:t xml:space="preserve"> 63 </w:t>
            </w:r>
            <w:r w:rsidR="00EF33E7" w:rsidRPr="00E106BD">
              <w:t>of 2014; PB</w:t>
            </w:r>
            <w:r w:rsidRPr="00E106BD">
              <w:t xml:space="preserve"> 93 of 2014</w:t>
            </w:r>
            <w:r w:rsidR="009172D1" w:rsidRPr="00E106BD">
              <w:t xml:space="preserve"> (Sch 1 item</w:t>
            </w:r>
            <w:r w:rsidR="00E106BD">
              <w:t> </w:t>
            </w:r>
            <w:r w:rsidR="009172D1" w:rsidRPr="00E106BD">
              <w:t>24 md)</w:t>
            </w:r>
            <w:r w:rsidRPr="00E106BD">
              <w:t>; PB 3, 30, 43, 50, 58, 72, 83</w:t>
            </w:r>
            <w:r w:rsidR="001E2F13" w:rsidRPr="00E106BD">
              <w:t xml:space="preserve">, </w:t>
            </w:r>
            <w:r w:rsidRPr="00E106BD">
              <w:t>94, 104, 111, 121 and 129 of 2015; PB 5, 13, 22, 33, 45, 55</w:t>
            </w:r>
            <w:r w:rsidR="005262A4" w:rsidRPr="00E106BD">
              <w:t>,</w:t>
            </w:r>
            <w:r w:rsidRPr="00E106BD">
              <w:t xml:space="preserve"> 67</w:t>
            </w:r>
            <w:r w:rsidR="00E225A4" w:rsidRPr="00E106BD">
              <w:t>, 76</w:t>
            </w:r>
            <w:r w:rsidR="00380746" w:rsidRPr="00E106BD">
              <w:t>,</w:t>
            </w:r>
            <w:r w:rsidR="00E225A4" w:rsidRPr="00E106BD">
              <w:t xml:space="preserve"> 84</w:t>
            </w:r>
            <w:r w:rsidR="00380746" w:rsidRPr="00E106BD">
              <w:t>, 93</w:t>
            </w:r>
            <w:r w:rsidR="00116B9A" w:rsidRPr="00E106BD">
              <w:t>,</w:t>
            </w:r>
            <w:r w:rsidR="00E225A4" w:rsidRPr="00E106BD">
              <w:t xml:space="preserve"> </w:t>
            </w:r>
            <w:r w:rsidR="00380746" w:rsidRPr="00E106BD">
              <w:t>100</w:t>
            </w:r>
            <w:r w:rsidR="00116B9A" w:rsidRPr="00E106BD">
              <w:t xml:space="preserve"> and 113</w:t>
            </w:r>
            <w:r w:rsidR="00380746" w:rsidRPr="00E106BD">
              <w:t xml:space="preserve"> </w:t>
            </w:r>
            <w:r w:rsidRPr="00E106BD">
              <w:t>of 2016</w:t>
            </w:r>
            <w:r w:rsidR="00C0284F" w:rsidRPr="00E106BD">
              <w:t>; PB 5</w:t>
            </w:r>
            <w:r w:rsidR="00FD24F8" w:rsidRPr="00E106BD">
              <w:t xml:space="preserve"> </w:t>
            </w:r>
            <w:r w:rsidR="008809DA" w:rsidRPr="00E106BD">
              <w:t>of 2017; PB</w:t>
            </w:r>
            <w:r w:rsidR="00FD24F8" w:rsidRPr="00E106BD">
              <w:t xml:space="preserve"> 30</w:t>
            </w:r>
            <w:r w:rsidR="00C0284F" w:rsidRPr="00E106BD">
              <w:t xml:space="preserve"> of 2017</w:t>
            </w:r>
            <w:r w:rsidR="009172D1" w:rsidRPr="00E106BD">
              <w:t>; PB 39 of 2017</w:t>
            </w:r>
            <w:r w:rsidR="00941BCE" w:rsidRPr="00E106BD">
              <w:t>; PB 47 of 2017</w:t>
            </w:r>
            <w:r w:rsidR="00647465" w:rsidRPr="00E106BD">
              <w:t>; PB 57 of 2017</w:t>
            </w:r>
            <w:r w:rsidR="00B93540" w:rsidRPr="00E106BD">
              <w:t>; PB 66 of 2017</w:t>
            </w:r>
            <w:r w:rsidR="00A8531D" w:rsidRPr="00E106BD">
              <w:t>; PB 75 of 2017</w:t>
            </w:r>
            <w:r w:rsidR="00141A4D" w:rsidRPr="00E106BD">
              <w:t>; PB 88 of 2017</w:t>
            </w:r>
            <w:r w:rsidR="001F7C05" w:rsidRPr="00E106BD">
              <w:t>; PB 95 of 2017</w:t>
            </w:r>
            <w:r w:rsidR="001E38FA" w:rsidRPr="00E106BD">
              <w:t>; PB 104 of 2017</w:t>
            </w:r>
            <w:r w:rsidR="0028146E" w:rsidRPr="00E106BD">
              <w:t>; PB 6 of 2018</w:t>
            </w:r>
            <w:r w:rsidR="006922CF" w:rsidRPr="00E106BD">
              <w:t>; PB 16 of 2018</w:t>
            </w:r>
            <w:r w:rsidR="00E707FE" w:rsidRPr="00E106BD">
              <w:t>; PB 22 of 2018</w:t>
            </w:r>
            <w:r w:rsidR="00DC58DA" w:rsidRPr="00E106BD">
              <w:t>; PB 40 of 2018</w:t>
            </w:r>
          </w:p>
        </w:tc>
      </w:tr>
      <w:tr w:rsidR="00913F82" w:rsidRPr="00E106BD" w:rsidTr="000C3959">
        <w:trPr>
          <w:cantSplit/>
        </w:trPr>
        <w:tc>
          <w:tcPr>
            <w:tcW w:w="1394" w:type="pct"/>
            <w:shd w:val="clear" w:color="auto" w:fill="auto"/>
          </w:tcPr>
          <w:p w:rsidR="00913F82" w:rsidRPr="00E106BD" w:rsidRDefault="00913F82" w:rsidP="004E4760">
            <w:pPr>
              <w:pStyle w:val="ENoteTableText"/>
              <w:tabs>
                <w:tab w:val="center" w:leader="dot" w:pos="2268"/>
              </w:tabs>
            </w:pPr>
          </w:p>
        </w:tc>
        <w:tc>
          <w:tcPr>
            <w:tcW w:w="3606" w:type="pct"/>
            <w:shd w:val="clear" w:color="auto" w:fill="auto"/>
          </w:tcPr>
          <w:p w:rsidR="00913F82" w:rsidRPr="00E106BD" w:rsidRDefault="00913F82" w:rsidP="001E2F13">
            <w:pPr>
              <w:pStyle w:val="ENoteTableText"/>
            </w:pPr>
            <w:r w:rsidRPr="00E106BD">
              <w:t>ed C82</w:t>
            </w:r>
          </w:p>
        </w:tc>
      </w:tr>
      <w:tr w:rsidR="006E4038" w:rsidRPr="00E106BD" w:rsidTr="000C3959">
        <w:trPr>
          <w:cantSplit/>
        </w:trPr>
        <w:tc>
          <w:tcPr>
            <w:tcW w:w="1394" w:type="pct"/>
            <w:shd w:val="clear" w:color="auto" w:fill="auto"/>
          </w:tcPr>
          <w:p w:rsidR="006E4038" w:rsidRPr="00E106BD" w:rsidRDefault="006E4038" w:rsidP="004E4760">
            <w:pPr>
              <w:pStyle w:val="ENoteTableText"/>
              <w:tabs>
                <w:tab w:val="center" w:leader="dot" w:pos="2268"/>
              </w:tabs>
            </w:pPr>
          </w:p>
        </w:tc>
        <w:tc>
          <w:tcPr>
            <w:tcW w:w="3606" w:type="pct"/>
            <w:shd w:val="clear" w:color="auto" w:fill="auto"/>
          </w:tcPr>
          <w:p w:rsidR="006E4038" w:rsidRPr="00E106BD" w:rsidRDefault="006E4038" w:rsidP="001E2F13">
            <w:pPr>
              <w:pStyle w:val="ENoteTableText"/>
            </w:pPr>
            <w:r w:rsidRPr="00E106BD">
              <w:t>am PB 54 of 2018</w:t>
            </w:r>
            <w:r w:rsidR="000B24F6" w:rsidRPr="00E106BD">
              <w:t>; PB 67 of 2018</w:t>
            </w:r>
            <w:r w:rsidR="00121D47" w:rsidRPr="00E106BD">
              <w:t>; PB 77 of 2018</w:t>
            </w:r>
            <w:r w:rsidR="006706F0" w:rsidRPr="00E106BD">
              <w:t>; PB 85 of 2018</w:t>
            </w:r>
            <w:r w:rsidR="00EE4124" w:rsidRPr="00E106BD">
              <w:t>; PB 94 of 2018</w:t>
            </w:r>
            <w:r w:rsidR="00331071" w:rsidRPr="00E106BD">
              <w:t>; PB 102 of 2018</w:t>
            </w:r>
            <w:r w:rsidR="00746C08" w:rsidRPr="00E106BD">
              <w:t>; PB 111 of 2018</w:t>
            </w:r>
            <w:r w:rsidR="00B46184" w:rsidRPr="00E106BD">
              <w:t>; PB 3 of 2019</w:t>
            </w:r>
            <w:r w:rsidR="00F6296F" w:rsidRPr="00E106BD">
              <w:t>; PB 13 of 2019</w:t>
            </w:r>
            <w:r w:rsidR="006A0EA5" w:rsidRPr="00E106BD">
              <w:t>; PB 20 of 2019</w:t>
            </w:r>
            <w:r w:rsidR="00AD42F5" w:rsidRPr="00E106BD">
              <w:t>; PB 31 of 2019</w:t>
            </w:r>
            <w:r w:rsidR="00054366" w:rsidRPr="00E106BD">
              <w:t>; PB 48 of 2019</w:t>
            </w:r>
          </w:p>
        </w:tc>
      </w:tr>
      <w:tr w:rsidR="00E60181" w:rsidRPr="00E106BD" w:rsidTr="000C3959">
        <w:trPr>
          <w:cantSplit/>
        </w:trPr>
        <w:tc>
          <w:tcPr>
            <w:tcW w:w="1394" w:type="pct"/>
            <w:shd w:val="clear" w:color="auto" w:fill="auto"/>
          </w:tcPr>
          <w:p w:rsidR="00E60181" w:rsidRPr="00E106BD" w:rsidRDefault="00E60181" w:rsidP="004E4760">
            <w:pPr>
              <w:pStyle w:val="ENoteTableText"/>
              <w:tabs>
                <w:tab w:val="center" w:leader="dot" w:pos="2268"/>
              </w:tabs>
            </w:pPr>
          </w:p>
        </w:tc>
        <w:tc>
          <w:tcPr>
            <w:tcW w:w="3606" w:type="pct"/>
            <w:shd w:val="clear" w:color="auto" w:fill="auto"/>
          </w:tcPr>
          <w:p w:rsidR="00E60181" w:rsidRPr="00E106BD" w:rsidRDefault="00E60181" w:rsidP="001E2F13">
            <w:pPr>
              <w:pStyle w:val="ENoteTableText"/>
            </w:pPr>
            <w:r w:rsidRPr="00E106BD">
              <w:t>ed C96</w:t>
            </w:r>
          </w:p>
        </w:tc>
      </w:tr>
      <w:tr w:rsidR="00007680" w:rsidRPr="00E106BD" w:rsidTr="000C3959">
        <w:trPr>
          <w:cantSplit/>
        </w:trPr>
        <w:tc>
          <w:tcPr>
            <w:tcW w:w="1394" w:type="pct"/>
            <w:shd w:val="clear" w:color="auto" w:fill="auto"/>
          </w:tcPr>
          <w:p w:rsidR="00007680" w:rsidRPr="00E106BD" w:rsidRDefault="00007680" w:rsidP="004E4760">
            <w:pPr>
              <w:pStyle w:val="ENoteTableText"/>
              <w:tabs>
                <w:tab w:val="center" w:leader="dot" w:pos="2268"/>
              </w:tabs>
            </w:pPr>
          </w:p>
        </w:tc>
        <w:tc>
          <w:tcPr>
            <w:tcW w:w="3606" w:type="pct"/>
            <w:shd w:val="clear" w:color="auto" w:fill="auto"/>
          </w:tcPr>
          <w:p w:rsidR="00007680" w:rsidRPr="00E106BD" w:rsidRDefault="00007680" w:rsidP="001E2F13">
            <w:pPr>
              <w:pStyle w:val="ENoteTableText"/>
            </w:pPr>
            <w:r w:rsidRPr="00E106BD">
              <w:t>am PB 61 of 2019</w:t>
            </w:r>
            <w:r w:rsidR="003340D9" w:rsidRPr="00E106BD">
              <w:t>; PB 70 of 2019</w:t>
            </w:r>
            <w:r w:rsidR="00E86CB0" w:rsidRPr="00E106BD">
              <w:t>; PB 78 of 2019</w:t>
            </w:r>
            <w:r w:rsidR="002733AC" w:rsidRPr="00E106BD">
              <w:t xml:space="preserve"> (Sch 1 par 46(a) md not incorp)</w:t>
            </w:r>
          </w:p>
        </w:tc>
      </w:tr>
      <w:tr w:rsidR="0047380D" w:rsidRPr="00E106BD" w:rsidTr="000C3959">
        <w:trPr>
          <w:cantSplit/>
        </w:trPr>
        <w:tc>
          <w:tcPr>
            <w:tcW w:w="1394" w:type="pct"/>
            <w:shd w:val="clear" w:color="auto" w:fill="auto"/>
          </w:tcPr>
          <w:p w:rsidR="0047380D" w:rsidRPr="00E106BD" w:rsidRDefault="0047380D" w:rsidP="004E4760">
            <w:pPr>
              <w:pStyle w:val="ENoteTableText"/>
              <w:tabs>
                <w:tab w:val="center" w:leader="dot" w:pos="2268"/>
              </w:tabs>
            </w:pPr>
          </w:p>
        </w:tc>
        <w:tc>
          <w:tcPr>
            <w:tcW w:w="3606" w:type="pct"/>
            <w:shd w:val="clear" w:color="auto" w:fill="auto"/>
          </w:tcPr>
          <w:p w:rsidR="0047380D" w:rsidRPr="00E106BD" w:rsidRDefault="0047380D" w:rsidP="001E2F13">
            <w:pPr>
              <w:pStyle w:val="ENoteTableText"/>
            </w:pPr>
            <w:r w:rsidRPr="00E106BD">
              <w:t>ed C99</w:t>
            </w:r>
          </w:p>
        </w:tc>
      </w:tr>
      <w:tr w:rsidR="007C0666" w:rsidRPr="00E106BD" w:rsidTr="000C3959">
        <w:trPr>
          <w:cantSplit/>
        </w:trPr>
        <w:tc>
          <w:tcPr>
            <w:tcW w:w="1394" w:type="pct"/>
            <w:shd w:val="clear" w:color="auto" w:fill="auto"/>
          </w:tcPr>
          <w:p w:rsidR="007C0666" w:rsidRPr="00E106BD" w:rsidRDefault="007C0666" w:rsidP="004E4760">
            <w:pPr>
              <w:pStyle w:val="ENoteTableText"/>
              <w:tabs>
                <w:tab w:val="center" w:leader="dot" w:pos="2268"/>
              </w:tabs>
            </w:pPr>
          </w:p>
        </w:tc>
        <w:tc>
          <w:tcPr>
            <w:tcW w:w="3606" w:type="pct"/>
            <w:shd w:val="clear" w:color="auto" w:fill="auto"/>
          </w:tcPr>
          <w:p w:rsidR="007C0666" w:rsidRPr="00E106BD" w:rsidRDefault="007C0666" w:rsidP="001E2F13">
            <w:pPr>
              <w:pStyle w:val="ENoteTableText"/>
            </w:pPr>
            <w:r w:rsidRPr="00E106BD">
              <w:t>am PB 87 of 2019</w:t>
            </w:r>
            <w:r w:rsidR="005E25AF" w:rsidRPr="00E106BD">
              <w:t>; PB 95 of 2019</w:t>
            </w:r>
            <w:r w:rsidR="00BF0440" w:rsidRPr="00E106BD">
              <w:t>; PB 106 of 2019</w:t>
            </w:r>
            <w:r w:rsidR="002E57A7" w:rsidRPr="00E106BD">
              <w:t>; PB 4 of 2020</w:t>
            </w:r>
            <w:r w:rsidR="006A1218" w:rsidRPr="00E106BD">
              <w:t>; PB 17 of 2020</w:t>
            </w:r>
            <w:r w:rsidR="00F92A6B" w:rsidRPr="00E106BD">
              <w:t>; PB 24 of 2020</w:t>
            </w:r>
            <w:r w:rsidR="00B807DA">
              <w:t>; PB 37 of 2020</w:t>
            </w:r>
          </w:p>
        </w:tc>
      </w:tr>
      <w:tr w:rsidR="00D056E5" w:rsidRPr="00E106BD" w:rsidTr="000C3959">
        <w:trPr>
          <w:cantSplit/>
        </w:trPr>
        <w:tc>
          <w:tcPr>
            <w:tcW w:w="1394" w:type="pct"/>
            <w:shd w:val="clear" w:color="auto" w:fill="auto"/>
          </w:tcPr>
          <w:p w:rsidR="00D056E5" w:rsidRPr="00E106BD" w:rsidRDefault="00D056E5" w:rsidP="004E4760">
            <w:pPr>
              <w:pStyle w:val="ENoteTableText"/>
              <w:tabs>
                <w:tab w:val="center" w:leader="dot" w:pos="2268"/>
              </w:tabs>
            </w:pPr>
          </w:p>
        </w:tc>
        <w:tc>
          <w:tcPr>
            <w:tcW w:w="3606" w:type="pct"/>
            <w:shd w:val="clear" w:color="auto" w:fill="auto"/>
          </w:tcPr>
          <w:p w:rsidR="00D056E5" w:rsidRPr="00E106BD" w:rsidRDefault="00D056E5" w:rsidP="001E2F13">
            <w:pPr>
              <w:pStyle w:val="ENoteTableText"/>
            </w:pPr>
            <w:r>
              <w:t>ed C106</w:t>
            </w:r>
          </w:p>
        </w:tc>
      </w:tr>
      <w:tr w:rsidR="008B7F12" w:rsidRPr="00E106BD" w:rsidTr="000C3959">
        <w:trPr>
          <w:cantSplit/>
        </w:trPr>
        <w:tc>
          <w:tcPr>
            <w:tcW w:w="1394" w:type="pct"/>
            <w:shd w:val="clear" w:color="auto" w:fill="auto"/>
          </w:tcPr>
          <w:p w:rsidR="008B7F12" w:rsidRPr="00E106BD" w:rsidRDefault="008B7F12" w:rsidP="004E4760">
            <w:pPr>
              <w:pStyle w:val="ENoteTableText"/>
              <w:tabs>
                <w:tab w:val="center" w:leader="dot" w:pos="2268"/>
              </w:tabs>
            </w:pPr>
          </w:p>
        </w:tc>
        <w:tc>
          <w:tcPr>
            <w:tcW w:w="3606" w:type="pct"/>
            <w:shd w:val="clear" w:color="auto" w:fill="auto"/>
          </w:tcPr>
          <w:p w:rsidR="008B7F12" w:rsidRDefault="008B7F12" w:rsidP="001E2F13">
            <w:pPr>
              <w:pStyle w:val="ENoteTableText"/>
            </w:pPr>
            <w:r>
              <w:t>am PB 46 of 2020</w:t>
            </w:r>
            <w:r w:rsidR="006A0F1D">
              <w:t>;</w:t>
            </w:r>
            <w:r w:rsidR="00A22259">
              <w:t xml:space="preserve"> PB 72 of 2020</w:t>
            </w:r>
            <w:r w:rsidR="005C4E1C">
              <w:t>; PB 82 of 2020</w:t>
            </w:r>
            <w:r w:rsidR="005C4963">
              <w:t xml:space="preserve">; </w:t>
            </w:r>
            <w:r w:rsidR="005C4963" w:rsidRPr="00E0263E">
              <w:t>PB 93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rPr>
                <w:b/>
              </w:rPr>
            </w:pPr>
            <w:r w:rsidRPr="00E106BD">
              <w:rPr>
                <w:b/>
              </w:rPr>
              <w:t>Part</w:t>
            </w:r>
            <w:r w:rsidR="00E106BD">
              <w:rPr>
                <w:b/>
              </w:rPr>
              <w:t> </w:t>
            </w:r>
            <w:r w:rsidRPr="00E106BD">
              <w:rPr>
                <w:b/>
              </w:rPr>
              <w:t>1</w:t>
            </w:r>
          </w:p>
        </w:tc>
        <w:tc>
          <w:tcPr>
            <w:tcW w:w="3606" w:type="pct"/>
            <w:shd w:val="clear" w:color="auto" w:fill="auto"/>
          </w:tcPr>
          <w:p w:rsidR="00EE1051" w:rsidRPr="00E106BD" w:rsidRDefault="00EE1051" w:rsidP="00FB521C">
            <w:pPr>
              <w:pStyle w:val="ENoteTableText"/>
            </w:pPr>
          </w:p>
        </w:tc>
      </w:tr>
      <w:tr w:rsidR="00F92A6B" w:rsidRPr="00E106BD" w:rsidTr="000C3959">
        <w:trPr>
          <w:cantSplit/>
        </w:trPr>
        <w:tc>
          <w:tcPr>
            <w:tcW w:w="1394" w:type="pct"/>
            <w:shd w:val="clear" w:color="auto" w:fill="auto"/>
          </w:tcPr>
          <w:p w:rsidR="00F92A6B" w:rsidRPr="00E106BD" w:rsidRDefault="00F92A6B" w:rsidP="00F1386F">
            <w:pPr>
              <w:pStyle w:val="ENoteTableText"/>
              <w:tabs>
                <w:tab w:val="center" w:leader="dot" w:pos="2268"/>
              </w:tabs>
            </w:pPr>
            <w:r w:rsidRPr="00E106BD">
              <w:t>Part</w:t>
            </w:r>
            <w:r w:rsidR="00E106BD">
              <w:t> </w:t>
            </w:r>
            <w:r w:rsidRPr="00E106BD">
              <w:t>1</w:t>
            </w:r>
            <w:r w:rsidRPr="00E106BD">
              <w:tab/>
            </w:r>
          </w:p>
        </w:tc>
        <w:tc>
          <w:tcPr>
            <w:tcW w:w="3606" w:type="pct"/>
            <w:shd w:val="clear" w:color="auto" w:fill="auto"/>
          </w:tcPr>
          <w:p w:rsidR="00F92A6B" w:rsidRPr="00E106BD" w:rsidRDefault="00F92A6B" w:rsidP="00FB521C">
            <w:pPr>
              <w:pStyle w:val="ENoteTableText"/>
            </w:pPr>
            <w:r w:rsidRPr="00E106BD">
              <w:t>rs PB 24 of 2020</w:t>
            </w:r>
          </w:p>
        </w:tc>
      </w:tr>
      <w:tr w:rsidR="00EE1051" w:rsidRPr="00E106BD" w:rsidTr="000C3959">
        <w:trPr>
          <w:cantSplit/>
        </w:trPr>
        <w:tc>
          <w:tcPr>
            <w:tcW w:w="1394" w:type="pct"/>
            <w:shd w:val="clear" w:color="auto" w:fill="auto"/>
          </w:tcPr>
          <w:p w:rsidR="00EE1051" w:rsidRPr="00E106BD" w:rsidRDefault="00BC61B0" w:rsidP="00F1386F">
            <w:pPr>
              <w:pStyle w:val="ENoteTableText"/>
              <w:tabs>
                <w:tab w:val="center" w:leader="dot" w:pos="2268"/>
              </w:tabs>
            </w:pPr>
            <w:r w:rsidRPr="00E106BD">
              <w:t xml:space="preserve">c </w:t>
            </w:r>
            <w:r w:rsidR="00EE1051" w:rsidRPr="00E106BD">
              <w:t>1</w:t>
            </w:r>
            <w:r w:rsidR="00EE1051" w:rsidRPr="00E106BD">
              <w:tab/>
            </w:r>
          </w:p>
        </w:tc>
        <w:tc>
          <w:tcPr>
            <w:tcW w:w="3606" w:type="pct"/>
            <w:shd w:val="clear" w:color="auto" w:fill="auto"/>
          </w:tcPr>
          <w:p w:rsidR="00EE1051" w:rsidRPr="00E106BD" w:rsidRDefault="00EE1051" w:rsidP="00FB521C">
            <w:pPr>
              <w:pStyle w:val="ENoteTableText"/>
            </w:pPr>
            <w:r w:rsidRPr="00E106BD">
              <w:t>ad PB 13 of 2016</w:t>
            </w:r>
          </w:p>
        </w:tc>
      </w:tr>
      <w:tr w:rsidR="00116B9A" w:rsidRPr="00E106BD" w:rsidTr="000C3959">
        <w:trPr>
          <w:cantSplit/>
        </w:trPr>
        <w:tc>
          <w:tcPr>
            <w:tcW w:w="1394" w:type="pct"/>
            <w:shd w:val="clear" w:color="auto" w:fill="auto"/>
          </w:tcPr>
          <w:p w:rsidR="00116B9A" w:rsidRPr="00E106BD" w:rsidRDefault="00116B9A" w:rsidP="00F1386F">
            <w:pPr>
              <w:pStyle w:val="ENoteTableText"/>
              <w:tabs>
                <w:tab w:val="center" w:leader="dot" w:pos="2268"/>
              </w:tabs>
            </w:pPr>
          </w:p>
        </w:tc>
        <w:tc>
          <w:tcPr>
            <w:tcW w:w="3606" w:type="pct"/>
            <w:shd w:val="clear" w:color="auto" w:fill="auto"/>
          </w:tcPr>
          <w:p w:rsidR="00116B9A" w:rsidRPr="00E106BD" w:rsidRDefault="00116B9A" w:rsidP="00FB521C">
            <w:pPr>
              <w:pStyle w:val="ENoteTableText"/>
            </w:pPr>
            <w:r w:rsidRPr="00E106BD">
              <w:t>rs PB 113 of 2016</w:t>
            </w:r>
            <w:r w:rsidR="009172D1" w:rsidRPr="00E106BD">
              <w:t>; PB 39 of 2017</w:t>
            </w:r>
            <w:r w:rsidR="004F226C" w:rsidRPr="00E106BD">
              <w:t xml:space="preserve">; </w:t>
            </w:r>
            <w:r w:rsidR="00F92A6B" w:rsidRPr="00E106BD">
              <w:t>PB 24 of 2020</w:t>
            </w:r>
          </w:p>
        </w:tc>
      </w:tr>
      <w:tr w:rsidR="00EE1051" w:rsidRPr="00E106BD" w:rsidTr="000C3959">
        <w:trPr>
          <w:cantSplit/>
        </w:trPr>
        <w:tc>
          <w:tcPr>
            <w:tcW w:w="1394" w:type="pct"/>
            <w:shd w:val="clear" w:color="auto" w:fill="auto"/>
          </w:tcPr>
          <w:p w:rsidR="00EE1051" w:rsidRPr="00E106BD" w:rsidRDefault="00BC61B0" w:rsidP="00F1386F">
            <w:pPr>
              <w:pStyle w:val="ENoteTableText"/>
              <w:tabs>
                <w:tab w:val="center" w:leader="dot" w:pos="2268"/>
              </w:tabs>
            </w:pPr>
            <w:r w:rsidRPr="00E106BD">
              <w:t xml:space="preserve">c </w:t>
            </w:r>
            <w:r w:rsidR="00EE1051" w:rsidRPr="00E106BD">
              <w:t>2</w:t>
            </w:r>
            <w:r w:rsidR="00EE1051" w:rsidRPr="00E106BD">
              <w:tab/>
            </w:r>
          </w:p>
        </w:tc>
        <w:tc>
          <w:tcPr>
            <w:tcW w:w="3606" w:type="pct"/>
            <w:shd w:val="clear" w:color="auto" w:fill="auto"/>
          </w:tcPr>
          <w:p w:rsidR="00EE1051" w:rsidRPr="00E106BD" w:rsidRDefault="00EE1051" w:rsidP="00FB521C">
            <w:pPr>
              <w:pStyle w:val="ENoteTableText"/>
            </w:pPr>
            <w:r w:rsidRPr="00E106BD">
              <w:t>ad PB 13 of 2016</w:t>
            </w:r>
          </w:p>
        </w:tc>
      </w:tr>
      <w:tr w:rsidR="00116B9A" w:rsidRPr="00E106BD" w:rsidTr="000C3959">
        <w:trPr>
          <w:cantSplit/>
        </w:trPr>
        <w:tc>
          <w:tcPr>
            <w:tcW w:w="1394" w:type="pct"/>
            <w:shd w:val="clear" w:color="auto" w:fill="auto"/>
          </w:tcPr>
          <w:p w:rsidR="00116B9A" w:rsidRPr="00E106BD" w:rsidRDefault="00116B9A" w:rsidP="00F1386F">
            <w:pPr>
              <w:pStyle w:val="ENoteTableText"/>
              <w:tabs>
                <w:tab w:val="center" w:leader="dot" w:pos="2268"/>
              </w:tabs>
            </w:pPr>
          </w:p>
        </w:tc>
        <w:tc>
          <w:tcPr>
            <w:tcW w:w="3606" w:type="pct"/>
            <w:shd w:val="clear" w:color="auto" w:fill="auto"/>
          </w:tcPr>
          <w:p w:rsidR="00116B9A" w:rsidRPr="00E106BD" w:rsidRDefault="00116B9A" w:rsidP="00FB521C">
            <w:pPr>
              <w:pStyle w:val="ENoteTableText"/>
            </w:pPr>
            <w:r w:rsidRPr="00E106BD">
              <w:t>rs PB 113 of 2016</w:t>
            </w:r>
            <w:r w:rsidR="00F92A6B" w:rsidRPr="00E106BD">
              <w:t>; PB 24 of 2020</w:t>
            </w:r>
          </w:p>
        </w:tc>
      </w:tr>
      <w:tr w:rsidR="00EE1051" w:rsidRPr="00E106BD" w:rsidTr="000C3959">
        <w:trPr>
          <w:cantSplit/>
        </w:trPr>
        <w:tc>
          <w:tcPr>
            <w:tcW w:w="1394" w:type="pct"/>
            <w:shd w:val="clear" w:color="auto" w:fill="auto"/>
          </w:tcPr>
          <w:p w:rsidR="00EE1051" w:rsidRPr="00E106BD" w:rsidRDefault="00BC61B0" w:rsidP="00F1386F">
            <w:pPr>
              <w:pStyle w:val="ENoteTableText"/>
              <w:tabs>
                <w:tab w:val="center" w:leader="dot" w:pos="2268"/>
              </w:tabs>
            </w:pPr>
            <w:r w:rsidRPr="00E106BD">
              <w:t xml:space="preserve">c </w:t>
            </w:r>
            <w:r w:rsidR="00EE1051" w:rsidRPr="00E106BD">
              <w:t>3</w:t>
            </w:r>
            <w:r w:rsidR="00EE1051" w:rsidRPr="00E106BD">
              <w:tab/>
            </w:r>
          </w:p>
        </w:tc>
        <w:tc>
          <w:tcPr>
            <w:tcW w:w="3606" w:type="pct"/>
            <w:shd w:val="clear" w:color="auto" w:fill="auto"/>
          </w:tcPr>
          <w:p w:rsidR="00EE1051" w:rsidRPr="00E106BD" w:rsidRDefault="00EE1051" w:rsidP="00FB521C">
            <w:pPr>
              <w:pStyle w:val="ENoteTableText"/>
            </w:pPr>
            <w:r w:rsidRPr="00E106BD">
              <w:t>ad PB 13 of 2016</w:t>
            </w:r>
          </w:p>
        </w:tc>
      </w:tr>
      <w:tr w:rsidR="00116B9A" w:rsidRPr="00E106BD" w:rsidTr="000C3959">
        <w:trPr>
          <w:cantSplit/>
        </w:trPr>
        <w:tc>
          <w:tcPr>
            <w:tcW w:w="1394" w:type="pct"/>
            <w:shd w:val="clear" w:color="auto" w:fill="auto"/>
          </w:tcPr>
          <w:p w:rsidR="00116B9A" w:rsidRPr="00E106BD" w:rsidRDefault="00116B9A" w:rsidP="00F1386F">
            <w:pPr>
              <w:pStyle w:val="ENoteTableText"/>
              <w:tabs>
                <w:tab w:val="center" w:leader="dot" w:pos="2268"/>
              </w:tabs>
            </w:pPr>
          </w:p>
        </w:tc>
        <w:tc>
          <w:tcPr>
            <w:tcW w:w="3606" w:type="pct"/>
            <w:shd w:val="clear" w:color="auto" w:fill="auto"/>
          </w:tcPr>
          <w:p w:rsidR="00116B9A" w:rsidRPr="00E106BD" w:rsidRDefault="00116B9A" w:rsidP="00FB521C">
            <w:pPr>
              <w:pStyle w:val="ENoteTableText"/>
            </w:pPr>
            <w:r w:rsidRPr="00E106BD">
              <w:t>rs PB 113 of 2016</w:t>
            </w:r>
          </w:p>
        </w:tc>
      </w:tr>
      <w:tr w:rsidR="00C0284F" w:rsidRPr="00E106BD" w:rsidTr="000C3959">
        <w:trPr>
          <w:cantSplit/>
        </w:trPr>
        <w:tc>
          <w:tcPr>
            <w:tcW w:w="1394" w:type="pct"/>
            <w:shd w:val="clear" w:color="auto" w:fill="auto"/>
          </w:tcPr>
          <w:p w:rsidR="00C0284F" w:rsidRPr="00E106BD" w:rsidRDefault="00C0284F" w:rsidP="00F1386F">
            <w:pPr>
              <w:pStyle w:val="ENoteTableText"/>
              <w:tabs>
                <w:tab w:val="center" w:leader="dot" w:pos="2268"/>
              </w:tabs>
            </w:pPr>
          </w:p>
        </w:tc>
        <w:tc>
          <w:tcPr>
            <w:tcW w:w="3606" w:type="pct"/>
            <w:shd w:val="clear" w:color="auto" w:fill="auto"/>
          </w:tcPr>
          <w:p w:rsidR="00C0284F" w:rsidRPr="00E106BD" w:rsidRDefault="00C0284F" w:rsidP="00604274">
            <w:pPr>
              <w:pStyle w:val="ENoteTableText"/>
            </w:pPr>
            <w:r w:rsidRPr="00E106BD">
              <w:t>am PB 5 of 2017</w:t>
            </w:r>
            <w:r w:rsidR="00B93540" w:rsidRPr="00E106BD">
              <w:t>; PB 66 of 2017</w:t>
            </w:r>
            <w:r w:rsidR="00A8531D" w:rsidRPr="00E106BD">
              <w:t>; PB 75 of 2017</w:t>
            </w:r>
            <w:r w:rsidR="00571210" w:rsidRPr="00E106BD">
              <w:t>; PB 77 of 2018</w:t>
            </w:r>
          </w:p>
        </w:tc>
      </w:tr>
      <w:tr w:rsidR="00571210" w:rsidRPr="00E106BD" w:rsidTr="000C3959">
        <w:trPr>
          <w:cantSplit/>
        </w:trPr>
        <w:tc>
          <w:tcPr>
            <w:tcW w:w="1394" w:type="pct"/>
            <w:shd w:val="clear" w:color="auto" w:fill="auto"/>
          </w:tcPr>
          <w:p w:rsidR="00571210" w:rsidRPr="00E106BD" w:rsidRDefault="00571210" w:rsidP="00F1386F">
            <w:pPr>
              <w:pStyle w:val="ENoteTableText"/>
              <w:tabs>
                <w:tab w:val="center" w:leader="dot" w:pos="2268"/>
              </w:tabs>
            </w:pPr>
          </w:p>
        </w:tc>
        <w:tc>
          <w:tcPr>
            <w:tcW w:w="3606" w:type="pct"/>
            <w:shd w:val="clear" w:color="auto" w:fill="auto"/>
          </w:tcPr>
          <w:p w:rsidR="00571210" w:rsidRPr="00E106BD" w:rsidRDefault="00571210" w:rsidP="00604274">
            <w:pPr>
              <w:pStyle w:val="ENoteTableText"/>
            </w:pPr>
            <w:r w:rsidRPr="00E106BD">
              <w:t>ed C85</w:t>
            </w:r>
          </w:p>
        </w:tc>
      </w:tr>
      <w:tr w:rsidR="008611DC" w:rsidRPr="00E106BD" w:rsidTr="000C3959">
        <w:trPr>
          <w:cantSplit/>
        </w:trPr>
        <w:tc>
          <w:tcPr>
            <w:tcW w:w="1394" w:type="pct"/>
            <w:shd w:val="clear" w:color="auto" w:fill="auto"/>
          </w:tcPr>
          <w:p w:rsidR="008611DC" w:rsidRPr="00E106BD" w:rsidRDefault="008611DC" w:rsidP="00F1386F">
            <w:pPr>
              <w:pStyle w:val="ENoteTableText"/>
              <w:tabs>
                <w:tab w:val="center" w:leader="dot" w:pos="2268"/>
              </w:tabs>
            </w:pPr>
          </w:p>
        </w:tc>
        <w:tc>
          <w:tcPr>
            <w:tcW w:w="3606" w:type="pct"/>
            <w:shd w:val="clear" w:color="auto" w:fill="auto"/>
          </w:tcPr>
          <w:p w:rsidR="008611DC" w:rsidRPr="00E106BD" w:rsidRDefault="00A13957" w:rsidP="00604274">
            <w:pPr>
              <w:pStyle w:val="ENoteTableText"/>
            </w:pPr>
            <w:r w:rsidRPr="00E106BD">
              <w:t xml:space="preserve">am </w:t>
            </w:r>
            <w:r w:rsidR="008611DC" w:rsidRPr="00E106BD">
              <w:t>PB 3 of 2019</w:t>
            </w:r>
          </w:p>
        </w:tc>
      </w:tr>
      <w:tr w:rsidR="00FA4440" w:rsidRPr="00E106BD" w:rsidTr="009B0F83">
        <w:trPr>
          <w:cantSplit/>
        </w:trPr>
        <w:tc>
          <w:tcPr>
            <w:tcW w:w="1394" w:type="pct"/>
            <w:shd w:val="clear" w:color="auto" w:fill="auto"/>
          </w:tcPr>
          <w:p w:rsidR="00FA4440" w:rsidRPr="00E106BD" w:rsidRDefault="00FA4440" w:rsidP="009B0F83">
            <w:pPr>
              <w:pStyle w:val="ENoteTableText"/>
              <w:tabs>
                <w:tab w:val="center" w:leader="dot" w:pos="2268"/>
              </w:tabs>
            </w:pPr>
          </w:p>
        </w:tc>
        <w:tc>
          <w:tcPr>
            <w:tcW w:w="3606" w:type="pct"/>
            <w:shd w:val="clear" w:color="auto" w:fill="auto"/>
          </w:tcPr>
          <w:p w:rsidR="00FA4440" w:rsidRPr="00E106BD" w:rsidRDefault="00FA4440" w:rsidP="009B0F83">
            <w:pPr>
              <w:pStyle w:val="ENoteTableText"/>
            </w:pPr>
            <w:r w:rsidRPr="00E106BD">
              <w:t>ed C91</w:t>
            </w:r>
          </w:p>
        </w:tc>
      </w:tr>
      <w:tr w:rsidR="006A0EA5" w:rsidRPr="00E106BD" w:rsidTr="009B0F83">
        <w:trPr>
          <w:cantSplit/>
        </w:trPr>
        <w:tc>
          <w:tcPr>
            <w:tcW w:w="1394" w:type="pct"/>
            <w:shd w:val="clear" w:color="auto" w:fill="auto"/>
          </w:tcPr>
          <w:p w:rsidR="006A0EA5" w:rsidRPr="00E106BD" w:rsidRDefault="006A0EA5" w:rsidP="009B0F83">
            <w:pPr>
              <w:pStyle w:val="ENoteTableText"/>
              <w:tabs>
                <w:tab w:val="center" w:leader="dot" w:pos="2268"/>
              </w:tabs>
            </w:pPr>
          </w:p>
        </w:tc>
        <w:tc>
          <w:tcPr>
            <w:tcW w:w="3606" w:type="pct"/>
            <w:shd w:val="clear" w:color="auto" w:fill="auto"/>
          </w:tcPr>
          <w:p w:rsidR="006A0EA5" w:rsidRPr="00E106BD" w:rsidRDefault="00B916C8" w:rsidP="009B0F83">
            <w:pPr>
              <w:pStyle w:val="ENoteTableText"/>
            </w:pPr>
            <w:r w:rsidRPr="00E106BD">
              <w:t>am</w:t>
            </w:r>
            <w:r w:rsidR="006A0EA5" w:rsidRPr="00E106BD">
              <w:t xml:space="preserve"> PB 20 of 2019</w:t>
            </w:r>
          </w:p>
        </w:tc>
      </w:tr>
      <w:tr w:rsidR="00F92A6B" w:rsidRPr="00E106BD" w:rsidTr="009B0F83">
        <w:trPr>
          <w:cantSplit/>
        </w:trPr>
        <w:tc>
          <w:tcPr>
            <w:tcW w:w="1394" w:type="pct"/>
            <w:shd w:val="clear" w:color="auto" w:fill="auto"/>
          </w:tcPr>
          <w:p w:rsidR="00F92A6B" w:rsidRPr="00E106BD" w:rsidRDefault="00F92A6B" w:rsidP="009B0F83">
            <w:pPr>
              <w:pStyle w:val="ENoteTableText"/>
              <w:tabs>
                <w:tab w:val="center" w:leader="dot" w:pos="2268"/>
              </w:tabs>
            </w:pPr>
          </w:p>
        </w:tc>
        <w:tc>
          <w:tcPr>
            <w:tcW w:w="3606" w:type="pct"/>
            <w:shd w:val="clear" w:color="auto" w:fill="auto"/>
          </w:tcPr>
          <w:p w:rsidR="00F92A6B" w:rsidRPr="00E106BD" w:rsidRDefault="00F92A6B" w:rsidP="009B0F83">
            <w:pPr>
              <w:pStyle w:val="ENoteTableText"/>
            </w:pPr>
            <w:r w:rsidRPr="00E106BD">
              <w:t>rs PB 24 of 2020</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Schedule</w:t>
            </w:r>
            <w:r w:rsidR="00E106BD">
              <w:rPr>
                <w:b/>
              </w:rPr>
              <w:t> </w:t>
            </w:r>
            <w:r w:rsidRPr="00E106BD">
              <w:rPr>
                <w:b/>
              </w:rPr>
              <w:t>4</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Schedule</w:t>
            </w:r>
            <w:r w:rsidR="00E106BD">
              <w:t> </w:t>
            </w:r>
            <w:r w:rsidRPr="00E106BD">
              <w:t>4</w:t>
            </w:r>
            <w:r w:rsidRPr="00E106BD">
              <w:tab/>
            </w:r>
          </w:p>
        </w:tc>
        <w:tc>
          <w:tcPr>
            <w:tcW w:w="3606" w:type="pct"/>
            <w:shd w:val="clear" w:color="auto" w:fill="auto"/>
          </w:tcPr>
          <w:p w:rsidR="00EE1051" w:rsidRPr="00E106BD" w:rsidRDefault="00EE1051" w:rsidP="004E4760">
            <w:pPr>
              <w:pStyle w:val="ENoteTableText"/>
            </w:pPr>
            <w:r w:rsidRPr="00E106BD">
              <w:t>am PB 28 of 2011</w:t>
            </w:r>
          </w:p>
        </w:tc>
      </w:tr>
      <w:tr w:rsidR="00EE1051" w:rsidRPr="00E106BD" w:rsidTr="000C3959">
        <w:trPr>
          <w:cantSplit/>
        </w:trPr>
        <w:tc>
          <w:tcPr>
            <w:tcW w:w="1394" w:type="pct"/>
            <w:shd w:val="clear" w:color="auto" w:fill="auto"/>
          </w:tcPr>
          <w:p w:rsidR="00EE1051" w:rsidRPr="00E106BD" w:rsidRDefault="00EE1051" w:rsidP="00492557">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rs PB 38 of 2011</w:t>
            </w:r>
          </w:p>
        </w:tc>
      </w:tr>
      <w:tr w:rsidR="00EE1051" w:rsidRPr="00E106BD" w:rsidTr="000C3959">
        <w:trPr>
          <w:cantSplit/>
        </w:trPr>
        <w:tc>
          <w:tcPr>
            <w:tcW w:w="1394" w:type="pct"/>
            <w:shd w:val="clear" w:color="auto" w:fill="auto"/>
          </w:tcPr>
          <w:p w:rsidR="00EE1051" w:rsidRPr="00E106BD" w:rsidRDefault="00EE1051" w:rsidP="00492557">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am PB 47 of 2012</w:t>
            </w:r>
          </w:p>
        </w:tc>
      </w:tr>
      <w:tr w:rsidR="00EE1051" w:rsidRPr="00E106BD" w:rsidTr="00D056E5">
        <w:trPr>
          <w:cantSplit/>
        </w:trPr>
        <w:tc>
          <w:tcPr>
            <w:tcW w:w="1394" w:type="pct"/>
            <w:shd w:val="clear" w:color="auto" w:fill="auto"/>
          </w:tcPr>
          <w:p w:rsidR="00EE1051" w:rsidRPr="00E106BD" w:rsidRDefault="00EE1051" w:rsidP="000C3959">
            <w:pPr>
              <w:pStyle w:val="ENoteTableText"/>
              <w:tabs>
                <w:tab w:val="center" w:leader="dot" w:pos="2268"/>
              </w:tabs>
            </w:pPr>
          </w:p>
        </w:tc>
        <w:tc>
          <w:tcPr>
            <w:tcW w:w="3606" w:type="pct"/>
            <w:shd w:val="clear" w:color="auto" w:fill="auto"/>
          </w:tcPr>
          <w:p w:rsidR="00EE1051" w:rsidRPr="00E106BD" w:rsidRDefault="00EE1051" w:rsidP="001E2F13">
            <w:pPr>
              <w:pStyle w:val="ENoteTableText"/>
            </w:pPr>
            <w:r w:rsidRPr="00E106BD">
              <w:t>rs PB 76 of 2012; PB 16 of 2013</w:t>
            </w:r>
            <w:r w:rsidR="00E225A4" w:rsidRPr="00E106BD">
              <w:t>; PB 84</w:t>
            </w:r>
            <w:r w:rsidR="00E46EE4" w:rsidRPr="00E106BD">
              <w:t xml:space="preserve"> and 100</w:t>
            </w:r>
            <w:r w:rsidR="00E225A4" w:rsidRPr="00E106BD">
              <w:t xml:space="preserve"> of 2016</w:t>
            </w:r>
            <w:r w:rsidR="00DE1521" w:rsidRPr="00E106BD">
              <w:t>; PB 20 of 2017</w:t>
            </w:r>
            <w:r w:rsidR="00A8531D" w:rsidRPr="00E106BD">
              <w:t>; PB 75 of 2017</w:t>
            </w:r>
          </w:p>
        </w:tc>
      </w:tr>
      <w:tr w:rsidR="00DF7CFF" w:rsidRPr="00E106BD" w:rsidTr="00D056E5">
        <w:trPr>
          <w:cantSplit/>
        </w:trPr>
        <w:tc>
          <w:tcPr>
            <w:tcW w:w="1394" w:type="pct"/>
            <w:shd w:val="clear" w:color="auto" w:fill="auto"/>
          </w:tcPr>
          <w:p w:rsidR="00DF7CFF" w:rsidRPr="00E106BD" w:rsidRDefault="00DF7CFF" w:rsidP="000C3959">
            <w:pPr>
              <w:pStyle w:val="ENoteTableText"/>
              <w:tabs>
                <w:tab w:val="center" w:leader="dot" w:pos="2268"/>
              </w:tabs>
            </w:pPr>
            <w:r w:rsidRPr="00E106BD">
              <w:rPr>
                <w:b/>
              </w:rPr>
              <w:t>Schedule</w:t>
            </w:r>
            <w:r>
              <w:rPr>
                <w:b/>
              </w:rPr>
              <w:t> 5</w:t>
            </w:r>
          </w:p>
        </w:tc>
        <w:tc>
          <w:tcPr>
            <w:tcW w:w="3606" w:type="pct"/>
            <w:shd w:val="clear" w:color="auto" w:fill="auto"/>
          </w:tcPr>
          <w:p w:rsidR="00DF7CFF" w:rsidRPr="00E106BD" w:rsidRDefault="00DF7CFF" w:rsidP="001E2F13">
            <w:pPr>
              <w:pStyle w:val="ENoteTableText"/>
            </w:pPr>
          </w:p>
        </w:tc>
      </w:tr>
      <w:tr w:rsidR="00DF7CFF" w:rsidRPr="00E106BD" w:rsidTr="00D056E5">
        <w:trPr>
          <w:cantSplit/>
        </w:trPr>
        <w:tc>
          <w:tcPr>
            <w:tcW w:w="1394" w:type="pct"/>
            <w:shd w:val="clear" w:color="auto" w:fill="auto"/>
          </w:tcPr>
          <w:p w:rsidR="00DF7CFF" w:rsidRPr="00E106BD" w:rsidRDefault="00DF7CFF" w:rsidP="000C3959">
            <w:pPr>
              <w:pStyle w:val="ENoteTableText"/>
              <w:tabs>
                <w:tab w:val="center" w:leader="dot" w:pos="2268"/>
              </w:tabs>
            </w:pPr>
            <w:r w:rsidRPr="00E106BD">
              <w:t>Schedule</w:t>
            </w:r>
            <w:r>
              <w:t> 5</w:t>
            </w:r>
            <w:r w:rsidRPr="00E106BD">
              <w:tab/>
            </w:r>
          </w:p>
        </w:tc>
        <w:tc>
          <w:tcPr>
            <w:tcW w:w="3606" w:type="pct"/>
            <w:shd w:val="clear" w:color="auto" w:fill="auto"/>
          </w:tcPr>
          <w:p w:rsidR="00DF7CFF" w:rsidRPr="00E106BD" w:rsidRDefault="00DF7CFF" w:rsidP="001E2F13">
            <w:pPr>
              <w:pStyle w:val="ENoteTableText"/>
            </w:pPr>
            <w:r>
              <w:t>ad PB 32 of 2020</w:t>
            </w:r>
          </w:p>
        </w:tc>
      </w:tr>
      <w:tr w:rsidR="008B7F12" w:rsidRPr="00E106BD" w:rsidTr="00D056E5">
        <w:trPr>
          <w:cantSplit/>
        </w:trPr>
        <w:tc>
          <w:tcPr>
            <w:tcW w:w="1394" w:type="pct"/>
            <w:shd w:val="clear" w:color="auto" w:fill="auto"/>
          </w:tcPr>
          <w:p w:rsidR="008B7F12" w:rsidRPr="00E106BD" w:rsidRDefault="008B7F12" w:rsidP="000C3959">
            <w:pPr>
              <w:pStyle w:val="ENoteTableText"/>
              <w:tabs>
                <w:tab w:val="center" w:leader="dot" w:pos="2268"/>
              </w:tabs>
            </w:pPr>
          </w:p>
        </w:tc>
        <w:tc>
          <w:tcPr>
            <w:tcW w:w="3606" w:type="pct"/>
            <w:shd w:val="clear" w:color="auto" w:fill="auto"/>
          </w:tcPr>
          <w:p w:rsidR="008B7F12" w:rsidRDefault="008B7F12" w:rsidP="001E2F13">
            <w:pPr>
              <w:pStyle w:val="ENoteTableText"/>
            </w:pPr>
            <w:r>
              <w:t>am PB 46 of 2020</w:t>
            </w:r>
          </w:p>
        </w:tc>
      </w:tr>
      <w:tr w:rsidR="00E9334A" w:rsidRPr="00E106BD" w:rsidTr="000C3959">
        <w:trPr>
          <w:cantSplit/>
        </w:trPr>
        <w:tc>
          <w:tcPr>
            <w:tcW w:w="1394" w:type="pct"/>
            <w:tcBorders>
              <w:bottom w:val="single" w:sz="12" w:space="0" w:color="auto"/>
            </w:tcBorders>
            <w:shd w:val="clear" w:color="auto" w:fill="auto"/>
          </w:tcPr>
          <w:p w:rsidR="00E9334A" w:rsidRPr="00E106BD" w:rsidRDefault="00E9334A" w:rsidP="000C3959">
            <w:pPr>
              <w:pStyle w:val="ENoteTableText"/>
              <w:tabs>
                <w:tab w:val="center" w:leader="dot" w:pos="2268"/>
              </w:tabs>
            </w:pPr>
          </w:p>
        </w:tc>
        <w:tc>
          <w:tcPr>
            <w:tcW w:w="3606" w:type="pct"/>
            <w:tcBorders>
              <w:bottom w:val="single" w:sz="12" w:space="0" w:color="auto"/>
            </w:tcBorders>
            <w:shd w:val="clear" w:color="auto" w:fill="auto"/>
          </w:tcPr>
          <w:p w:rsidR="00E9334A" w:rsidRDefault="00E9334A">
            <w:pPr>
              <w:pStyle w:val="ENoteTableText"/>
            </w:pPr>
            <w:r>
              <w:t xml:space="preserve">rep </w:t>
            </w:r>
            <w:r w:rsidR="00B72471">
              <w:rPr>
                <w:u w:val="single"/>
              </w:rPr>
              <w:t>1 Apr 2021</w:t>
            </w:r>
            <w:r w:rsidR="005E43C9">
              <w:rPr>
                <w:u w:val="single"/>
              </w:rPr>
              <w:t xml:space="preserve"> (s 9AA(3))</w:t>
            </w:r>
          </w:p>
        </w:tc>
      </w:tr>
    </w:tbl>
    <w:p w:rsidR="001C2BE5" w:rsidRPr="00E106BD" w:rsidRDefault="001C2BE5" w:rsidP="00715904">
      <w:pPr>
        <w:sectPr w:rsidR="001C2BE5" w:rsidRPr="00E106BD" w:rsidSect="00AF69B5">
          <w:headerReference w:type="even" r:id="rId64"/>
          <w:headerReference w:type="default" r:id="rId65"/>
          <w:footerReference w:type="even" r:id="rId66"/>
          <w:footerReference w:type="default" r:id="rId67"/>
          <w:footerReference w:type="first" r:id="rId68"/>
          <w:pgSz w:w="11907" w:h="16839" w:code="9"/>
          <w:pgMar w:top="1440" w:right="1797" w:bottom="1440" w:left="1797" w:header="720" w:footer="709" w:gutter="0"/>
          <w:cols w:space="708"/>
          <w:docGrid w:linePitch="360"/>
        </w:sectPr>
      </w:pPr>
    </w:p>
    <w:p w:rsidR="0050701D" w:rsidRPr="00F61EFE" w:rsidRDefault="0050701D" w:rsidP="00741224"/>
    <w:sectPr w:rsidR="0050701D" w:rsidRPr="00F61EFE" w:rsidSect="00AF69B5">
      <w:headerReference w:type="even" r:id="rId69"/>
      <w:headerReference w:type="default" r:id="rId70"/>
      <w:footerReference w:type="even" r:id="rId71"/>
      <w:footerReference w:type="default" r:id="rId72"/>
      <w:headerReference w:type="first" r:id="rId73"/>
      <w:footerReference w:type="first" r:id="rId74"/>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2A" w:rsidRDefault="008F022A">
      <w:r>
        <w:separator/>
      </w:r>
    </w:p>
  </w:endnote>
  <w:endnote w:type="continuationSeparator" w:id="0">
    <w:p w:rsidR="008F022A" w:rsidRDefault="008F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Default="008F022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D6304B">
    <w:pPr>
      <w:pBdr>
        <w:top w:val="single" w:sz="6" w:space="1" w:color="auto"/>
      </w:pBdr>
      <w:spacing w:before="120"/>
      <w:rPr>
        <w:sz w:val="16"/>
        <w:szCs w:val="16"/>
      </w:rPr>
    </w:pPr>
  </w:p>
  <w:tbl>
    <w:tblPr>
      <w:tblStyle w:val="TableGrid"/>
      <w:tblW w:w="13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457"/>
      <w:gridCol w:w="9174"/>
      <w:gridCol w:w="279"/>
      <w:gridCol w:w="1880"/>
    </w:tblGrid>
    <w:tr w:rsidR="008F022A" w:rsidRPr="007B3B51" w:rsidTr="0025219C">
      <w:tc>
        <w:tcPr>
          <w:tcW w:w="1700" w:type="dxa"/>
        </w:tcPr>
        <w:p w:rsidR="008F022A" w:rsidRPr="007B3B51" w:rsidRDefault="008F022A"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0F83">
            <w:rPr>
              <w:i/>
              <w:noProof/>
              <w:sz w:val="16"/>
              <w:szCs w:val="16"/>
            </w:rPr>
            <w:t>78</w:t>
          </w:r>
          <w:r w:rsidRPr="007B3B51">
            <w:rPr>
              <w:i/>
              <w:sz w:val="16"/>
              <w:szCs w:val="16"/>
            </w:rPr>
            <w:fldChar w:fldCharType="end"/>
          </w:r>
        </w:p>
      </w:tc>
      <w:tc>
        <w:tcPr>
          <w:tcW w:w="9910" w:type="dxa"/>
          <w:gridSpan w:val="3"/>
        </w:tcPr>
        <w:p w:rsidR="008F022A" w:rsidRPr="007B3B51" w:rsidRDefault="008F022A"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1880" w:type="dxa"/>
        </w:tcPr>
        <w:p w:rsidR="008F022A" w:rsidRPr="007B3B51" w:rsidRDefault="008F022A" w:rsidP="00D6304B">
          <w:pPr>
            <w:jc w:val="right"/>
            <w:rPr>
              <w:sz w:val="16"/>
              <w:szCs w:val="16"/>
            </w:rPr>
          </w:pPr>
        </w:p>
      </w:tc>
    </w:tr>
    <w:tr w:rsidR="008F022A" w:rsidRPr="0055472E" w:rsidTr="0025219C">
      <w:tc>
        <w:tcPr>
          <w:tcW w:w="2157" w:type="dxa"/>
          <w:gridSpan w:val="2"/>
        </w:tcPr>
        <w:p w:rsidR="008F022A" w:rsidRPr="0055472E" w:rsidRDefault="008F022A"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50F83">
            <w:rPr>
              <w:sz w:val="16"/>
              <w:szCs w:val="16"/>
            </w:rPr>
            <w:t>111</w:t>
          </w:r>
          <w:r w:rsidRPr="0055472E">
            <w:rPr>
              <w:sz w:val="16"/>
              <w:szCs w:val="16"/>
            </w:rPr>
            <w:fldChar w:fldCharType="end"/>
          </w:r>
        </w:p>
      </w:tc>
      <w:tc>
        <w:tcPr>
          <w:tcW w:w="9174" w:type="dxa"/>
        </w:tcPr>
        <w:p w:rsidR="008F022A" w:rsidRPr="0055472E" w:rsidRDefault="008F022A"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50F83">
            <w:rPr>
              <w:sz w:val="16"/>
              <w:szCs w:val="16"/>
            </w:rPr>
            <w:t>01/10/2020</w:t>
          </w:r>
          <w:r w:rsidRPr="0055472E">
            <w:rPr>
              <w:sz w:val="16"/>
              <w:szCs w:val="16"/>
            </w:rPr>
            <w:fldChar w:fldCharType="end"/>
          </w:r>
        </w:p>
      </w:tc>
      <w:tc>
        <w:tcPr>
          <w:tcW w:w="2159" w:type="dxa"/>
          <w:gridSpan w:val="2"/>
        </w:tcPr>
        <w:p w:rsidR="008F022A" w:rsidRPr="0055472E" w:rsidRDefault="008F022A"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50F83">
            <w:rPr>
              <w:sz w:val="16"/>
              <w:szCs w:val="16"/>
            </w:rPr>
            <w:instrText>19/10/2020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50F83">
            <w:rPr>
              <w:sz w:val="16"/>
              <w:szCs w:val="16"/>
            </w:rPr>
            <w:instrText>19/10/2020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50F83">
            <w:rPr>
              <w:noProof/>
              <w:sz w:val="16"/>
              <w:szCs w:val="16"/>
            </w:rPr>
            <w:t>19/10/2020</w:t>
          </w:r>
          <w:r w:rsidRPr="0055472E">
            <w:rPr>
              <w:sz w:val="16"/>
              <w:szCs w:val="16"/>
            </w:rPr>
            <w:fldChar w:fldCharType="end"/>
          </w:r>
        </w:p>
      </w:tc>
    </w:tr>
  </w:tbl>
  <w:p w:rsidR="008F022A" w:rsidRPr="00D6304B" w:rsidRDefault="008F022A" w:rsidP="00D6304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D6304B">
    <w:pPr>
      <w:pBdr>
        <w:top w:val="single" w:sz="6" w:space="1" w:color="auto"/>
      </w:pBdr>
      <w:spacing w:before="120"/>
      <w:rPr>
        <w:sz w:val="16"/>
        <w:szCs w:val="16"/>
      </w:rPr>
    </w:pP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466"/>
      <w:gridCol w:w="9117"/>
      <w:gridCol w:w="283"/>
      <w:gridCol w:w="1843"/>
    </w:tblGrid>
    <w:tr w:rsidR="008F022A" w:rsidRPr="007B3B51" w:rsidTr="00D6304B">
      <w:tc>
        <w:tcPr>
          <w:tcW w:w="1724" w:type="dxa"/>
        </w:tcPr>
        <w:p w:rsidR="008F022A" w:rsidRPr="007B3B51" w:rsidRDefault="008F022A" w:rsidP="00D6304B">
          <w:pPr>
            <w:rPr>
              <w:i/>
              <w:sz w:val="16"/>
              <w:szCs w:val="16"/>
            </w:rPr>
          </w:pPr>
        </w:p>
      </w:tc>
      <w:tc>
        <w:tcPr>
          <w:tcW w:w="9866" w:type="dxa"/>
          <w:gridSpan w:val="3"/>
        </w:tcPr>
        <w:p w:rsidR="008F022A" w:rsidRPr="007B3B51" w:rsidRDefault="008F022A"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1843" w:type="dxa"/>
        </w:tcPr>
        <w:p w:rsidR="008F022A" w:rsidRPr="007B3B51" w:rsidRDefault="008F022A"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0F83">
            <w:rPr>
              <w:i/>
              <w:noProof/>
              <w:sz w:val="16"/>
              <w:szCs w:val="16"/>
            </w:rPr>
            <w:t>79</w:t>
          </w:r>
          <w:r w:rsidRPr="007B3B51">
            <w:rPr>
              <w:i/>
              <w:sz w:val="16"/>
              <w:szCs w:val="16"/>
            </w:rPr>
            <w:fldChar w:fldCharType="end"/>
          </w:r>
        </w:p>
      </w:tc>
    </w:tr>
    <w:tr w:rsidR="008F022A" w:rsidRPr="00130F37" w:rsidTr="00D6304B">
      <w:tc>
        <w:tcPr>
          <w:tcW w:w="2190" w:type="dxa"/>
          <w:gridSpan w:val="2"/>
        </w:tcPr>
        <w:p w:rsidR="008F022A" w:rsidRPr="00130F37" w:rsidRDefault="008F022A"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0F83">
            <w:rPr>
              <w:sz w:val="16"/>
              <w:szCs w:val="16"/>
            </w:rPr>
            <w:t>111</w:t>
          </w:r>
          <w:r w:rsidRPr="00130F37">
            <w:rPr>
              <w:sz w:val="16"/>
              <w:szCs w:val="16"/>
            </w:rPr>
            <w:fldChar w:fldCharType="end"/>
          </w:r>
        </w:p>
      </w:tc>
      <w:tc>
        <w:tcPr>
          <w:tcW w:w="9117" w:type="dxa"/>
        </w:tcPr>
        <w:p w:rsidR="008F022A" w:rsidRPr="00130F37" w:rsidRDefault="008F022A"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50F83">
            <w:rPr>
              <w:sz w:val="16"/>
              <w:szCs w:val="16"/>
            </w:rPr>
            <w:t>01/10/2020</w:t>
          </w:r>
          <w:r w:rsidRPr="00130F37">
            <w:rPr>
              <w:sz w:val="16"/>
              <w:szCs w:val="16"/>
            </w:rPr>
            <w:fldChar w:fldCharType="end"/>
          </w:r>
        </w:p>
      </w:tc>
      <w:tc>
        <w:tcPr>
          <w:tcW w:w="2126" w:type="dxa"/>
          <w:gridSpan w:val="2"/>
        </w:tcPr>
        <w:p w:rsidR="008F022A" w:rsidRPr="00130F37" w:rsidRDefault="008F022A"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0F83">
            <w:rPr>
              <w:noProof/>
              <w:sz w:val="16"/>
              <w:szCs w:val="16"/>
            </w:rPr>
            <w:t>19/10/2020</w:t>
          </w:r>
          <w:r w:rsidRPr="00130F37">
            <w:rPr>
              <w:sz w:val="16"/>
              <w:szCs w:val="16"/>
            </w:rPr>
            <w:fldChar w:fldCharType="end"/>
          </w:r>
        </w:p>
      </w:tc>
    </w:tr>
  </w:tbl>
  <w:p w:rsidR="008F022A" w:rsidRPr="00D6304B" w:rsidRDefault="008F022A" w:rsidP="00D6304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E33C1C" w:rsidRDefault="008F022A"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2200"/>
      <w:gridCol w:w="10136"/>
      <w:gridCol w:w="1125"/>
    </w:tblGrid>
    <w:tr w:rsidR="008F022A" w:rsidTr="0069450D">
      <w:tc>
        <w:tcPr>
          <w:tcW w:w="817" w:type="pct"/>
          <w:tcBorders>
            <w:top w:val="nil"/>
            <w:left w:val="nil"/>
            <w:bottom w:val="nil"/>
            <w:right w:val="nil"/>
          </w:tcBorders>
        </w:tcPr>
        <w:p w:rsidR="008F022A" w:rsidRDefault="008F022A" w:rsidP="001B53A5">
          <w:pPr>
            <w:spacing w:line="0" w:lineRule="atLeast"/>
            <w:rPr>
              <w:sz w:val="18"/>
            </w:rPr>
          </w:pPr>
        </w:p>
      </w:tc>
      <w:tc>
        <w:tcPr>
          <w:tcW w:w="3765" w:type="pct"/>
          <w:tcBorders>
            <w:top w:val="nil"/>
            <w:left w:val="nil"/>
            <w:bottom w:val="nil"/>
            <w:right w:val="nil"/>
          </w:tcBorders>
        </w:tcPr>
        <w:p w:rsidR="008F022A" w:rsidRDefault="008F022A" w:rsidP="001B53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50F83">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8F022A" w:rsidRDefault="008F022A" w:rsidP="001B53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580</w:t>
          </w:r>
          <w:r w:rsidRPr="00ED79B6">
            <w:rPr>
              <w:i/>
              <w:sz w:val="18"/>
            </w:rPr>
            <w:fldChar w:fldCharType="end"/>
          </w:r>
        </w:p>
      </w:tc>
    </w:tr>
    <w:tr w:rsidR="008F022A" w:rsidTr="00694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8F022A" w:rsidRDefault="008F022A" w:rsidP="001B53A5">
          <w:pPr>
            <w:rPr>
              <w:sz w:val="18"/>
            </w:rPr>
          </w:pPr>
          <w:r>
            <w:rPr>
              <w:i/>
              <w:noProof/>
              <w:sz w:val="18"/>
            </w:rPr>
            <w:t>P13MR354.v02.docx</w:t>
          </w:r>
          <w:r w:rsidRPr="00ED79B6">
            <w:rPr>
              <w:i/>
              <w:sz w:val="18"/>
            </w:rPr>
            <w:t xml:space="preserve"> </w:t>
          </w:r>
          <w:r>
            <w:rPr>
              <w:i/>
              <w:noProof/>
              <w:sz w:val="18"/>
            </w:rPr>
            <w:t>13/5/2013 9:13 AM</w:t>
          </w:r>
        </w:p>
      </w:tc>
    </w:tr>
  </w:tbl>
  <w:p w:rsidR="008F022A" w:rsidRPr="00ED79B6" w:rsidRDefault="008F022A" w:rsidP="001B6607">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D6304B">
    <w:pPr>
      <w:pBdr>
        <w:top w:val="single" w:sz="6" w:space="1" w:color="auto"/>
      </w:pBdr>
      <w:spacing w:before="120"/>
      <w:rPr>
        <w:sz w:val="16"/>
        <w:szCs w:val="16"/>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554"/>
    </w:tblGrid>
    <w:tr w:rsidR="008F022A" w:rsidRPr="007B3B51" w:rsidTr="00B052A3">
      <w:tc>
        <w:tcPr>
          <w:tcW w:w="1247" w:type="dxa"/>
        </w:tcPr>
        <w:p w:rsidR="008F022A" w:rsidRPr="007B3B51" w:rsidRDefault="008F022A"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0F83">
            <w:rPr>
              <w:i/>
              <w:noProof/>
              <w:sz w:val="16"/>
              <w:szCs w:val="16"/>
            </w:rPr>
            <w:t>124</w:t>
          </w:r>
          <w:r w:rsidRPr="007B3B51">
            <w:rPr>
              <w:i/>
              <w:sz w:val="16"/>
              <w:szCs w:val="16"/>
            </w:rPr>
            <w:fldChar w:fldCharType="end"/>
          </w:r>
        </w:p>
      </w:tc>
      <w:tc>
        <w:tcPr>
          <w:tcW w:w="5387" w:type="dxa"/>
          <w:gridSpan w:val="3"/>
        </w:tcPr>
        <w:p w:rsidR="008F022A" w:rsidRPr="007B3B51" w:rsidRDefault="008F022A"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1554" w:type="dxa"/>
        </w:tcPr>
        <w:p w:rsidR="008F022A" w:rsidRPr="007B3B51" w:rsidRDefault="008F022A" w:rsidP="00D6304B">
          <w:pPr>
            <w:jc w:val="right"/>
            <w:rPr>
              <w:sz w:val="16"/>
              <w:szCs w:val="16"/>
            </w:rPr>
          </w:pPr>
        </w:p>
      </w:tc>
    </w:tr>
    <w:tr w:rsidR="008F022A" w:rsidRPr="0055472E" w:rsidTr="00B052A3">
      <w:tc>
        <w:tcPr>
          <w:tcW w:w="2190" w:type="dxa"/>
          <w:gridSpan w:val="2"/>
        </w:tcPr>
        <w:p w:rsidR="008F022A" w:rsidRPr="0055472E" w:rsidRDefault="008F022A"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50F83">
            <w:rPr>
              <w:sz w:val="16"/>
              <w:szCs w:val="16"/>
            </w:rPr>
            <w:t>111</w:t>
          </w:r>
          <w:r w:rsidRPr="0055472E">
            <w:rPr>
              <w:sz w:val="16"/>
              <w:szCs w:val="16"/>
            </w:rPr>
            <w:fldChar w:fldCharType="end"/>
          </w:r>
        </w:p>
      </w:tc>
      <w:tc>
        <w:tcPr>
          <w:tcW w:w="2920" w:type="dxa"/>
        </w:tcPr>
        <w:p w:rsidR="008F022A" w:rsidRPr="0055472E" w:rsidRDefault="008F022A"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50F83">
            <w:rPr>
              <w:sz w:val="16"/>
              <w:szCs w:val="16"/>
            </w:rPr>
            <w:t>01/10/2020</w:t>
          </w:r>
          <w:r w:rsidRPr="0055472E">
            <w:rPr>
              <w:sz w:val="16"/>
              <w:szCs w:val="16"/>
            </w:rPr>
            <w:fldChar w:fldCharType="end"/>
          </w:r>
        </w:p>
      </w:tc>
      <w:tc>
        <w:tcPr>
          <w:tcW w:w="3078" w:type="dxa"/>
          <w:gridSpan w:val="2"/>
        </w:tcPr>
        <w:p w:rsidR="008F022A" w:rsidRPr="0055472E" w:rsidRDefault="008F022A"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50F83">
            <w:rPr>
              <w:sz w:val="16"/>
              <w:szCs w:val="16"/>
            </w:rPr>
            <w:instrText>19/10/2020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50F83">
            <w:rPr>
              <w:sz w:val="16"/>
              <w:szCs w:val="16"/>
            </w:rPr>
            <w:instrText>19/10/2020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50F83">
            <w:rPr>
              <w:noProof/>
              <w:sz w:val="16"/>
              <w:szCs w:val="16"/>
            </w:rPr>
            <w:t>19/10/2020</w:t>
          </w:r>
          <w:r w:rsidRPr="0055472E">
            <w:rPr>
              <w:sz w:val="16"/>
              <w:szCs w:val="16"/>
            </w:rPr>
            <w:fldChar w:fldCharType="end"/>
          </w:r>
        </w:p>
      </w:tc>
    </w:tr>
  </w:tbl>
  <w:p w:rsidR="008F022A" w:rsidRDefault="008F022A" w:rsidP="00D6304B"/>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D6304B">
    <w:pPr>
      <w:pBdr>
        <w:top w:val="single" w:sz="6" w:space="1" w:color="auto"/>
      </w:pBdr>
      <w:spacing w:before="120"/>
      <w:rPr>
        <w:sz w:val="16"/>
        <w:szCs w:val="16"/>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554"/>
    </w:tblGrid>
    <w:tr w:rsidR="008F022A" w:rsidRPr="007B3B51" w:rsidTr="00B052A3">
      <w:tc>
        <w:tcPr>
          <w:tcW w:w="1247" w:type="dxa"/>
        </w:tcPr>
        <w:p w:rsidR="008F022A" w:rsidRPr="007B3B51" w:rsidRDefault="008F022A" w:rsidP="00D6304B">
          <w:pPr>
            <w:rPr>
              <w:i/>
              <w:sz w:val="16"/>
              <w:szCs w:val="16"/>
            </w:rPr>
          </w:pPr>
        </w:p>
      </w:tc>
      <w:tc>
        <w:tcPr>
          <w:tcW w:w="5387" w:type="dxa"/>
          <w:gridSpan w:val="3"/>
        </w:tcPr>
        <w:p w:rsidR="008F022A" w:rsidRPr="007B3B51" w:rsidRDefault="008F022A"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1554" w:type="dxa"/>
        </w:tcPr>
        <w:p w:rsidR="008F022A" w:rsidRPr="007B3B51" w:rsidRDefault="008F022A"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0F83">
            <w:rPr>
              <w:i/>
              <w:noProof/>
              <w:sz w:val="16"/>
              <w:szCs w:val="16"/>
            </w:rPr>
            <w:t>125</w:t>
          </w:r>
          <w:r w:rsidRPr="007B3B51">
            <w:rPr>
              <w:i/>
              <w:sz w:val="16"/>
              <w:szCs w:val="16"/>
            </w:rPr>
            <w:fldChar w:fldCharType="end"/>
          </w:r>
        </w:p>
      </w:tc>
    </w:tr>
    <w:tr w:rsidR="008F022A" w:rsidRPr="00130F37" w:rsidTr="00B052A3">
      <w:tc>
        <w:tcPr>
          <w:tcW w:w="2190" w:type="dxa"/>
          <w:gridSpan w:val="2"/>
        </w:tcPr>
        <w:p w:rsidR="008F022A" w:rsidRPr="00130F37" w:rsidRDefault="008F022A"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0F83">
            <w:rPr>
              <w:sz w:val="16"/>
              <w:szCs w:val="16"/>
            </w:rPr>
            <w:t>111</w:t>
          </w:r>
          <w:r w:rsidRPr="00130F37">
            <w:rPr>
              <w:sz w:val="16"/>
              <w:szCs w:val="16"/>
            </w:rPr>
            <w:fldChar w:fldCharType="end"/>
          </w:r>
        </w:p>
      </w:tc>
      <w:tc>
        <w:tcPr>
          <w:tcW w:w="2920" w:type="dxa"/>
        </w:tcPr>
        <w:p w:rsidR="008F022A" w:rsidRPr="00130F37" w:rsidRDefault="008F022A"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50F83">
            <w:rPr>
              <w:sz w:val="16"/>
              <w:szCs w:val="16"/>
            </w:rPr>
            <w:t>01/10/2020</w:t>
          </w:r>
          <w:r w:rsidRPr="00130F37">
            <w:rPr>
              <w:sz w:val="16"/>
              <w:szCs w:val="16"/>
            </w:rPr>
            <w:fldChar w:fldCharType="end"/>
          </w:r>
        </w:p>
      </w:tc>
      <w:tc>
        <w:tcPr>
          <w:tcW w:w="3078" w:type="dxa"/>
          <w:gridSpan w:val="2"/>
        </w:tcPr>
        <w:p w:rsidR="008F022A" w:rsidRPr="00130F37" w:rsidRDefault="008F022A"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0F83">
            <w:rPr>
              <w:noProof/>
              <w:sz w:val="16"/>
              <w:szCs w:val="16"/>
            </w:rPr>
            <w:t>19/10/2020</w:t>
          </w:r>
          <w:r w:rsidRPr="00130F37">
            <w:rPr>
              <w:sz w:val="16"/>
              <w:szCs w:val="16"/>
            </w:rPr>
            <w:fldChar w:fldCharType="end"/>
          </w:r>
        </w:p>
      </w:tc>
    </w:tr>
  </w:tbl>
  <w:p w:rsidR="008F022A" w:rsidRDefault="008F022A" w:rsidP="00D6304B"/>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8C41DA">
    <w:pPr>
      <w:pBdr>
        <w:top w:val="single" w:sz="6" w:space="1" w:color="auto"/>
      </w:pBdr>
      <w:spacing w:before="120" w:line="240" w:lineRule="auto"/>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278"/>
      <w:gridCol w:w="5204"/>
      <w:gridCol w:w="171"/>
      <w:gridCol w:w="1563"/>
    </w:tblGrid>
    <w:tr w:rsidR="008F022A" w:rsidRPr="007B3B51" w:rsidTr="0069450D">
      <w:tc>
        <w:tcPr>
          <w:tcW w:w="770" w:type="pct"/>
        </w:tcPr>
        <w:p w:rsidR="008F022A" w:rsidRPr="007B3B51" w:rsidRDefault="008F022A" w:rsidP="008C41DA">
          <w:pPr>
            <w:rPr>
              <w:i/>
              <w:sz w:val="16"/>
              <w:szCs w:val="16"/>
            </w:rPr>
          </w:pPr>
        </w:p>
      </w:tc>
      <w:tc>
        <w:tcPr>
          <w:tcW w:w="3314" w:type="pct"/>
          <w:gridSpan w:val="3"/>
        </w:tcPr>
        <w:p w:rsidR="008F022A" w:rsidRPr="007B3B51" w:rsidRDefault="008F022A" w:rsidP="008C41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916" w:type="pct"/>
        </w:tcPr>
        <w:p w:rsidR="008F022A" w:rsidRPr="007B3B51" w:rsidRDefault="008F022A" w:rsidP="008C41D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8F022A" w:rsidRPr="00130F37" w:rsidTr="0069450D">
      <w:tc>
        <w:tcPr>
          <w:tcW w:w="933" w:type="pct"/>
          <w:gridSpan w:val="2"/>
        </w:tcPr>
        <w:p w:rsidR="008F022A" w:rsidRPr="00130F37" w:rsidRDefault="008F022A" w:rsidP="008C41D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0F83">
            <w:rPr>
              <w:sz w:val="16"/>
              <w:szCs w:val="16"/>
            </w:rPr>
            <w:t>111</w:t>
          </w:r>
          <w:r w:rsidRPr="00130F37">
            <w:rPr>
              <w:sz w:val="16"/>
              <w:szCs w:val="16"/>
            </w:rPr>
            <w:fldChar w:fldCharType="end"/>
          </w:r>
        </w:p>
      </w:tc>
      <w:tc>
        <w:tcPr>
          <w:tcW w:w="3051" w:type="pct"/>
        </w:tcPr>
        <w:p w:rsidR="008F022A" w:rsidRPr="00130F37" w:rsidRDefault="008F022A" w:rsidP="008C41D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50F83">
            <w:rPr>
              <w:sz w:val="16"/>
              <w:szCs w:val="16"/>
            </w:rPr>
            <w:t>01/10/2020</w:t>
          </w:r>
          <w:r w:rsidRPr="00130F37">
            <w:rPr>
              <w:sz w:val="16"/>
              <w:szCs w:val="16"/>
            </w:rPr>
            <w:fldChar w:fldCharType="end"/>
          </w:r>
        </w:p>
      </w:tc>
      <w:tc>
        <w:tcPr>
          <w:tcW w:w="1017" w:type="pct"/>
          <w:gridSpan w:val="2"/>
        </w:tcPr>
        <w:p w:rsidR="008F022A" w:rsidRPr="00130F37" w:rsidRDefault="008F022A" w:rsidP="008C41D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0F83">
            <w:rPr>
              <w:noProof/>
              <w:sz w:val="16"/>
              <w:szCs w:val="16"/>
            </w:rPr>
            <w:t>19/10/2020</w:t>
          </w:r>
          <w:r w:rsidRPr="00130F37">
            <w:rPr>
              <w:sz w:val="16"/>
              <w:szCs w:val="16"/>
            </w:rPr>
            <w:fldChar w:fldCharType="end"/>
          </w:r>
        </w:p>
      </w:tc>
    </w:tr>
  </w:tbl>
  <w:p w:rsidR="008F022A" w:rsidRPr="0022531C" w:rsidRDefault="008F022A" w:rsidP="008C41D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D6304B">
    <w:pPr>
      <w:pBdr>
        <w:top w:val="single" w:sz="6" w:space="1" w:color="auto"/>
      </w:pBdr>
      <w:spacing w:before="120"/>
      <w:rPr>
        <w:sz w:val="16"/>
        <w:szCs w:val="16"/>
      </w:rPr>
    </w:pPr>
  </w:p>
  <w:tbl>
    <w:tblPr>
      <w:tblStyle w:val="TableGrid"/>
      <w:tblW w:w="13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457"/>
      <w:gridCol w:w="9174"/>
      <w:gridCol w:w="279"/>
      <w:gridCol w:w="1880"/>
    </w:tblGrid>
    <w:tr w:rsidR="008F022A" w:rsidRPr="007B3B51" w:rsidTr="0025219C">
      <w:tc>
        <w:tcPr>
          <w:tcW w:w="1700" w:type="dxa"/>
        </w:tcPr>
        <w:p w:rsidR="008F022A" w:rsidRPr="007B3B51" w:rsidRDefault="008F022A"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0F83">
            <w:rPr>
              <w:i/>
              <w:noProof/>
              <w:sz w:val="16"/>
              <w:szCs w:val="16"/>
            </w:rPr>
            <w:t>494</w:t>
          </w:r>
          <w:r w:rsidRPr="007B3B51">
            <w:rPr>
              <w:i/>
              <w:sz w:val="16"/>
              <w:szCs w:val="16"/>
            </w:rPr>
            <w:fldChar w:fldCharType="end"/>
          </w:r>
        </w:p>
      </w:tc>
      <w:tc>
        <w:tcPr>
          <w:tcW w:w="9910" w:type="dxa"/>
          <w:gridSpan w:val="3"/>
        </w:tcPr>
        <w:p w:rsidR="008F022A" w:rsidRPr="007B3B51" w:rsidRDefault="008F022A"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1880" w:type="dxa"/>
        </w:tcPr>
        <w:p w:rsidR="008F022A" w:rsidRPr="007B3B51" w:rsidRDefault="008F022A" w:rsidP="00D6304B">
          <w:pPr>
            <w:jc w:val="right"/>
            <w:rPr>
              <w:sz w:val="16"/>
              <w:szCs w:val="16"/>
            </w:rPr>
          </w:pPr>
        </w:p>
      </w:tc>
    </w:tr>
    <w:tr w:rsidR="008F022A" w:rsidRPr="0055472E" w:rsidTr="0025219C">
      <w:tc>
        <w:tcPr>
          <w:tcW w:w="2157" w:type="dxa"/>
          <w:gridSpan w:val="2"/>
        </w:tcPr>
        <w:p w:rsidR="008F022A" w:rsidRPr="0055472E" w:rsidRDefault="008F022A"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50F83">
            <w:rPr>
              <w:sz w:val="16"/>
              <w:szCs w:val="16"/>
            </w:rPr>
            <w:t>111</w:t>
          </w:r>
          <w:r w:rsidRPr="0055472E">
            <w:rPr>
              <w:sz w:val="16"/>
              <w:szCs w:val="16"/>
            </w:rPr>
            <w:fldChar w:fldCharType="end"/>
          </w:r>
        </w:p>
      </w:tc>
      <w:tc>
        <w:tcPr>
          <w:tcW w:w="9174" w:type="dxa"/>
        </w:tcPr>
        <w:p w:rsidR="008F022A" w:rsidRPr="0055472E" w:rsidRDefault="008F022A"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50F83">
            <w:rPr>
              <w:sz w:val="16"/>
              <w:szCs w:val="16"/>
            </w:rPr>
            <w:t>01/10/2020</w:t>
          </w:r>
          <w:r w:rsidRPr="0055472E">
            <w:rPr>
              <w:sz w:val="16"/>
              <w:szCs w:val="16"/>
            </w:rPr>
            <w:fldChar w:fldCharType="end"/>
          </w:r>
        </w:p>
      </w:tc>
      <w:tc>
        <w:tcPr>
          <w:tcW w:w="2159" w:type="dxa"/>
          <w:gridSpan w:val="2"/>
        </w:tcPr>
        <w:p w:rsidR="008F022A" w:rsidRPr="0055472E" w:rsidRDefault="008F022A"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50F83">
            <w:rPr>
              <w:sz w:val="16"/>
              <w:szCs w:val="16"/>
            </w:rPr>
            <w:instrText>19/10/2020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50F83">
            <w:rPr>
              <w:sz w:val="16"/>
              <w:szCs w:val="16"/>
            </w:rPr>
            <w:instrText>19/10/2020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50F83">
            <w:rPr>
              <w:noProof/>
              <w:sz w:val="16"/>
              <w:szCs w:val="16"/>
            </w:rPr>
            <w:t>19/10/2020</w:t>
          </w:r>
          <w:r w:rsidRPr="0055472E">
            <w:rPr>
              <w:sz w:val="16"/>
              <w:szCs w:val="16"/>
            </w:rPr>
            <w:fldChar w:fldCharType="end"/>
          </w:r>
        </w:p>
      </w:tc>
    </w:tr>
  </w:tbl>
  <w:p w:rsidR="008F022A" w:rsidRPr="00D6304B" w:rsidRDefault="008F022A" w:rsidP="00D6304B">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D6304B">
    <w:pPr>
      <w:pBdr>
        <w:top w:val="single" w:sz="6" w:space="1" w:color="auto"/>
      </w:pBdr>
      <w:spacing w:before="120"/>
      <w:rPr>
        <w:sz w:val="16"/>
        <w:szCs w:val="16"/>
      </w:rPr>
    </w:pP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466"/>
      <w:gridCol w:w="9117"/>
      <w:gridCol w:w="283"/>
      <w:gridCol w:w="1843"/>
    </w:tblGrid>
    <w:tr w:rsidR="008F022A" w:rsidRPr="007B3B51" w:rsidTr="00D6304B">
      <w:tc>
        <w:tcPr>
          <w:tcW w:w="1724" w:type="dxa"/>
        </w:tcPr>
        <w:p w:rsidR="008F022A" w:rsidRPr="007B3B51" w:rsidRDefault="008F022A" w:rsidP="00D6304B">
          <w:pPr>
            <w:rPr>
              <w:i/>
              <w:sz w:val="16"/>
              <w:szCs w:val="16"/>
            </w:rPr>
          </w:pPr>
        </w:p>
      </w:tc>
      <w:tc>
        <w:tcPr>
          <w:tcW w:w="9866" w:type="dxa"/>
          <w:gridSpan w:val="3"/>
        </w:tcPr>
        <w:p w:rsidR="008F022A" w:rsidRPr="007B3B51" w:rsidRDefault="008F022A"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1843" w:type="dxa"/>
        </w:tcPr>
        <w:p w:rsidR="008F022A" w:rsidRPr="007B3B51" w:rsidRDefault="008F022A"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0F83">
            <w:rPr>
              <w:i/>
              <w:noProof/>
              <w:sz w:val="16"/>
              <w:szCs w:val="16"/>
            </w:rPr>
            <w:t>495</w:t>
          </w:r>
          <w:r w:rsidRPr="007B3B51">
            <w:rPr>
              <w:i/>
              <w:sz w:val="16"/>
              <w:szCs w:val="16"/>
            </w:rPr>
            <w:fldChar w:fldCharType="end"/>
          </w:r>
        </w:p>
      </w:tc>
    </w:tr>
    <w:tr w:rsidR="008F022A" w:rsidRPr="00130F37" w:rsidTr="00D6304B">
      <w:tc>
        <w:tcPr>
          <w:tcW w:w="2190" w:type="dxa"/>
          <w:gridSpan w:val="2"/>
        </w:tcPr>
        <w:p w:rsidR="008F022A" w:rsidRPr="00130F37" w:rsidRDefault="008F022A"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0F83">
            <w:rPr>
              <w:sz w:val="16"/>
              <w:szCs w:val="16"/>
            </w:rPr>
            <w:t>111</w:t>
          </w:r>
          <w:r w:rsidRPr="00130F37">
            <w:rPr>
              <w:sz w:val="16"/>
              <w:szCs w:val="16"/>
            </w:rPr>
            <w:fldChar w:fldCharType="end"/>
          </w:r>
        </w:p>
      </w:tc>
      <w:tc>
        <w:tcPr>
          <w:tcW w:w="9117" w:type="dxa"/>
        </w:tcPr>
        <w:p w:rsidR="008F022A" w:rsidRPr="00130F37" w:rsidRDefault="008F022A"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50F83">
            <w:rPr>
              <w:sz w:val="16"/>
              <w:szCs w:val="16"/>
            </w:rPr>
            <w:t>01/10/2020</w:t>
          </w:r>
          <w:r w:rsidRPr="00130F37">
            <w:rPr>
              <w:sz w:val="16"/>
              <w:szCs w:val="16"/>
            </w:rPr>
            <w:fldChar w:fldCharType="end"/>
          </w:r>
        </w:p>
      </w:tc>
      <w:tc>
        <w:tcPr>
          <w:tcW w:w="2126" w:type="dxa"/>
          <w:gridSpan w:val="2"/>
        </w:tcPr>
        <w:p w:rsidR="008F022A" w:rsidRPr="00130F37" w:rsidRDefault="008F022A"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0F83">
            <w:rPr>
              <w:noProof/>
              <w:sz w:val="16"/>
              <w:szCs w:val="16"/>
            </w:rPr>
            <w:t>19/10/2020</w:t>
          </w:r>
          <w:r w:rsidRPr="00130F37">
            <w:rPr>
              <w:sz w:val="16"/>
              <w:szCs w:val="16"/>
            </w:rPr>
            <w:fldChar w:fldCharType="end"/>
          </w:r>
        </w:p>
      </w:tc>
    </w:tr>
  </w:tbl>
  <w:p w:rsidR="008F022A" w:rsidRPr="00D6304B" w:rsidRDefault="008F022A" w:rsidP="00D6304B">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FF6EA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09"/>
      <w:gridCol w:w="5103"/>
      <w:gridCol w:w="708"/>
      <w:gridCol w:w="993"/>
    </w:tblGrid>
    <w:tr w:rsidR="008F022A" w:rsidRPr="007B3B51" w:rsidTr="00037B27">
      <w:tc>
        <w:tcPr>
          <w:tcW w:w="851" w:type="dxa"/>
        </w:tcPr>
        <w:p w:rsidR="008F022A" w:rsidRPr="007B3B51" w:rsidRDefault="008F022A" w:rsidP="00037B27">
          <w:pPr>
            <w:rPr>
              <w:i/>
              <w:sz w:val="16"/>
              <w:szCs w:val="16"/>
            </w:rPr>
          </w:pPr>
        </w:p>
      </w:tc>
      <w:tc>
        <w:tcPr>
          <w:tcW w:w="6520" w:type="dxa"/>
          <w:gridSpan w:val="3"/>
        </w:tcPr>
        <w:p w:rsidR="008F022A" w:rsidRPr="007B3B51" w:rsidRDefault="008F022A" w:rsidP="00037B2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993" w:type="dxa"/>
        </w:tcPr>
        <w:p w:rsidR="008F022A" w:rsidRPr="007B3B51" w:rsidRDefault="008F022A" w:rsidP="00037B2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8F022A" w:rsidRPr="00130F37" w:rsidTr="00037B27">
      <w:tc>
        <w:tcPr>
          <w:tcW w:w="1560" w:type="dxa"/>
          <w:gridSpan w:val="2"/>
        </w:tcPr>
        <w:p w:rsidR="008F022A" w:rsidRPr="00130F37" w:rsidRDefault="008F022A" w:rsidP="00037B2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0F83">
            <w:rPr>
              <w:sz w:val="16"/>
              <w:szCs w:val="16"/>
            </w:rPr>
            <w:t>111</w:t>
          </w:r>
          <w:r w:rsidRPr="00130F37">
            <w:rPr>
              <w:sz w:val="16"/>
              <w:szCs w:val="16"/>
            </w:rPr>
            <w:fldChar w:fldCharType="end"/>
          </w:r>
        </w:p>
      </w:tc>
      <w:tc>
        <w:tcPr>
          <w:tcW w:w="5103" w:type="dxa"/>
        </w:tcPr>
        <w:p w:rsidR="008F022A" w:rsidRPr="00130F37" w:rsidRDefault="008F022A" w:rsidP="00037B2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50F83">
            <w:rPr>
              <w:sz w:val="16"/>
              <w:szCs w:val="16"/>
            </w:rPr>
            <w:t>01/10/2020</w:t>
          </w:r>
          <w:r w:rsidRPr="00130F37">
            <w:rPr>
              <w:sz w:val="16"/>
              <w:szCs w:val="16"/>
            </w:rPr>
            <w:fldChar w:fldCharType="end"/>
          </w:r>
        </w:p>
      </w:tc>
      <w:tc>
        <w:tcPr>
          <w:tcW w:w="1701" w:type="dxa"/>
          <w:gridSpan w:val="2"/>
        </w:tcPr>
        <w:p w:rsidR="008F022A" w:rsidRPr="00130F37" w:rsidRDefault="008F022A" w:rsidP="00037B2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0F83">
            <w:rPr>
              <w:noProof/>
              <w:sz w:val="16"/>
              <w:szCs w:val="16"/>
            </w:rPr>
            <w:t>19/10/2020</w:t>
          </w:r>
          <w:r w:rsidRPr="00130F37">
            <w:rPr>
              <w:sz w:val="16"/>
              <w:szCs w:val="16"/>
            </w:rPr>
            <w:fldChar w:fldCharType="end"/>
          </w:r>
        </w:p>
      </w:tc>
    </w:tr>
  </w:tbl>
  <w:p w:rsidR="008F022A" w:rsidRPr="00D436F5" w:rsidRDefault="008F022A" w:rsidP="00FF6EA5">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8F022A" w:rsidRPr="007B3B51" w:rsidTr="00276AED">
      <w:tc>
        <w:tcPr>
          <w:tcW w:w="1247" w:type="dxa"/>
        </w:tcPr>
        <w:p w:rsidR="008F022A" w:rsidRPr="007B3B51" w:rsidRDefault="008F022A"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0F83">
            <w:rPr>
              <w:i/>
              <w:noProof/>
              <w:sz w:val="16"/>
              <w:szCs w:val="16"/>
            </w:rPr>
            <w:t>500</w:t>
          </w:r>
          <w:r w:rsidRPr="007B3B51">
            <w:rPr>
              <w:i/>
              <w:sz w:val="16"/>
              <w:szCs w:val="16"/>
            </w:rPr>
            <w:fldChar w:fldCharType="end"/>
          </w:r>
        </w:p>
      </w:tc>
      <w:tc>
        <w:tcPr>
          <w:tcW w:w="5387" w:type="dxa"/>
          <w:gridSpan w:val="3"/>
        </w:tcPr>
        <w:p w:rsidR="008F022A" w:rsidRPr="007B3B51" w:rsidRDefault="008F022A"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1838" w:type="dxa"/>
        </w:tcPr>
        <w:p w:rsidR="008F022A" w:rsidRPr="007B3B51" w:rsidRDefault="008F022A" w:rsidP="00D6304B">
          <w:pPr>
            <w:jc w:val="right"/>
            <w:rPr>
              <w:sz w:val="16"/>
              <w:szCs w:val="16"/>
            </w:rPr>
          </w:pPr>
        </w:p>
      </w:tc>
    </w:tr>
    <w:tr w:rsidR="008F022A" w:rsidRPr="0055472E" w:rsidTr="00276AED">
      <w:tc>
        <w:tcPr>
          <w:tcW w:w="2190" w:type="dxa"/>
          <w:gridSpan w:val="2"/>
        </w:tcPr>
        <w:p w:rsidR="008F022A" w:rsidRPr="0055472E" w:rsidRDefault="008F022A"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50F83">
            <w:rPr>
              <w:sz w:val="16"/>
              <w:szCs w:val="16"/>
            </w:rPr>
            <w:t>111</w:t>
          </w:r>
          <w:r w:rsidRPr="0055472E">
            <w:rPr>
              <w:sz w:val="16"/>
              <w:szCs w:val="16"/>
            </w:rPr>
            <w:fldChar w:fldCharType="end"/>
          </w:r>
        </w:p>
      </w:tc>
      <w:tc>
        <w:tcPr>
          <w:tcW w:w="2920" w:type="dxa"/>
        </w:tcPr>
        <w:p w:rsidR="008F022A" w:rsidRPr="0055472E" w:rsidRDefault="008F022A"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50F83">
            <w:rPr>
              <w:sz w:val="16"/>
              <w:szCs w:val="16"/>
            </w:rPr>
            <w:t>01/10/2020</w:t>
          </w:r>
          <w:r w:rsidRPr="0055472E">
            <w:rPr>
              <w:sz w:val="16"/>
              <w:szCs w:val="16"/>
            </w:rPr>
            <w:fldChar w:fldCharType="end"/>
          </w:r>
        </w:p>
      </w:tc>
      <w:tc>
        <w:tcPr>
          <w:tcW w:w="3362" w:type="dxa"/>
          <w:gridSpan w:val="2"/>
        </w:tcPr>
        <w:p w:rsidR="008F022A" w:rsidRPr="0055472E" w:rsidRDefault="008F022A"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50F83">
            <w:rPr>
              <w:sz w:val="16"/>
              <w:szCs w:val="16"/>
            </w:rPr>
            <w:instrText>19/10/2020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50F83">
            <w:rPr>
              <w:sz w:val="16"/>
              <w:szCs w:val="16"/>
            </w:rPr>
            <w:instrText>19/10/2020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50F83">
            <w:rPr>
              <w:noProof/>
              <w:sz w:val="16"/>
              <w:szCs w:val="16"/>
            </w:rPr>
            <w:t>19/10/2020</w:t>
          </w:r>
          <w:r w:rsidRPr="0055472E">
            <w:rPr>
              <w:sz w:val="16"/>
              <w:szCs w:val="16"/>
            </w:rPr>
            <w:fldChar w:fldCharType="end"/>
          </w:r>
        </w:p>
      </w:tc>
    </w:tr>
  </w:tbl>
  <w:p w:rsidR="008F022A" w:rsidRDefault="008F022A" w:rsidP="00D630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Default="008F022A" w:rsidP="001771E3">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D6304B">
    <w:pPr>
      <w:pBdr>
        <w:top w:val="single" w:sz="6" w:space="1" w:color="auto"/>
      </w:pBdr>
      <w:spacing w:before="120"/>
      <w:rPr>
        <w:sz w:val="16"/>
        <w:szCs w:val="16"/>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979"/>
    </w:tblGrid>
    <w:tr w:rsidR="008F022A" w:rsidRPr="007B3B51" w:rsidTr="00276AED">
      <w:tc>
        <w:tcPr>
          <w:tcW w:w="1247" w:type="dxa"/>
        </w:tcPr>
        <w:p w:rsidR="008F022A" w:rsidRPr="007B3B51" w:rsidRDefault="008F022A" w:rsidP="00D6304B">
          <w:pPr>
            <w:rPr>
              <w:i/>
              <w:sz w:val="16"/>
              <w:szCs w:val="16"/>
            </w:rPr>
          </w:pPr>
        </w:p>
      </w:tc>
      <w:tc>
        <w:tcPr>
          <w:tcW w:w="5387" w:type="dxa"/>
          <w:gridSpan w:val="3"/>
        </w:tcPr>
        <w:p w:rsidR="008F022A" w:rsidRPr="007B3B51" w:rsidRDefault="008F022A"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1979" w:type="dxa"/>
        </w:tcPr>
        <w:p w:rsidR="008F022A" w:rsidRPr="007B3B51" w:rsidRDefault="008F022A"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0F83">
            <w:rPr>
              <w:i/>
              <w:noProof/>
              <w:sz w:val="16"/>
              <w:szCs w:val="16"/>
            </w:rPr>
            <w:t>501</w:t>
          </w:r>
          <w:r w:rsidRPr="007B3B51">
            <w:rPr>
              <w:i/>
              <w:sz w:val="16"/>
              <w:szCs w:val="16"/>
            </w:rPr>
            <w:fldChar w:fldCharType="end"/>
          </w:r>
        </w:p>
      </w:tc>
    </w:tr>
    <w:tr w:rsidR="008F022A" w:rsidRPr="00130F37" w:rsidTr="00276AED">
      <w:tc>
        <w:tcPr>
          <w:tcW w:w="2190" w:type="dxa"/>
          <w:gridSpan w:val="2"/>
        </w:tcPr>
        <w:p w:rsidR="008F022A" w:rsidRPr="00130F37" w:rsidRDefault="008F022A"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0F83">
            <w:rPr>
              <w:sz w:val="16"/>
              <w:szCs w:val="16"/>
            </w:rPr>
            <w:t>111</w:t>
          </w:r>
          <w:r w:rsidRPr="00130F37">
            <w:rPr>
              <w:sz w:val="16"/>
              <w:szCs w:val="16"/>
            </w:rPr>
            <w:fldChar w:fldCharType="end"/>
          </w:r>
        </w:p>
      </w:tc>
      <w:tc>
        <w:tcPr>
          <w:tcW w:w="2920" w:type="dxa"/>
        </w:tcPr>
        <w:p w:rsidR="008F022A" w:rsidRPr="00130F37" w:rsidRDefault="008F022A"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50F83">
            <w:rPr>
              <w:sz w:val="16"/>
              <w:szCs w:val="16"/>
            </w:rPr>
            <w:t>01/10/2020</w:t>
          </w:r>
          <w:r w:rsidRPr="00130F37">
            <w:rPr>
              <w:sz w:val="16"/>
              <w:szCs w:val="16"/>
            </w:rPr>
            <w:fldChar w:fldCharType="end"/>
          </w:r>
        </w:p>
      </w:tc>
      <w:tc>
        <w:tcPr>
          <w:tcW w:w="3503" w:type="dxa"/>
          <w:gridSpan w:val="2"/>
        </w:tcPr>
        <w:p w:rsidR="008F022A" w:rsidRPr="00130F37" w:rsidRDefault="008F022A"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0F83">
            <w:rPr>
              <w:noProof/>
              <w:sz w:val="16"/>
              <w:szCs w:val="16"/>
            </w:rPr>
            <w:t>19/10/2020</w:t>
          </w:r>
          <w:r w:rsidRPr="00130F37">
            <w:rPr>
              <w:sz w:val="16"/>
              <w:szCs w:val="16"/>
            </w:rPr>
            <w:fldChar w:fldCharType="end"/>
          </w:r>
        </w:p>
      </w:tc>
    </w:tr>
  </w:tbl>
  <w:p w:rsidR="008F022A" w:rsidRDefault="008F022A" w:rsidP="00D6304B"/>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036D32">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8F022A" w:rsidRPr="007B3B51" w:rsidTr="00036D32">
      <w:tc>
        <w:tcPr>
          <w:tcW w:w="1139" w:type="dxa"/>
        </w:tcPr>
        <w:p w:rsidR="008F022A" w:rsidRPr="007B3B51" w:rsidRDefault="008F022A" w:rsidP="00036D32">
          <w:pPr>
            <w:rPr>
              <w:i/>
              <w:sz w:val="16"/>
              <w:szCs w:val="16"/>
            </w:rPr>
          </w:pPr>
        </w:p>
      </w:tc>
      <w:tc>
        <w:tcPr>
          <w:tcW w:w="5807" w:type="dxa"/>
          <w:gridSpan w:val="3"/>
        </w:tcPr>
        <w:p w:rsidR="008F022A" w:rsidRPr="007B3B51" w:rsidRDefault="008F022A" w:rsidP="00036D3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1418" w:type="dxa"/>
        </w:tcPr>
        <w:p w:rsidR="008F022A" w:rsidRPr="007B3B51" w:rsidRDefault="008F022A" w:rsidP="00036D3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8F022A" w:rsidRPr="00130F37" w:rsidTr="00036D32">
      <w:tc>
        <w:tcPr>
          <w:tcW w:w="1418" w:type="dxa"/>
          <w:gridSpan w:val="2"/>
        </w:tcPr>
        <w:p w:rsidR="008F022A" w:rsidRPr="00130F37" w:rsidRDefault="008F022A" w:rsidP="00036D3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0F83">
            <w:rPr>
              <w:sz w:val="16"/>
              <w:szCs w:val="16"/>
            </w:rPr>
            <w:t>111</w:t>
          </w:r>
          <w:r w:rsidRPr="00130F37">
            <w:rPr>
              <w:sz w:val="16"/>
              <w:szCs w:val="16"/>
            </w:rPr>
            <w:fldChar w:fldCharType="end"/>
          </w:r>
        </w:p>
      </w:tc>
      <w:tc>
        <w:tcPr>
          <w:tcW w:w="5245" w:type="dxa"/>
        </w:tcPr>
        <w:p w:rsidR="008F022A" w:rsidRPr="00130F37" w:rsidRDefault="008F022A" w:rsidP="00036D3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50F83">
            <w:rPr>
              <w:sz w:val="16"/>
              <w:szCs w:val="16"/>
            </w:rPr>
            <w:t>01/10/2020</w:t>
          </w:r>
          <w:r w:rsidRPr="00130F37">
            <w:rPr>
              <w:sz w:val="16"/>
              <w:szCs w:val="16"/>
            </w:rPr>
            <w:fldChar w:fldCharType="end"/>
          </w:r>
        </w:p>
      </w:tc>
      <w:tc>
        <w:tcPr>
          <w:tcW w:w="1701" w:type="dxa"/>
          <w:gridSpan w:val="2"/>
        </w:tcPr>
        <w:p w:rsidR="008F022A" w:rsidRPr="00130F37" w:rsidRDefault="008F022A" w:rsidP="00036D3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0F83">
            <w:rPr>
              <w:noProof/>
              <w:sz w:val="16"/>
              <w:szCs w:val="16"/>
            </w:rPr>
            <w:t>19/10/2020</w:t>
          </w:r>
          <w:r w:rsidRPr="00130F37">
            <w:rPr>
              <w:sz w:val="16"/>
              <w:szCs w:val="16"/>
            </w:rPr>
            <w:fldChar w:fldCharType="end"/>
          </w:r>
        </w:p>
      </w:tc>
    </w:tr>
  </w:tbl>
  <w:p w:rsidR="008F022A" w:rsidRPr="001D4A74" w:rsidRDefault="008F022A" w:rsidP="00036D32">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D6304B">
    <w:pPr>
      <w:pBdr>
        <w:top w:val="single" w:sz="6" w:space="1" w:color="auto"/>
      </w:pBdr>
      <w:spacing w:before="120"/>
      <w:rPr>
        <w:sz w:val="16"/>
        <w:szCs w:val="16"/>
      </w:rPr>
    </w:pPr>
  </w:p>
  <w:tbl>
    <w:tblPr>
      <w:tblStyle w:val="TableGrid"/>
      <w:tblW w:w="13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457"/>
      <w:gridCol w:w="9174"/>
      <w:gridCol w:w="279"/>
      <w:gridCol w:w="1880"/>
    </w:tblGrid>
    <w:tr w:rsidR="008F022A" w:rsidRPr="007B3B51" w:rsidTr="0025219C">
      <w:tc>
        <w:tcPr>
          <w:tcW w:w="1700" w:type="dxa"/>
        </w:tcPr>
        <w:p w:rsidR="008F022A" w:rsidRPr="007B3B51" w:rsidRDefault="008F022A"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0F83">
            <w:rPr>
              <w:i/>
              <w:noProof/>
              <w:sz w:val="16"/>
              <w:szCs w:val="16"/>
            </w:rPr>
            <w:t>502</w:t>
          </w:r>
          <w:r w:rsidRPr="007B3B51">
            <w:rPr>
              <w:i/>
              <w:sz w:val="16"/>
              <w:szCs w:val="16"/>
            </w:rPr>
            <w:fldChar w:fldCharType="end"/>
          </w:r>
        </w:p>
      </w:tc>
      <w:tc>
        <w:tcPr>
          <w:tcW w:w="9910" w:type="dxa"/>
          <w:gridSpan w:val="3"/>
        </w:tcPr>
        <w:p w:rsidR="008F022A" w:rsidRPr="007B3B51" w:rsidRDefault="008F022A"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1880" w:type="dxa"/>
        </w:tcPr>
        <w:p w:rsidR="008F022A" w:rsidRPr="007B3B51" w:rsidRDefault="008F022A" w:rsidP="00D6304B">
          <w:pPr>
            <w:jc w:val="right"/>
            <w:rPr>
              <w:sz w:val="16"/>
              <w:szCs w:val="16"/>
            </w:rPr>
          </w:pPr>
        </w:p>
      </w:tc>
    </w:tr>
    <w:tr w:rsidR="008F022A" w:rsidRPr="0055472E" w:rsidTr="0025219C">
      <w:tc>
        <w:tcPr>
          <w:tcW w:w="2157" w:type="dxa"/>
          <w:gridSpan w:val="2"/>
        </w:tcPr>
        <w:p w:rsidR="008F022A" w:rsidRPr="0055472E" w:rsidRDefault="008F022A"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50F83">
            <w:rPr>
              <w:sz w:val="16"/>
              <w:szCs w:val="16"/>
            </w:rPr>
            <w:t>111</w:t>
          </w:r>
          <w:r w:rsidRPr="0055472E">
            <w:rPr>
              <w:sz w:val="16"/>
              <w:szCs w:val="16"/>
            </w:rPr>
            <w:fldChar w:fldCharType="end"/>
          </w:r>
        </w:p>
      </w:tc>
      <w:tc>
        <w:tcPr>
          <w:tcW w:w="9174" w:type="dxa"/>
        </w:tcPr>
        <w:p w:rsidR="008F022A" w:rsidRPr="0055472E" w:rsidRDefault="008F022A"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50F83">
            <w:rPr>
              <w:sz w:val="16"/>
              <w:szCs w:val="16"/>
            </w:rPr>
            <w:t>01/10/2020</w:t>
          </w:r>
          <w:r w:rsidRPr="0055472E">
            <w:rPr>
              <w:sz w:val="16"/>
              <w:szCs w:val="16"/>
            </w:rPr>
            <w:fldChar w:fldCharType="end"/>
          </w:r>
        </w:p>
      </w:tc>
      <w:tc>
        <w:tcPr>
          <w:tcW w:w="2159" w:type="dxa"/>
          <w:gridSpan w:val="2"/>
        </w:tcPr>
        <w:p w:rsidR="008F022A" w:rsidRPr="0055472E" w:rsidRDefault="008F022A"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50F83">
            <w:rPr>
              <w:sz w:val="16"/>
              <w:szCs w:val="16"/>
            </w:rPr>
            <w:instrText>19/10/2020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50F83">
            <w:rPr>
              <w:sz w:val="16"/>
              <w:szCs w:val="16"/>
            </w:rPr>
            <w:instrText>19/10/2020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50F83">
            <w:rPr>
              <w:noProof/>
              <w:sz w:val="16"/>
              <w:szCs w:val="16"/>
            </w:rPr>
            <w:t>19/10/2020</w:t>
          </w:r>
          <w:r w:rsidRPr="0055472E">
            <w:rPr>
              <w:sz w:val="16"/>
              <w:szCs w:val="16"/>
            </w:rPr>
            <w:fldChar w:fldCharType="end"/>
          </w:r>
        </w:p>
      </w:tc>
    </w:tr>
  </w:tbl>
  <w:p w:rsidR="008F022A" w:rsidRPr="00D6304B" w:rsidRDefault="008F022A" w:rsidP="00D6304B">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D6304B">
    <w:pPr>
      <w:pBdr>
        <w:top w:val="single" w:sz="6" w:space="1" w:color="auto"/>
      </w:pBdr>
      <w:spacing w:before="120"/>
      <w:rPr>
        <w:sz w:val="16"/>
        <w:szCs w:val="16"/>
      </w:rPr>
    </w:pP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466"/>
      <w:gridCol w:w="9117"/>
      <w:gridCol w:w="283"/>
      <w:gridCol w:w="1843"/>
    </w:tblGrid>
    <w:tr w:rsidR="008F022A" w:rsidRPr="007B3B51" w:rsidTr="00D6304B">
      <w:tc>
        <w:tcPr>
          <w:tcW w:w="1724" w:type="dxa"/>
        </w:tcPr>
        <w:p w:rsidR="008F022A" w:rsidRPr="007B3B51" w:rsidRDefault="008F022A" w:rsidP="00D6304B">
          <w:pPr>
            <w:rPr>
              <w:i/>
              <w:sz w:val="16"/>
              <w:szCs w:val="16"/>
            </w:rPr>
          </w:pPr>
        </w:p>
      </w:tc>
      <w:tc>
        <w:tcPr>
          <w:tcW w:w="9866" w:type="dxa"/>
          <w:gridSpan w:val="3"/>
        </w:tcPr>
        <w:p w:rsidR="008F022A" w:rsidRPr="007B3B51" w:rsidRDefault="008F022A"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1843" w:type="dxa"/>
        </w:tcPr>
        <w:p w:rsidR="008F022A" w:rsidRPr="007B3B51" w:rsidRDefault="008F022A"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503</w:t>
          </w:r>
          <w:r w:rsidRPr="007B3B51">
            <w:rPr>
              <w:i/>
              <w:sz w:val="16"/>
              <w:szCs w:val="16"/>
            </w:rPr>
            <w:fldChar w:fldCharType="end"/>
          </w:r>
        </w:p>
      </w:tc>
    </w:tr>
    <w:tr w:rsidR="008F022A" w:rsidRPr="00130F37" w:rsidTr="00D6304B">
      <w:tc>
        <w:tcPr>
          <w:tcW w:w="2190" w:type="dxa"/>
          <w:gridSpan w:val="2"/>
        </w:tcPr>
        <w:p w:rsidR="008F022A" w:rsidRPr="00130F37" w:rsidRDefault="008F022A"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0F83">
            <w:rPr>
              <w:sz w:val="16"/>
              <w:szCs w:val="16"/>
            </w:rPr>
            <w:t>111</w:t>
          </w:r>
          <w:r w:rsidRPr="00130F37">
            <w:rPr>
              <w:sz w:val="16"/>
              <w:szCs w:val="16"/>
            </w:rPr>
            <w:fldChar w:fldCharType="end"/>
          </w:r>
        </w:p>
      </w:tc>
      <w:tc>
        <w:tcPr>
          <w:tcW w:w="9117" w:type="dxa"/>
        </w:tcPr>
        <w:p w:rsidR="008F022A" w:rsidRPr="00130F37" w:rsidRDefault="008F022A"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50F83">
            <w:rPr>
              <w:sz w:val="16"/>
              <w:szCs w:val="16"/>
            </w:rPr>
            <w:t>01/10/2020</w:t>
          </w:r>
          <w:r w:rsidRPr="00130F37">
            <w:rPr>
              <w:sz w:val="16"/>
              <w:szCs w:val="16"/>
            </w:rPr>
            <w:fldChar w:fldCharType="end"/>
          </w:r>
        </w:p>
      </w:tc>
      <w:tc>
        <w:tcPr>
          <w:tcW w:w="2126" w:type="dxa"/>
          <w:gridSpan w:val="2"/>
        </w:tcPr>
        <w:p w:rsidR="008F022A" w:rsidRPr="00130F37" w:rsidRDefault="008F022A"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0F83">
            <w:rPr>
              <w:noProof/>
              <w:sz w:val="16"/>
              <w:szCs w:val="16"/>
            </w:rPr>
            <w:t>19/10/2020</w:t>
          </w:r>
          <w:r w:rsidRPr="00130F37">
            <w:rPr>
              <w:sz w:val="16"/>
              <w:szCs w:val="16"/>
            </w:rPr>
            <w:fldChar w:fldCharType="end"/>
          </w:r>
        </w:p>
      </w:tc>
    </w:tr>
  </w:tbl>
  <w:p w:rsidR="008F022A" w:rsidRPr="00D6304B" w:rsidRDefault="008F022A" w:rsidP="00D6304B">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7E090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8F022A" w:rsidRPr="007B3B51" w:rsidTr="001D4A74">
      <w:tc>
        <w:tcPr>
          <w:tcW w:w="1139" w:type="dxa"/>
        </w:tcPr>
        <w:p w:rsidR="008F022A" w:rsidRPr="007B3B51" w:rsidRDefault="008F022A" w:rsidP="001D4A74">
          <w:pPr>
            <w:rPr>
              <w:i/>
              <w:sz w:val="16"/>
              <w:szCs w:val="16"/>
            </w:rPr>
          </w:pPr>
        </w:p>
      </w:tc>
      <w:tc>
        <w:tcPr>
          <w:tcW w:w="5807" w:type="dxa"/>
          <w:gridSpan w:val="3"/>
        </w:tcPr>
        <w:p w:rsidR="008F022A" w:rsidRPr="007B3B51" w:rsidRDefault="008F022A" w:rsidP="001D4A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1418" w:type="dxa"/>
        </w:tcPr>
        <w:p w:rsidR="008F022A" w:rsidRPr="007B3B51" w:rsidRDefault="008F022A" w:rsidP="001D4A7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8F022A" w:rsidRPr="00130F37" w:rsidTr="001D4A74">
      <w:tc>
        <w:tcPr>
          <w:tcW w:w="1418" w:type="dxa"/>
          <w:gridSpan w:val="2"/>
        </w:tcPr>
        <w:p w:rsidR="008F022A" w:rsidRPr="00130F37" w:rsidRDefault="008F022A" w:rsidP="001D4A7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0F83">
            <w:rPr>
              <w:sz w:val="16"/>
              <w:szCs w:val="16"/>
            </w:rPr>
            <w:t>111</w:t>
          </w:r>
          <w:r w:rsidRPr="00130F37">
            <w:rPr>
              <w:sz w:val="16"/>
              <w:szCs w:val="16"/>
            </w:rPr>
            <w:fldChar w:fldCharType="end"/>
          </w:r>
        </w:p>
      </w:tc>
      <w:tc>
        <w:tcPr>
          <w:tcW w:w="5245" w:type="dxa"/>
        </w:tcPr>
        <w:p w:rsidR="008F022A" w:rsidRPr="00130F37" w:rsidRDefault="008F022A" w:rsidP="001D4A7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50F83">
            <w:rPr>
              <w:sz w:val="16"/>
              <w:szCs w:val="16"/>
            </w:rPr>
            <w:t>01/10/2020</w:t>
          </w:r>
          <w:r w:rsidRPr="00130F37">
            <w:rPr>
              <w:sz w:val="16"/>
              <w:szCs w:val="16"/>
            </w:rPr>
            <w:fldChar w:fldCharType="end"/>
          </w:r>
        </w:p>
      </w:tc>
      <w:tc>
        <w:tcPr>
          <w:tcW w:w="1701" w:type="dxa"/>
          <w:gridSpan w:val="2"/>
        </w:tcPr>
        <w:p w:rsidR="008F022A" w:rsidRPr="00130F37" w:rsidRDefault="008F022A" w:rsidP="001D4A7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0F83">
            <w:rPr>
              <w:noProof/>
              <w:sz w:val="16"/>
              <w:szCs w:val="16"/>
            </w:rPr>
            <w:t>19/10/2020</w:t>
          </w:r>
          <w:r w:rsidRPr="00130F37">
            <w:rPr>
              <w:sz w:val="16"/>
              <w:szCs w:val="16"/>
            </w:rPr>
            <w:fldChar w:fldCharType="end"/>
          </w:r>
        </w:p>
      </w:tc>
    </w:tr>
  </w:tbl>
  <w:p w:rsidR="008F022A" w:rsidRPr="00C007BE" w:rsidRDefault="008F022A" w:rsidP="007E0907">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D6304B">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8F022A" w:rsidRPr="007B3B51" w:rsidTr="00276AED">
      <w:tc>
        <w:tcPr>
          <w:tcW w:w="1247" w:type="dxa"/>
        </w:tcPr>
        <w:p w:rsidR="008F022A" w:rsidRPr="007B3B51" w:rsidRDefault="008F022A"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0F83">
            <w:rPr>
              <w:i/>
              <w:noProof/>
              <w:sz w:val="16"/>
              <w:szCs w:val="16"/>
            </w:rPr>
            <w:t>504</w:t>
          </w:r>
          <w:r w:rsidRPr="007B3B51">
            <w:rPr>
              <w:i/>
              <w:sz w:val="16"/>
              <w:szCs w:val="16"/>
            </w:rPr>
            <w:fldChar w:fldCharType="end"/>
          </w:r>
        </w:p>
      </w:tc>
      <w:tc>
        <w:tcPr>
          <w:tcW w:w="5387" w:type="dxa"/>
          <w:gridSpan w:val="3"/>
        </w:tcPr>
        <w:p w:rsidR="008F022A" w:rsidRPr="007B3B51" w:rsidRDefault="008F022A"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1696" w:type="dxa"/>
        </w:tcPr>
        <w:p w:rsidR="008F022A" w:rsidRPr="007B3B51" w:rsidRDefault="008F022A" w:rsidP="00D6304B">
          <w:pPr>
            <w:jc w:val="right"/>
            <w:rPr>
              <w:sz w:val="16"/>
              <w:szCs w:val="16"/>
            </w:rPr>
          </w:pPr>
        </w:p>
      </w:tc>
    </w:tr>
    <w:tr w:rsidR="008F022A" w:rsidRPr="0055472E" w:rsidTr="00276AED">
      <w:tc>
        <w:tcPr>
          <w:tcW w:w="2190" w:type="dxa"/>
          <w:gridSpan w:val="2"/>
        </w:tcPr>
        <w:p w:rsidR="008F022A" w:rsidRPr="0055472E" w:rsidRDefault="008F022A"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50F83">
            <w:rPr>
              <w:sz w:val="16"/>
              <w:szCs w:val="16"/>
            </w:rPr>
            <w:t>111</w:t>
          </w:r>
          <w:r w:rsidRPr="0055472E">
            <w:rPr>
              <w:sz w:val="16"/>
              <w:szCs w:val="16"/>
            </w:rPr>
            <w:fldChar w:fldCharType="end"/>
          </w:r>
        </w:p>
      </w:tc>
      <w:tc>
        <w:tcPr>
          <w:tcW w:w="2920" w:type="dxa"/>
        </w:tcPr>
        <w:p w:rsidR="008F022A" w:rsidRPr="0055472E" w:rsidRDefault="008F022A"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50F83">
            <w:rPr>
              <w:sz w:val="16"/>
              <w:szCs w:val="16"/>
            </w:rPr>
            <w:t>01/10/2020</w:t>
          </w:r>
          <w:r w:rsidRPr="0055472E">
            <w:rPr>
              <w:sz w:val="16"/>
              <w:szCs w:val="16"/>
            </w:rPr>
            <w:fldChar w:fldCharType="end"/>
          </w:r>
        </w:p>
      </w:tc>
      <w:tc>
        <w:tcPr>
          <w:tcW w:w="3220" w:type="dxa"/>
          <w:gridSpan w:val="2"/>
        </w:tcPr>
        <w:p w:rsidR="008F022A" w:rsidRPr="0055472E" w:rsidRDefault="008F022A"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50F83">
            <w:rPr>
              <w:sz w:val="16"/>
              <w:szCs w:val="16"/>
            </w:rPr>
            <w:instrText>19/10/2020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50F83">
            <w:rPr>
              <w:sz w:val="16"/>
              <w:szCs w:val="16"/>
            </w:rPr>
            <w:instrText>19/10/2020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50F83">
            <w:rPr>
              <w:noProof/>
              <w:sz w:val="16"/>
              <w:szCs w:val="16"/>
            </w:rPr>
            <w:t>19/10/2020</w:t>
          </w:r>
          <w:r w:rsidRPr="0055472E">
            <w:rPr>
              <w:sz w:val="16"/>
              <w:szCs w:val="16"/>
            </w:rPr>
            <w:fldChar w:fldCharType="end"/>
          </w:r>
        </w:p>
      </w:tc>
    </w:tr>
  </w:tbl>
  <w:p w:rsidR="008F022A" w:rsidRDefault="008F022A" w:rsidP="00D6304B"/>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D6304B">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8F022A" w:rsidRPr="007B3B51" w:rsidTr="004B3D84">
      <w:tc>
        <w:tcPr>
          <w:tcW w:w="1247" w:type="dxa"/>
        </w:tcPr>
        <w:p w:rsidR="008F022A" w:rsidRPr="007B3B51" w:rsidRDefault="008F022A" w:rsidP="00D6304B">
          <w:pPr>
            <w:rPr>
              <w:i/>
              <w:sz w:val="16"/>
              <w:szCs w:val="16"/>
            </w:rPr>
          </w:pPr>
        </w:p>
      </w:tc>
      <w:tc>
        <w:tcPr>
          <w:tcW w:w="5387" w:type="dxa"/>
          <w:gridSpan w:val="3"/>
        </w:tcPr>
        <w:p w:rsidR="008F022A" w:rsidRPr="007B3B51" w:rsidRDefault="008F022A"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1696" w:type="dxa"/>
        </w:tcPr>
        <w:p w:rsidR="008F022A" w:rsidRPr="007B3B51" w:rsidRDefault="008F022A"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0F83">
            <w:rPr>
              <w:i/>
              <w:noProof/>
              <w:sz w:val="16"/>
              <w:szCs w:val="16"/>
            </w:rPr>
            <w:t>505</w:t>
          </w:r>
          <w:r w:rsidRPr="007B3B51">
            <w:rPr>
              <w:i/>
              <w:sz w:val="16"/>
              <w:szCs w:val="16"/>
            </w:rPr>
            <w:fldChar w:fldCharType="end"/>
          </w:r>
        </w:p>
      </w:tc>
    </w:tr>
    <w:tr w:rsidR="008F022A" w:rsidRPr="00130F37" w:rsidTr="004B3D84">
      <w:tc>
        <w:tcPr>
          <w:tcW w:w="2190" w:type="dxa"/>
          <w:gridSpan w:val="2"/>
        </w:tcPr>
        <w:p w:rsidR="008F022A" w:rsidRPr="00130F37" w:rsidRDefault="008F022A"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0F83">
            <w:rPr>
              <w:sz w:val="16"/>
              <w:szCs w:val="16"/>
            </w:rPr>
            <w:t>111</w:t>
          </w:r>
          <w:r w:rsidRPr="00130F37">
            <w:rPr>
              <w:sz w:val="16"/>
              <w:szCs w:val="16"/>
            </w:rPr>
            <w:fldChar w:fldCharType="end"/>
          </w:r>
        </w:p>
      </w:tc>
      <w:tc>
        <w:tcPr>
          <w:tcW w:w="2920" w:type="dxa"/>
        </w:tcPr>
        <w:p w:rsidR="008F022A" w:rsidRPr="00130F37" w:rsidRDefault="008F022A"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50F83">
            <w:rPr>
              <w:sz w:val="16"/>
              <w:szCs w:val="16"/>
            </w:rPr>
            <w:t>01/10/2020</w:t>
          </w:r>
          <w:r w:rsidRPr="00130F37">
            <w:rPr>
              <w:sz w:val="16"/>
              <w:szCs w:val="16"/>
            </w:rPr>
            <w:fldChar w:fldCharType="end"/>
          </w:r>
        </w:p>
      </w:tc>
      <w:tc>
        <w:tcPr>
          <w:tcW w:w="3220" w:type="dxa"/>
          <w:gridSpan w:val="2"/>
        </w:tcPr>
        <w:p w:rsidR="008F022A" w:rsidRPr="00130F37" w:rsidRDefault="008F022A"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0F83">
            <w:rPr>
              <w:noProof/>
              <w:sz w:val="16"/>
              <w:szCs w:val="16"/>
            </w:rPr>
            <w:t>19/10/2020</w:t>
          </w:r>
          <w:r w:rsidRPr="00130F37">
            <w:rPr>
              <w:sz w:val="16"/>
              <w:szCs w:val="16"/>
            </w:rPr>
            <w:fldChar w:fldCharType="end"/>
          </w:r>
        </w:p>
      </w:tc>
    </w:tr>
  </w:tbl>
  <w:p w:rsidR="008F022A" w:rsidRDefault="008F022A" w:rsidP="00D6304B"/>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D6304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F022A" w:rsidRPr="007B3B51" w:rsidTr="00D6304B">
      <w:tc>
        <w:tcPr>
          <w:tcW w:w="1247" w:type="dxa"/>
        </w:tcPr>
        <w:p w:rsidR="008F022A" w:rsidRPr="007B3B51" w:rsidRDefault="008F022A" w:rsidP="00D6304B">
          <w:pPr>
            <w:rPr>
              <w:i/>
              <w:sz w:val="16"/>
              <w:szCs w:val="16"/>
            </w:rPr>
          </w:pPr>
        </w:p>
      </w:tc>
      <w:tc>
        <w:tcPr>
          <w:tcW w:w="5387" w:type="dxa"/>
          <w:gridSpan w:val="3"/>
        </w:tcPr>
        <w:p w:rsidR="008F022A" w:rsidRPr="007B3B51" w:rsidRDefault="008F022A"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669" w:type="dxa"/>
        </w:tcPr>
        <w:p w:rsidR="008F022A" w:rsidRPr="007B3B51" w:rsidRDefault="008F022A"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8F022A" w:rsidRPr="00130F37" w:rsidTr="00D6304B">
      <w:tc>
        <w:tcPr>
          <w:tcW w:w="2190" w:type="dxa"/>
          <w:gridSpan w:val="2"/>
        </w:tcPr>
        <w:p w:rsidR="008F022A" w:rsidRPr="00130F37" w:rsidRDefault="008F022A"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0F83">
            <w:rPr>
              <w:sz w:val="16"/>
              <w:szCs w:val="16"/>
            </w:rPr>
            <w:t>111</w:t>
          </w:r>
          <w:r w:rsidRPr="00130F37">
            <w:rPr>
              <w:sz w:val="16"/>
              <w:szCs w:val="16"/>
            </w:rPr>
            <w:fldChar w:fldCharType="end"/>
          </w:r>
        </w:p>
      </w:tc>
      <w:tc>
        <w:tcPr>
          <w:tcW w:w="2920" w:type="dxa"/>
        </w:tcPr>
        <w:p w:rsidR="008F022A" w:rsidRPr="00130F37" w:rsidRDefault="008F022A"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50F83">
            <w:rPr>
              <w:sz w:val="16"/>
              <w:szCs w:val="16"/>
            </w:rPr>
            <w:t>01/10/2020</w:t>
          </w:r>
          <w:r w:rsidRPr="00130F37">
            <w:rPr>
              <w:sz w:val="16"/>
              <w:szCs w:val="16"/>
            </w:rPr>
            <w:fldChar w:fldCharType="end"/>
          </w:r>
        </w:p>
      </w:tc>
      <w:tc>
        <w:tcPr>
          <w:tcW w:w="2193" w:type="dxa"/>
          <w:gridSpan w:val="2"/>
        </w:tcPr>
        <w:p w:rsidR="008F022A" w:rsidRPr="00130F37" w:rsidRDefault="008F022A"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0F83">
            <w:rPr>
              <w:noProof/>
              <w:sz w:val="16"/>
              <w:szCs w:val="16"/>
            </w:rPr>
            <w:t>19/10/2020</w:t>
          </w:r>
          <w:r w:rsidRPr="00130F37">
            <w:rPr>
              <w:sz w:val="16"/>
              <w:szCs w:val="16"/>
            </w:rPr>
            <w:fldChar w:fldCharType="end"/>
          </w:r>
        </w:p>
      </w:tc>
    </w:tr>
  </w:tbl>
  <w:p w:rsidR="008F022A" w:rsidRDefault="008F022A" w:rsidP="00D6304B"/>
  <w:p w:rsidR="008F022A" w:rsidRPr="001B0025" w:rsidRDefault="008F022A" w:rsidP="00D6304B">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8F022A" w:rsidRPr="007B3B51" w:rsidTr="00276AED">
      <w:tc>
        <w:tcPr>
          <w:tcW w:w="1247" w:type="dxa"/>
        </w:tcPr>
        <w:p w:rsidR="008F022A" w:rsidRPr="007B3B51" w:rsidRDefault="008F022A"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0F83">
            <w:rPr>
              <w:i/>
              <w:noProof/>
              <w:sz w:val="16"/>
              <w:szCs w:val="16"/>
            </w:rPr>
            <w:t>518</w:t>
          </w:r>
          <w:r w:rsidRPr="007B3B51">
            <w:rPr>
              <w:i/>
              <w:sz w:val="16"/>
              <w:szCs w:val="16"/>
            </w:rPr>
            <w:fldChar w:fldCharType="end"/>
          </w:r>
        </w:p>
      </w:tc>
      <w:tc>
        <w:tcPr>
          <w:tcW w:w="5387" w:type="dxa"/>
          <w:gridSpan w:val="3"/>
        </w:tcPr>
        <w:p w:rsidR="008F022A" w:rsidRPr="007B3B51" w:rsidRDefault="008F022A"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1838" w:type="dxa"/>
        </w:tcPr>
        <w:p w:rsidR="008F022A" w:rsidRPr="007B3B51" w:rsidRDefault="008F022A" w:rsidP="00D6304B">
          <w:pPr>
            <w:jc w:val="right"/>
            <w:rPr>
              <w:sz w:val="16"/>
              <w:szCs w:val="16"/>
            </w:rPr>
          </w:pPr>
        </w:p>
      </w:tc>
    </w:tr>
    <w:tr w:rsidR="008F022A" w:rsidRPr="0055472E" w:rsidTr="00276AED">
      <w:tc>
        <w:tcPr>
          <w:tcW w:w="2190" w:type="dxa"/>
          <w:gridSpan w:val="2"/>
        </w:tcPr>
        <w:p w:rsidR="008F022A" w:rsidRPr="0055472E" w:rsidRDefault="008F022A"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50F83">
            <w:rPr>
              <w:sz w:val="16"/>
              <w:szCs w:val="16"/>
            </w:rPr>
            <w:t>111</w:t>
          </w:r>
          <w:r w:rsidRPr="0055472E">
            <w:rPr>
              <w:sz w:val="16"/>
              <w:szCs w:val="16"/>
            </w:rPr>
            <w:fldChar w:fldCharType="end"/>
          </w:r>
        </w:p>
      </w:tc>
      <w:tc>
        <w:tcPr>
          <w:tcW w:w="2920" w:type="dxa"/>
        </w:tcPr>
        <w:p w:rsidR="008F022A" w:rsidRPr="0055472E" w:rsidRDefault="008F022A"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50F83">
            <w:rPr>
              <w:sz w:val="16"/>
              <w:szCs w:val="16"/>
            </w:rPr>
            <w:t>01/10/2020</w:t>
          </w:r>
          <w:r w:rsidRPr="0055472E">
            <w:rPr>
              <w:sz w:val="16"/>
              <w:szCs w:val="16"/>
            </w:rPr>
            <w:fldChar w:fldCharType="end"/>
          </w:r>
        </w:p>
      </w:tc>
      <w:tc>
        <w:tcPr>
          <w:tcW w:w="3362" w:type="dxa"/>
          <w:gridSpan w:val="2"/>
        </w:tcPr>
        <w:p w:rsidR="008F022A" w:rsidRPr="0055472E" w:rsidRDefault="008F022A"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50F83">
            <w:rPr>
              <w:sz w:val="16"/>
              <w:szCs w:val="16"/>
            </w:rPr>
            <w:instrText>19/10/2020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50F83">
            <w:rPr>
              <w:sz w:val="16"/>
              <w:szCs w:val="16"/>
            </w:rPr>
            <w:instrText>19/10/2020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50F83">
            <w:rPr>
              <w:noProof/>
              <w:sz w:val="16"/>
              <w:szCs w:val="16"/>
            </w:rPr>
            <w:t>19/10/2020</w:t>
          </w:r>
          <w:r w:rsidRPr="0055472E">
            <w:rPr>
              <w:sz w:val="16"/>
              <w:szCs w:val="16"/>
            </w:rPr>
            <w:fldChar w:fldCharType="end"/>
          </w:r>
        </w:p>
      </w:tc>
    </w:tr>
  </w:tbl>
  <w:p w:rsidR="008F022A" w:rsidRDefault="008F022A" w:rsidP="00D6304B"/>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8F022A" w:rsidRPr="007B3B51" w:rsidTr="00276AED">
      <w:tc>
        <w:tcPr>
          <w:tcW w:w="1247" w:type="dxa"/>
        </w:tcPr>
        <w:p w:rsidR="008F022A" w:rsidRPr="007B3B51" w:rsidRDefault="008F022A" w:rsidP="00D6304B">
          <w:pPr>
            <w:rPr>
              <w:i/>
              <w:sz w:val="16"/>
              <w:szCs w:val="16"/>
            </w:rPr>
          </w:pPr>
        </w:p>
      </w:tc>
      <w:tc>
        <w:tcPr>
          <w:tcW w:w="5387" w:type="dxa"/>
          <w:gridSpan w:val="3"/>
        </w:tcPr>
        <w:p w:rsidR="008F022A" w:rsidRPr="007B3B51" w:rsidRDefault="008F022A"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1838" w:type="dxa"/>
        </w:tcPr>
        <w:p w:rsidR="008F022A" w:rsidRPr="007B3B51" w:rsidRDefault="008F022A"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50F83">
            <w:rPr>
              <w:i/>
              <w:noProof/>
              <w:sz w:val="16"/>
              <w:szCs w:val="16"/>
            </w:rPr>
            <w:t>519</w:t>
          </w:r>
          <w:r w:rsidRPr="007B3B51">
            <w:rPr>
              <w:i/>
              <w:sz w:val="16"/>
              <w:szCs w:val="16"/>
            </w:rPr>
            <w:fldChar w:fldCharType="end"/>
          </w:r>
        </w:p>
      </w:tc>
    </w:tr>
    <w:tr w:rsidR="008F022A" w:rsidRPr="00130F37" w:rsidTr="00276AED">
      <w:tc>
        <w:tcPr>
          <w:tcW w:w="2190" w:type="dxa"/>
          <w:gridSpan w:val="2"/>
        </w:tcPr>
        <w:p w:rsidR="008F022A" w:rsidRPr="00130F37" w:rsidRDefault="008F022A"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0F83">
            <w:rPr>
              <w:sz w:val="16"/>
              <w:szCs w:val="16"/>
            </w:rPr>
            <w:t>111</w:t>
          </w:r>
          <w:r w:rsidRPr="00130F37">
            <w:rPr>
              <w:sz w:val="16"/>
              <w:szCs w:val="16"/>
            </w:rPr>
            <w:fldChar w:fldCharType="end"/>
          </w:r>
        </w:p>
      </w:tc>
      <w:tc>
        <w:tcPr>
          <w:tcW w:w="2920" w:type="dxa"/>
        </w:tcPr>
        <w:p w:rsidR="008F022A" w:rsidRPr="00130F37" w:rsidRDefault="008F022A"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50F83">
            <w:rPr>
              <w:sz w:val="16"/>
              <w:szCs w:val="16"/>
            </w:rPr>
            <w:t>01/10/2020</w:t>
          </w:r>
          <w:r w:rsidRPr="00130F37">
            <w:rPr>
              <w:sz w:val="16"/>
              <w:szCs w:val="16"/>
            </w:rPr>
            <w:fldChar w:fldCharType="end"/>
          </w:r>
        </w:p>
      </w:tc>
      <w:tc>
        <w:tcPr>
          <w:tcW w:w="3362" w:type="dxa"/>
          <w:gridSpan w:val="2"/>
        </w:tcPr>
        <w:p w:rsidR="008F022A" w:rsidRPr="00130F37" w:rsidRDefault="008F022A"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0F83">
            <w:rPr>
              <w:noProof/>
              <w:sz w:val="16"/>
              <w:szCs w:val="16"/>
            </w:rPr>
            <w:t>19/10/2020</w:t>
          </w:r>
          <w:r w:rsidRPr="00130F37">
            <w:rPr>
              <w:sz w:val="16"/>
              <w:szCs w:val="16"/>
            </w:rPr>
            <w:fldChar w:fldCharType="end"/>
          </w:r>
        </w:p>
      </w:tc>
    </w:tr>
  </w:tbl>
  <w:p w:rsidR="008F022A" w:rsidRDefault="008F022A" w:rsidP="00D630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ED79B6" w:rsidRDefault="008F022A" w:rsidP="001771E3">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E33C1C" w:rsidRDefault="008F022A"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8F022A" w:rsidTr="0069450D">
      <w:tc>
        <w:tcPr>
          <w:tcW w:w="817" w:type="pct"/>
          <w:tcBorders>
            <w:top w:val="nil"/>
            <w:left w:val="nil"/>
            <w:bottom w:val="nil"/>
            <w:right w:val="nil"/>
          </w:tcBorders>
        </w:tcPr>
        <w:p w:rsidR="008F022A" w:rsidRDefault="008F022A" w:rsidP="00AB2D85">
          <w:pPr>
            <w:spacing w:line="0" w:lineRule="atLeast"/>
            <w:rPr>
              <w:sz w:val="18"/>
            </w:rPr>
          </w:pPr>
        </w:p>
      </w:tc>
      <w:tc>
        <w:tcPr>
          <w:tcW w:w="3765" w:type="pct"/>
          <w:tcBorders>
            <w:top w:val="nil"/>
            <w:left w:val="nil"/>
            <w:bottom w:val="nil"/>
            <w:right w:val="nil"/>
          </w:tcBorders>
        </w:tcPr>
        <w:p w:rsidR="008F022A" w:rsidRDefault="008F022A" w:rsidP="00AB2D8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50F83">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8F022A" w:rsidRDefault="008F022A" w:rsidP="00AB2D8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580</w:t>
          </w:r>
          <w:r w:rsidRPr="00ED79B6">
            <w:rPr>
              <w:i/>
              <w:sz w:val="18"/>
            </w:rPr>
            <w:fldChar w:fldCharType="end"/>
          </w:r>
        </w:p>
      </w:tc>
    </w:tr>
  </w:tbl>
  <w:p w:rsidR="008F022A" w:rsidRPr="00ED79B6" w:rsidRDefault="008F022A" w:rsidP="001B6607">
    <w:pPr>
      <w:rPr>
        <w:i/>
        <w:sz w:val="18"/>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D6304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F022A" w:rsidRPr="007B3B51" w:rsidTr="00D6304B">
      <w:tc>
        <w:tcPr>
          <w:tcW w:w="1247" w:type="dxa"/>
        </w:tcPr>
        <w:p w:rsidR="008F022A" w:rsidRPr="007B3B51" w:rsidRDefault="008F022A"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c>
        <w:tcPr>
          <w:tcW w:w="5387" w:type="dxa"/>
          <w:gridSpan w:val="3"/>
        </w:tcPr>
        <w:p w:rsidR="008F022A" w:rsidRPr="007B3B51" w:rsidRDefault="008F022A"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669" w:type="dxa"/>
        </w:tcPr>
        <w:p w:rsidR="008F022A" w:rsidRPr="007B3B51" w:rsidRDefault="008F022A" w:rsidP="00D6304B">
          <w:pPr>
            <w:jc w:val="right"/>
            <w:rPr>
              <w:sz w:val="16"/>
              <w:szCs w:val="16"/>
            </w:rPr>
          </w:pPr>
        </w:p>
      </w:tc>
    </w:tr>
    <w:tr w:rsidR="008F022A" w:rsidRPr="0055472E" w:rsidTr="00D6304B">
      <w:tc>
        <w:tcPr>
          <w:tcW w:w="2190" w:type="dxa"/>
          <w:gridSpan w:val="2"/>
        </w:tcPr>
        <w:p w:rsidR="008F022A" w:rsidRPr="0055472E" w:rsidRDefault="008F022A"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50F83">
            <w:rPr>
              <w:sz w:val="16"/>
              <w:szCs w:val="16"/>
            </w:rPr>
            <w:t>111</w:t>
          </w:r>
          <w:r w:rsidRPr="0055472E">
            <w:rPr>
              <w:sz w:val="16"/>
              <w:szCs w:val="16"/>
            </w:rPr>
            <w:fldChar w:fldCharType="end"/>
          </w:r>
        </w:p>
      </w:tc>
      <w:tc>
        <w:tcPr>
          <w:tcW w:w="2920" w:type="dxa"/>
        </w:tcPr>
        <w:p w:rsidR="008F022A" w:rsidRPr="0055472E" w:rsidRDefault="008F022A"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50F83">
            <w:rPr>
              <w:sz w:val="16"/>
              <w:szCs w:val="16"/>
            </w:rPr>
            <w:t>01/10/2020</w:t>
          </w:r>
          <w:r w:rsidRPr="0055472E">
            <w:rPr>
              <w:sz w:val="16"/>
              <w:szCs w:val="16"/>
            </w:rPr>
            <w:fldChar w:fldCharType="end"/>
          </w:r>
        </w:p>
      </w:tc>
      <w:tc>
        <w:tcPr>
          <w:tcW w:w="2193" w:type="dxa"/>
          <w:gridSpan w:val="2"/>
        </w:tcPr>
        <w:p w:rsidR="008F022A" w:rsidRPr="0055472E" w:rsidRDefault="008F022A"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50F83">
            <w:rPr>
              <w:sz w:val="16"/>
              <w:szCs w:val="16"/>
            </w:rPr>
            <w:instrText>19/10/2020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50F83">
            <w:rPr>
              <w:sz w:val="16"/>
              <w:szCs w:val="16"/>
            </w:rPr>
            <w:instrText>19/10/2020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50F83">
            <w:rPr>
              <w:noProof/>
              <w:sz w:val="16"/>
              <w:szCs w:val="16"/>
            </w:rPr>
            <w:t>19/10/2020</w:t>
          </w:r>
          <w:r w:rsidRPr="0055472E">
            <w:rPr>
              <w:sz w:val="16"/>
              <w:szCs w:val="16"/>
            </w:rPr>
            <w:fldChar w:fldCharType="end"/>
          </w:r>
        </w:p>
      </w:tc>
    </w:tr>
  </w:tbl>
  <w:p w:rsidR="008F022A" w:rsidRDefault="008F022A" w:rsidP="00D6304B"/>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D6304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F022A" w:rsidRPr="007B3B51" w:rsidTr="00D6304B">
      <w:tc>
        <w:tcPr>
          <w:tcW w:w="1247" w:type="dxa"/>
        </w:tcPr>
        <w:p w:rsidR="008F022A" w:rsidRPr="007B3B51" w:rsidRDefault="008F022A" w:rsidP="00D6304B">
          <w:pPr>
            <w:rPr>
              <w:i/>
              <w:sz w:val="16"/>
              <w:szCs w:val="16"/>
            </w:rPr>
          </w:pPr>
        </w:p>
      </w:tc>
      <w:tc>
        <w:tcPr>
          <w:tcW w:w="5387" w:type="dxa"/>
          <w:gridSpan w:val="3"/>
        </w:tcPr>
        <w:p w:rsidR="008F022A" w:rsidRPr="007B3B51" w:rsidRDefault="008F022A"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669" w:type="dxa"/>
        </w:tcPr>
        <w:p w:rsidR="008F022A" w:rsidRPr="007B3B51" w:rsidRDefault="008F022A"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8F022A" w:rsidRPr="00130F37" w:rsidTr="00D6304B">
      <w:tc>
        <w:tcPr>
          <w:tcW w:w="2190" w:type="dxa"/>
          <w:gridSpan w:val="2"/>
        </w:tcPr>
        <w:p w:rsidR="008F022A" w:rsidRPr="00130F37" w:rsidRDefault="008F022A"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0F83">
            <w:rPr>
              <w:sz w:val="16"/>
              <w:szCs w:val="16"/>
            </w:rPr>
            <w:t>111</w:t>
          </w:r>
          <w:r w:rsidRPr="00130F37">
            <w:rPr>
              <w:sz w:val="16"/>
              <w:szCs w:val="16"/>
            </w:rPr>
            <w:fldChar w:fldCharType="end"/>
          </w:r>
        </w:p>
      </w:tc>
      <w:tc>
        <w:tcPr>
          <w:tcW w:w="2920" w:type="dxa"/>
        </w:tcPr>
        <w:p w:rsidR="008F022A" w:rsidRPr="00130F37" w:rsidRDefault="008F022A"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50F83">
            <w:rPr>
              <w:sz w:val="16"/>
              <w:szCs w:val="16"/>
            </w:rPr>
            <w:t>01/10/2020</w:t>
          </w:r>
          <w:r w:rsidRPr="00130F37">
            <w:rPr>
              <w:sz w:val="16"/>
              <w:szCs w:val="16"/>
            </w:rPr>
            <w:fldChar w:fldCharType="end"/>
          </w:r>
        </w:p>
      </w:tc>
      <w:tc>
        <w:tcPr>
          <w:tcW w:w="2193" w:type="dxa"/>
          <w:gridSpan w:val="2"/>
        </w:tcPr>
        <w:p w:rsidR="008F022A" w:rsidRPr="00130F37" w:rsidRDefault="008F022A"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0F83">
            <w:rPr>
              <w:noProof/>
              <w:sz w:val="16"/>
              <w:szCs w:val="16"/>
            </w:rPr>
            <w:t>19/10/2020</w:t>
          </w:r>
          <w:r w:rsidRPr="00130F37">
            <w:rPr>
              <w:sz w:val="16"/>
              <w:szCs w:val="16"/>
            </w:rPr>
            <w:fldChar w:fldCharType="end"/>
          </w:r>
        </w:p>
      </w:tc>
    </w:tr>
  </w:tbl>
  <w:p w:rsidR="008F022A" w:rsidRDefault="008F022A" w:rsidP="00D6304B"/>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E33C1C" w:rsidRDefault="008F022A"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8F022A" w:rsidTr="0069450D">
      <w:tc>
        <w:tcPr>
          <w:tcW w:w="817" w:type="pct"/>
          <w:tcBorders>
            <w:top w:val="nil"/>
            <w:left w:val="nil"/>
            <w:bottom w:val="nil"/>
            <w:right w:val="nil"/>
          </w:tcBorders>
        </w:tcPr>
        <w:p w:rsidR="008F022A" w:rsidRDefault="008F022A" w:rsidP="00AB2D85">
          <w:pPr>
            <w:spacing w:line="0" w:lineRule="atLeast"/>
            <w:rPr>
              <w:sz w:val="18"/>
            </w:rPr>
          </w:pPr>
        </w:p>
      </w:tc>
      <w:tc>
        <w:tcPr>
          <w:tcW w:w="3765" w:type="pct"/>
          <w:tcBorders>
            <w:top w:val="nil"/>
            <w:left w:val="nil"/>
            <w:bottom w:val="nil"/>
            <w:right w:val="nil"/>
          </w:tcBorders>
        </w:tcPr>
        <w:p w:rsidR="008F022A" w:rsidRDefault="008F022A" w:rsidP="00AB2D8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50F83">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8F022A" w:rsidRDefault="008F022A" w:rsidP="00AB2D8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580</w:t>
          </w:r>
          <w:r w:rsidRPr="00ED79B6">
            <w:rPr>
              <w:i/>
              <w:sz w:val="18"/>
            </w:rPr>
            <w:fldChar w:fldCharType="end"/>
          </w:r>
        </w:p>
      </w:tc>
    </w:tr>
  </w:tbl>
  <w:p w:rsidR="008F022A" w:rsidRPr="00ED79B6" w:rsidRDefault="008F022A" w:rsidP="001B6607">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8F022A" w:rsidRPr="007B3B51" w:rsidTr="004F3FBC">
      <w:tc>
        <w:tcPr>
          <w:tcW w:w="1247" w:type="dxa"/>
        </w:tcPr>
        <w:p w:rsidR="008F022A" w:rsidRPr="007B3B51" w:rsidRDefault="008F022A"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F69B5">
            <w:rPr>
              <w:i/>
              <w:noProof/>
              <w:sz w:val="16"/>
              <w:szCs w:val="16"/>
            </w:rPr>
            <w:t>ii</w:t>
          </w:r>
          <w:r w:rsidRPr="007B3B51">
            <w:rPr>
              <w:i/>
              <w:sz w:val="16"/>
              <w:szCs w:val="16"/>
            </w:rPr>
            <w:fldChar w:fldCharType="end"/>
          </w:r>
        </w:p>
      </w:tc>
      <w:tc>
        <w:tcPr>
          <w:tcW w:w="5387" w:type="dxa"/>
          <w:gridSpan w:val="3"/>
        </w:tcPr>
        <w:p w:rsidR="008F022A" w:rsidRPr="007B3B51" w:rsidRDefault="008F022A"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F69B5">
            <w:rPr>
              <w:i/>
              <w:noProof/>
              <w:sz w:val="16"/>
              <w:szCs w:val="16"/>
            </w:rPr>
            <w:t>National Health (Highly specialised drugs program) Special Arrangement 2010 (PB 116 of 2010)</w:t>
          </w:r>
          <w:r w:rsidRPr="007B3B51">
            <w:rPr>
              <w:i/>
              <w:sz w:val="16"/>
              <w:szCs w:val="16"/>
            </w:rPr>
            <w:fldChar w:fldCharType="end"/>
          </w:r>
        </w:p>
      </w:tc>
      <w:tc>
        <w:tcPr>
          <w:tcW w:w="1838" w:type="dxa"/>
        </w:tcPr>
        <w:p w:rsidR="008F022A" w:rsidRPr="007B3B51" w:rsidRDefault="008F022A" w:rsidP="00D6304B">
          <w:pPr>
            <w:jc w:val="right"/>
            <w:rPr>
              <w:sz w:val="16"/>
              <w:szCs w:val="16"/>
            </w:rPr>
          </w:pPr>
        </w:p>
      </w:tc>
    </w:tr>
    <w:tr w:rsidR="008F022A" w:rsidRPr="0055472E" w:rsidTr="004F3FBC">
      <w:tc>
        <w:tcPr>
          <w:tcW w:w="2190" w:type="dxa"/>
          <w:gridSpan w:val="2"/>
        </w:tcPr>
        <w:p w:rsidR="008F022A" w:rsidRPr="0055472E" w:rsidRDefault="008F022A"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50F83">
            <w:rPr>
              <w:sz w:val="16"/>
              <w:szCs w:val="16"/>
            </w:rPr>
            <w:t>111</w:t>
          </w:r>
          <w:r w:rsidRPr="0055472E">
            <w:rPr>
              <w:sz w:val="16"/>
              <w:szCs w:val="16"/>
            </w:rPr>
            <w:fldChar w:fldCharType="end"/>
          </w:r>
        </w:p>
      </w:tc>
      <w:tc>
        <w:tcPr>
          <w:tcW w:w="2920" w:type="dxa"/>
        </w:tcPr>
        <w:p w:rsidR="008F022A" w:rsidRPr="0055472E" w:rsidRDefault="008F022A"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50F83">
            <w:rPr>
              <w:sz w:val="16"/>
              <w:szCs w:val="16"/>
            </w:rPr>
            <w:t>01/10/2020</w:t>
          </w:r>
          <w:r w:rsidRPr="0055472E">
            <w:rPr>
              <w:sz w:val="16"/>
              <w:szCs w:val="16"/>
            </w:rPr>
            <w:fldChar w:fldCharType="end"/>
          </w:r>
        </w:p>
      </w:tc>
      <w:tc>
        <w:tcPr>
          <w:tcW w:w="3362" w:type="dxa"/>
          <w:gridSpan w:val="2"/>
        </w:tcPr>
        <w:p w:rsidR="008F022A" w:rsidRPr="0055472E" w:rsidRDefault="008F022A"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50F83">
            <w:rPr>
              <w:sz w:val="16"/>
              <w:szCs w:val="16"/>
            </w:rPr>
            <w:instrText>19/10/2020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50F83">
            <w:rPr>
              <w:sz w:val="16"/>
              <w:szCs w:val="16"/>
            </w:rPr>
            <w:instrText>19/10/2020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50F83">
            <w:rPr>
              <w:noProof/>
              <w:sz w:val="16"/>
              <w:szCs w:val="16"/>
            </w:rPr>
            <w:t>19/10/2020</w:t>
          </w:r>
          <w:r w:rsidRPr="0055472E">
            <w:rPr>
              <w:sz w:val="16"/>
              <w:szCs w:val="16"/>
            </w:rPr>
            <w:fldChar w:fldCharType="end"/>
          </w:r>
        </w:p>
      </w:tc>
    </w:tr>
  </w:tbl>
  <w:p w:rsidR="008F022A" w:rsidRDefault="008F022A" w:rsidP="00D6304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661"/>
      <w:gridCol w:w="1701"/>
    </w:tblGrid>
    <w:tr w:rsidR="008F022A" w:rsidRPr="007B3B51" w:rsidTr="008651E4">
      <w:tc>
        <w:tcPr>
          <w:tcW w:w="1247" w:type="dxa"/>
        </w:tcPr>
        <w:p w:rsidR="008F022A" w:rsidRPr="007B3B51" w:rsidRDefault="008F022A" w:rsidP="00D6304B">
          <w:pPr>
            <w:rPr>
              <w:i/>
              <w:sz w:val="16"/>
              <w:szCs w:val="16"/>
            </w:rPr>
          </w:pPr>
        </w:p>
      </w:tc>
      <w:tc>
        <w:tcPr>
          <w:tcW w:w="5524" w:type="dxa"/>
          <w:gridSpan w:val="3"/>
        </w:tcPr>
        <w:p w:rsidR="008F022A" w:rsidRPr="007B3B51" w:rsidRDefault="008F022A"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F69B5">
            <w:rPr>
              <w:i/>
              <w:noProof/>
              <w:sz w:val="16"/>
              <w:szCs w:val="16"/>
            </w:rPr>
            <w:t>National Health (Highly specialised drugs program) Special Arrangement 2010 (PB 116 of 2010)</w:t>
          </w:r>
          <w:r w:rsidRPr="007B3B51">
            <w:rPr>
              <w:i/>
              <w:sz w:val="16"/>
              <w:szCs w:val="16"/>
            </w:rPr>
            <w:fldChar w:fldCharType="end"/>
          </w:r>
        </w:p>
      </w:tc>
      <w:tc>
        <w:tcPr>
          <w:tcW w:w="1701" w:type="dxa"/>
        </w:tcPr>
        <w:p w:rsidR="008F022A" w:rsidRPr="007B3B51" w:rsidRDefault="008F022A"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F69B5">
            <w:rPr>
              <w:i/>
              <w:noProof/>
              <w:sz w:val="16"/>
              <w:szCs w:val="16"/>
            </w:rPr>
            <w:t>iii</w:t>
          </w:r>
          <w:r w:rsidRPr="007B3B51">
            <w:rPr>
              <w:i/>
              <w:sz w:val="16"/>
              <w:szCs w:val="16"/>
            </w:rPr>
            <w:fldChar w:fldCharType="end"/>
          </w:r>
        </w:p>
      </w:tc>
    </w:tr>
    <w:tr w:rsidR="008F022A" w:rsidRPr="00130F37" w:rsidTr="004F3FBC">
      <w:tc>
        <w:tcPr>
          <w:tcW w:w="2190" w:type="dxa"/>
          <w:gridSpan w:val="2"/>
        </w:tcPr>
        <w:p w:rsidR="008F022A" w:rsidRPr="00130F37" w:rsidRDefault="008F022A"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0F83">
            <w:rPr>
              <w:sz w:val="16"/>
              <w:szCs w:val="16"/>
            </w:rPr>
            <w:t>111</w:t>
          </w:r>
          <w:r w:rsidRPr="00130F37">
            <w:rPr>
              <w:sz w:val="16"/>
              <w:szCs w:val="16"/>
            </w:rPr>
            <w:fldChar w:fldCharType="end"/>
          </w:r>
        </w:p>
      </w:tc>
      <w:tc>
        <w:tcPr>
          <w:tcW w:w="2920" w:type="dxa"/>
        </w:tcPr>
        <w:p w:rsidR="008F022A" w:rsidRPr="00130F37" w:rsidRDefault="008F022A"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50F83">
            <w:rPr>
              <w:sz w:val="16"/>
              <w:szCs w:val="16"/>
            </w:rPr>
            <w:t>01/10/2020</w:t>
          </w:r>
          <w:r w:rsidRPr="00130F37">
            <w:rPr>
              <w:sz w:val="16"/>
              <w:szCs w:val="16"/>
            </w:rPr>
            <w:fldChar w:fldCharType="end"/>
          </w:r>
        </w:p>
      </w:tc>
      <w:tc>
        <w:tcPr>
          <w:tcW w:w="3362" w:type="dxa"/>
          <w:gridSpan w:val="2"/>
        </w:tcPr>
        <w:p w:rsidR="008F022A" w:rsidRPr="00130F37" w:rsidRDefault="008F022A"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0F83">
            <w:rPr>
              <w:noProof/>
              <w:sz w:val="16"/>
              <w:szCs w:val="16"/>
            </w:rPr>
            <w:t>19/10/2020</w:t>
          </w:r>
          <w:r w:rsidRPr="00130F37">
            <w:rPr>
              <w:sz w:val="16"/>
              <w:szCs w:val="16"/>
            </w:rPr>
            <w:fldChar w:fldCharType="end"/>
          </w:r>
        </w:p>
      </w:tc>
    </w:tr>
  </w:tbl>
  <w:p w:rsidR="008F022A" w:rsidRDefault="008F022A" w:rsidP="00D6304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E33C1C" w:rsidRDefault="008F022A"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8F022A" w:rsidTr="0069450D">
      <w:tc>
        <w:tcPr>
          <w:tcW w:w="817" w:type="pct"/>
          <w:tcBorders>
            <w:top w:val="nil"/>
            <w:left w:val="nil"/>
            <w:bottom w:val="nil"/>
            <w:right w:val="nil"/>
          </w:tcBorders>
        </w:tcPr>
        <w:p w:rsidR="008F022A" w:rsidRDefault="008F022A" w:rsidP="00AB2D85">
          <w:pPr>
            <w:spacing w:line="0" w:lineRule="atLeast"/>
            <w:rPr>
              <w:sz w:val="18"/>
            </w:rPr>
          </w:pPr>
        </w:p>
      </w:tc>
      <w:tc>
        <w:tcPr>
          <w:tcW w:w="3765" w:type="pct"/>
          <w:tcBorders>
            <w:top w:val="nil"/>
            <w:left w:val="nil"/>
            <w:bottom w:val="nil"/>
            <w:right w:val="nil"/>
          </w:tcBorders>
        </w:tcPr>
        <w:p w:rsidR="008F022A" w:rsidRDefault="008F022A" w:rsidP="00AB2D8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50F83">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8F022A" w:rsidRDefault="008F022A" w:rsidP="00AB2D8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dlxxx</w:t>
          </w:r>
          <w:r w:rsidRPr="00ED79B6">
            <w:rPr>
              <w:i/>
              <w:sz w:val="18"/>
            </w:rPr>
            <w:fldChar w:fldCharType="end"/>
          </w:r>
        </w:p>
      </w:tc>
    </w:tr>
  </w:tbl>
  <w:p w:rsidR="008F022A" w:rsidRPr="00ED79B6" w:rsidRDefault="008F022A" w:rsidP="001B660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D6304B">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8F022A" w:rsidRPr="007B3B51" w:rsidTr="004F3FBC">
      <w:tc>
        <w:tcPr>
          <w:tcW w:w="1247" w:type="dxa"/>
        </w:tcPr>
        <w:p w:rsidR="008F022A" w:rsidRPr="007B3B51" w:rsidRDefault="008F022A"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F69B5">
            <w:rPr>
              <w:i/>
              <w:noProof/>
              <w:sz w:val="16"/>
              <w:szCs w:val="16"/>
            </w:rPr>
            <w:t>18</w:t>
          </w:r>
          <w:r w:rsidRPr="007B3B51">
            <w:rPr>
              <w:i/>
              <w:sz w:val="16"/>
              <w:szCs w:val="16"/>
            </w:rPr>
            <w:fldChar w:fldCharType="end"/>
          </w:r>
        </w:p>
      </w:tc>
      <w:tc>
        <w:tcPr>
          <w:tcW w:w="5387" w:type="dxa"/>
          <w:gridSpan w:val="3"/>
        </w:tcPr>
        <w:p w:rsidR="008F022A" w:rsidRPr="007B3B51" w:rsidRDefault="008F022A"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F69B5">
            <w:rPr>
              <w:i/>
              <w:noProof/>
              <w:sz w:val="16"/>
              <w:szCs w:val="16"/>
            </w:rPr>
            <w:t>National Health (Highly specialised drugs program) Special Arrangement 2010 (PB 116 of 2010)</w:t>
          </w:r>
          <w:r w:rsidRPr="007B3B51">
            <w:rPr>
              <w:i/>
              <w:sz w:val="16"/>
              <w:szCs w:val="16"/>
            </w:rPr>
            <w:fldChar w:fldCharType="end"/>
          </w:r>
        </w:p>
      </w:tc>
      <w:tc>
        <w:tcPr>
          <w:tcW w:w="1696" w:type="dxa"/>
        </w:tcPr>
        <w:p w:rsidR="008F022A" w:rsidRPr="007B3B51" w:rsidRDefault="008F022A" w:rsidP="00D6304B">
          <w:pPr>
            <w:jc w:val="right"/>
            <w:rPr>
              <w:sz w:val="16"/>
              <w:szCs w:val="16"/>
            </w:rPr>
          </w:pPr>
        </w:p>
      </w:tc>
    </w:tr>
    <w:tr w:rsidR="008F022A" w:rsidRPr="0055472E" w:rsidTr="004F3FBC">
      <w:tc>
        <w:tcPr>
          <w:tcW w:w="2190" w:type="dxa"/>
          <w:gridSpan w:val="2"/>
        </w:tcPr>
        <w:p w:rsidR="008F022A" w:rsidRPr="0055472E" w:rsidRDefault="008F022A"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50F83">
            <w:rPr>
              <w:sz w:val="16"/>
              <w:szCs w:val="16"/>
            </w:rPr>
            <w:t>111</w:t>
          </w:r>
          <w:r w:rsidRPr="0055472E">
            <w:rPr>
              <w:sz w:val="16"/>
              <w:szCs w:val="16"/>
            </w:rPr>
            <w:fldChar w:fldCharType="end"/>
          </w:r>
        </w:p>
      </w:tc>
      <w:tc>
        <w:tcPr>
          <w:tcW w:w="2920" w:type="dxa"/>
        </w:tcPr>
        <w:p w:rsidR="008F022A" w:rsidRPr="0055472E" w:rsidRDefault="008F022A"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50F83">
            <w:rPr>
              <w:sz w:val="16"/>
              <w:szCs w:val="16"/>
            </w:rPr>
            <w:t>01/10/2020</w:t>
          </w:r>
          <w:r w:rsidRPr="0055472E">
            <w:rPr>
              <w:sz w:val="16"/>
              <w:szCs w:val="16"/>
            </w:rPr>
            <w:fldChar w:fldCharType="end"/>
          </w:r>
        </w:p>
      </w:tc>
      <w:tc>
        <w:tcPr>
          <w:tcW w:w="3220" w:type="dxa"/>
          <w:gridSpan w:val="2"/>
        </w:tcPr>
        <w:p w:rsidR="008F022A" w:rsidRPr="0055472E" w:rsidRDefault="008F022A"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50F83">
            <w:rPr>
              <w:sz w:val="16"/>
              <w:szCs w:val="16"/>
            </w:rPr>
            <w:instrText>19/10/2020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50F83">
            <w:rPr>
              <w:sz w:val="16"/>
              <w:szCs w:val="16"/>
            </w:rPr>
            <w:instrText>19/10/2020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50F83">
            <w:rPr>
              <w:noProof/>
              <w:sz w:val="16"/>
              <w:szCs w:val="16"/>
            </w:rPr>
            <w:t>19/10/2020</w:t>
          </w:r>
          <w:r w:rsidRPr="0055472E">
            <w:rPr>
              <w:sz w:val="16"/>
              <w:szCs w:val="16"/>
            </w:rPr>
            <w:fldChar w:fldCharType="end"/>
          </w:r>
        </w:p>
      </w:tc>
    </w:tr>
  </w:tbl>
  <w:p w:rsidR="008F022A" w:rsidRDefault="008F022A" w:rsidP="00D6304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D6304B">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8F022A" w:rsidRPr="007B3B51" w:rsidTr="004F3FBC">
      <w:tc>
        <w:tcPr>
          <w:tcW w:w="1247" w:type="dxa"/>
        </w:tcPr>
        <w:p w:rsidR="008F022A" w:rsidRPr="007B3B51" w:rsidRDefault="008F022A" w:rsidP="00D6304B">
          <w:pPr>
            <w:rPr>
              <w:i/>
              <w:sz w:val="16"/>
              <w:szCs w:val="16"/>
            </w:rPr>
          </w:pPr>
        </w:p>
      </w:tc>
      <w:tc>
        <w:tcPr>
          <w:tcW w:w="5387" w:type="dxa"/>
          <w:gridSpan w:val="3"/>
        </w:tcPr>
        <w:p w:rsidR="008F022A" w:rsidRPr="007B3B51" w:rsidRDefault="008F022A"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F69B5">
            <w:rPr>
              <w:i/>
              <w:noProof/>
              <w:sz w:val="16"/>
              <w:szCs w:val="16"/>
            </w:rPr>
            <w:t>National Health (Highly specialised drugs program) Special Arrangement 2010 (PB 116 of 2010)</w:t>
          </w:r>
          <w:r w:rsidRPr="007B3B51">
            <w:rPr>
              <w:i/>
              <w:sz w:val="16"/>
              <w:szCs w:val="16"/>
            </w:rPr>
            <w:fldChar w:fldCharType="end"/>
          </w:r>
        </w:p>
      </w:tc>
      <w:tc>
        <w:tcPr>
          <w:tcW w:w="1696" w:type="dxa"/>
        </w:tcPr>
        <w:p w:rsidR="008F022A" w:rsidRPr="007B3B51" w:rsidRDefault="008F022A"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F69B5">
            <w:rPr>
              <w:i/>
              <w:noProof/>
              <w:sz w:val="16"/>
              <w:szCs w:val="16"/>
            </w:rPr>
            <w:t>17</w:t>
          </w:r>
          <w:r w:rsidRPr="007B3B51">
            <w:rPr>
              <w:i/>
              <w:sz w:val="16"/>
              <w:szCs w:val="16"/>
            </w:rPr>
            <w:fldChar w:fldCharType="end"/>
          </w:r>
        </w:p>
      </w:tc>
    </w:tr>
    <w:tr w:rsidR="008F022A" w:rsidRPr="00130F37" w:rsidTr="004F3FBC">
      <w:tc>
        <w:tcPr>
          <w:tcW w:w="2190" w:type="dxa"/>
          <w:gridSpan w:val="2"/>
        </w:tcPr>
        <w:p w:rsidR="008F022A" w:rsidRPr="00130F37" w:rsidRDefault="008F022A"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0F83">
            <w:rPr>
              <w:sz w:val="16"/>
              <w:szCs w:val="16"/>
            </w:rPr>
            <w:t>111</w:t>
          </w:r>
          <w:r w:rsidRPr="00130F37">
            <w:rPr>
              <w:sz w:val="16"/>
              <w:szCs w:val="16"/>
            </w:rPr>
            <w:fldChar w:fldCharType="end"/>
          </w:r>
        </w:p>
      </w:tc>
      <w:tc>
        <w:tcPr>
          <w:tcW w:w="2920" w:type="dxa"/>
        </w:tcPr>
        <w:p w:rsidR="008F022A" w:rsidRPr="00130F37" w:rsidRDefault="008F022A"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50F83">
            <w:rPr>
              <w:sz w:val="16"/>
              <w:szCs w:val="16"/>
            </w:rPr>
            <w:t>01/10/2020</w:t>
          </w:r>
          <w:r w:rsidRPr="00130F37">
            <w:rPr>
              <w:sz w:val="16"/>
              <w:szCs w:val="16"/>
            </w:rPr>
            <w:fldChar w:fldCharType="end"/>
          </w:r>
        </w:p>
      </w:tc>
      <w:tc>
        <w:tcPr>
          <w:tcW w:w="3220" w:type="dxa"/>
          <w:gridSpan w:val="2"/>
        </w:tcPr>
        <w:p w:rsidR="008F022A" w:rsidRPr="00130F37" w:rsidRDefault="008F022A"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0F83">
            <w:rPr>
              <w:noProof/>
              <w:sz w:val="16"/>
              <w:szCs w:val="16"/>
            </w:rPr>
            <w:t>19/10/2020</w:t>
          </w:r>
          <w:r w:rsidRPr="00130F37">
            <w:rPr>
              <w:sz w:val="16"/>
              <w:szCs w:val="16"/>
            </w:rPr>
            <w:fldChar w:fldCharType="end"/>
          </w:r>
        </w:p>
      </w:tc>
    </w:tr>
  </w:tbl>
  <w:p w:rsidR="008F022A" w:rsidRDefault="008F022A" w:rsidP="00D6304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B3B51" w:rsidRDefault="008F022A" w:rsidP="001B002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F022A" w:rsidRPr="007B3B51" w:rsidTr="00270777">
      <w:tc>
        <w:tcPr>
          <w:tcW w:w="1247" w:type="dxa"/>
        </w:tcPr>
        <w:p w:rsidR="008F022A" w:rsidRPr="007B3B51" w:rsidRDefault="008F022A" w:rsidP="00270777">
          <w:pPr>
            <w:rPr>
              <w:i/>
              <w:sz w:val="16"/>
              <w:szCs w:val="16"/>
            </w:rPr>
          </w:pPr>
        </w:p>
      </w:tc>
      <w:tc>
        <w:tcPr>
          <w:tcW w:w="5387" w:type="dxa"/>
          <w:gridSpan w:val="3"/>
        </w:tcPr>
        <w:p w:rsidR="008F022A" w:rsidRPr="007B3B51" w:rsidRDefault="008F022A" w:rsidP="002707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669" w:type="dxa"/>
        </w:tcPr>
        <w:p w:rsidR="008F022A" w:rsidRPr="007B3B51" w:rsidRDefault="008F022A" w:rsidP="0027077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8F022A" w:rsidRPr="00130F37" w:rsidTr="00270777">
      <w:tc>
        <w:tcPr>
          <w:tcW w:w="2190" w:type="dxa"/>
          <w:gridSpan w:val="2"/>
        </w:tcPr>
        <w:p w:rsidR="008F022A" w:rsidRPr="00130F37" w:rsidRDefault="008F022A" w:rsidP="0027077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0F83">
            <w:rPr>
              <w:sz w:val="16"/>
              <w:szCs w:val="16"/>
            </w:rPr>
            <w:t>111</w:t>
          </w:r>
          <w:r w:rsidRPr="00130F37">
            <w:rPr>
              <w:sz w:val="16"/>
              <w:szCs w:val="16"/>
            </w:rPr>
            <w:fldChar w:fldCharType="end"/>
          </w:r>
        </w:p>
      </w:tc>
      <w:tc>
        <w:tcPr>
          <w:tcW w:w="2920" w:type="dxa"/>
        </w:tcPr>
        <w:p w:rsidR="008F022A" w:rsidRPr="00130F37" w:rsidRDefault="008F022A" w:rsidP="0027077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50F83">
            <w:rPr>
              <w:sz w:val="16"/>
              <w:szCs w:val="16"/>
            </w:rPr>
            <w:t>01/10/2020</w:t>
          </w:r>
          <w:r w:rsidRPr="00130F37">
            <w:rPr>
              <w:sz w:val="16"/>
              <w:szCs w:val="16"/>
            </w:rPr>
            <w:fldChar w:fldCharType="end"/>
          </w:r>
        </w:p>
      </w:tc>
      <w:tc>
        <w:tcPr>
          <w:tcW w:w="2193" w:type="dxa"/>
          <w:gridSpan w:val="2"/>
        </w:tcPr>
        <w:p w:rsidR="008F022A" w:rsidRPr="00130F37" w:rsidRDefault="008F022A" w:rsidP="0027077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0F83">
            <w:rPr>
              <w:noProof/>
              <w:sz w:val="16"/>
              <w:szCs w:val="16"/>
            </w:rPr>
            <w:t>19/10/2020</w:t>
          </w:r>
          <w:r w:rsidRPr="00130F37">
            <w:rPr>
              <w:sz w:val="16"/>
              <w:szCs w:val="16"/>
            </w:rPr>
            <w:fldChar w:fldCharType="end"/>
          </w:r>
        </w:p>
      </w:tc>
    </w:tr>
  </w:tbl>
  <w:p w:rsidR="008F022A" w:rsidRDefault="008F022A" w:rsidP="001B00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2A" w:rsidRPr="00C4473E" w:rsidRDefault="008F022A" w:rsidP="00AB2D85">
      <w:pPr>
        <w:rPr>
          <w:sz w:val="26"/>
          <w:szCs w:val="26"/>
        </w:rPr>
      </w:pPr>
    </w:p>
    <w:p w:rsidR="008F022A" w:rsidRPr="00965EE7" w:rsidRDefault="008F022A" w:rsidP="00AB2D85">
      <w:pPr>
        <w:rPr>
          <w:b/>
          <w:sz w:val="20"/>
        </w:rPr>
      </w:pPr>
      <w:r w:rsidRPr="00965EE7">
        <w:rPr>
          <w:b/>
          <w:sz w:val="20"/>
        </w:rPr>
        <w:t>Endnotes</w:t>
      </w:r>
    </w:p>
    <w:p w:rsidR="008F022A" w:rsidRPr="007A1328" w:rsidRDefault="008F022A" w:rsidP="00AB2D85">
      <w:pPr>
        <w:rPr>
          <w:sz w:val="20"/>
        </w:rPr>
      </w:pPr>
    </w:p>
    <w:p w:rsidR="008F022A" w:rsidRPr="007A1328" w:rsidRDefault="008F022A" w:rsidP="00AB2D85">
      <w:pPr>
        <w:rPr>
          <w:b/>
          <w:sz w:val="24"/>
        </w:rPr>
      </w:pPr>
    </w:p>
    <w:p w:rsidR="008F022A" w:rsidRPr="00C4473E" w:rsidRDefault="008F022A" w:rsidP="00AB2D85">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50F83">
        <w:rPr>
          <w:noProof/>
          <w:szCs w:val="22"/>
        </w:rPr>
        <w:t>Endnote 1—About the endnotes</w:t>
      </w:r>
      <w:r w:rsidRPr="00C4473E">
        <w:rPr>
          <w:szCs w:val="22"/>
        </w:rPr>
        <w:fldChar w:fldCharType="end"/>
      </w:r>
    </w:p>
    <w:p w:rsidR="008F022A" w:rsidRPr="00C4473E" w:rsidRDefault="008F022A" w:rsidP="00506F42">
      <w:pPr>
        <w:jc w:val="right"/>
        <w:rPr>
          <w:sz w:val="26"/>
          <w:szCs w:val="26"/>
        </w:rPr>
      </w:pPr>
    </w:p>
    <w:p w:rsidR="008F022A" w:rsidRPr="00965EE7" w:rsidRDefault="008F022A" w:rsidP="00506F42">
      <w:pPr>
        <w:jc w:val="right"/>
        <w:rPr>
          <w:b/>
          <w:sz w:val="20"/>
        </w:rPr>
      </w:pPr>
      <w:r w:rsidRPr="00965EE7">
        <w:rPr>
          <w:b/>
          <w:sz w:val="20"/>
        </w:rPr>
        <w:t>Endnotes</w:t>
      </w:r>
    </w:p>
    <w:p w:rsidR="008F022A" w:rsidRPr="007A1328" w:rsidRDefault="008F022A" w:rsidP="00506F42">
      <w:pPr>
        <w:jc w:val="right"/>
        <w:rPr>
          <w:sz w:val="20"/>
        </w:rPr>
      </w:pPr>
    </w:p>
    <w:p w:rsidR="008F022A" w:rsidRPr="007A1328" w:rsidRDefault="008F022A" w:rsidP="00506F42">
      <w:pPr>
        <w:jc w:val="right"/>
        <w:rPr>
          <w:b/>
          <w:sz w:val="24"/>
        </w:rPr>
      </w:pPr>
    </w:p>
    <w:p w:rsidR="008F022A" w:rsidRPr="00C4473E" w:rsidRDefault="008F022A" w:rsidP="00506F4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50F83">
        <w:rPr>
          <w:noProof/>
          <w:szCs w:val="22"/>
        </w:rPr>
        <w:t>Endnote 1—About the endnotes</w:t>
      </w:r>
      <w:r w:rsidRPr="00C4473E">
        <w:rPr>
          <w:szCs w:val="22"/>
        </w:rPr>
        <w:fldChar w:fldCharType="end"/>
      </w:r>
    </w:p>
    <w:p w:rsidR="008F022A" w:rsidRPr="00506F42" w:rsidRDefault="008F022A" w:rsidP="00506F42">
      <w:pPr>
        <w:pStyle w:val="Header"/>
      </w:pPr>
    </w:p>
    <w:p w:rsidR="008F022A" w:rsidRDefault="008F022A">
      <w:pPr>
        <w:pStyle w:val="Header"/>
      </w:pPr>
    </w:p>
    <w:p w:rsidR="008F022A" w:rsidRDefault="008F022A"/>
    <w:p w:rsidR="008F022A" w:rsidRPr="007B3B51" w:rsidRDefault="008F022A" w:rsidP="001D4A74">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8F022A" w:rsidRPr="007B3B51" w:rsidTr="001D4A74">
        <w:tc>
          <w:tcPr>
            <w:tcW w:w="1139" w:type="dxa"/>
          </w:tcPr>
          <w:p w:rsidR="008F022A" w:rsidRPr="007B3B51" w:rsidRDefault="008F022A" w:rsidP="001D4A7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492</w:t>
            </w:r>
            <w:r w:rsidRPr="007B3B51">
              <w:rPr>
                <w:i/>
                <w:sz w:val="16"/>
                <w:szCs w:val="16"/>
              </w:rPr>
              <w:fldChar w:fldCharType="end"/>
            </w:r>
          </w:p>
        </w:tc>
        <w:tc>
          <w:tcPr>
            <w:tcW w:w="5807" w:type="dxa"/>
            <w:gridSpan w:val="3"/>
          </w:tcPr>
          <w:p w:rsidR="008F022A" w:rsidRPr="007B3B51" w:rsidRDefault="008F022A" w:rsidP="001D4A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1418" w:type="dxa"/>
          </w:tcPr>
          <w:p w:rsidR="008F022A" w:rsidRPr="007B3B51" w:rsidRDefault="008F022A" w:rsidP="001D4A74">
            <w:pPr>
              <w:jc w:val="right"/>
              <w:rPr>
                <w:sz w:val="16"/>
                <w:szCs w:val="16"/>
              </w:rPr>
            </w:pPr>
          </w:p>
        </w:tc>
      </w:tr>
      <w:tr w:rsidR="008F022A" w:rsidRPr="0055472E" w:rsidTr="001D4A74">
        <w:tc>
          <w:tcPr>
            <w:tcW w:w="1418" w:type="dxa"/>
            <w:gridSpan w:val="2"/>
          </w:tcPr>
          <w:p w:rsidR="008F022A" w:rsidRPr="0055472E" w:rsidRDefault="008F022A" w:rsidP="001D4A7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50F83">
              <w:rPr>
                <w:sz w:val="16"/>
                <w:szCs w:val="16"/>
              </w:rPr>
              <w:t>111</w:t>
            </w:r>
            <w:r w:rsidRPr="0055472E">
              <w:rPr>
                <w:sz w:val="16"/>
                <w:szCs w:val="16"/>
              </w:rPr>
              <w:fldChar w:fldCharType="end"/>
            </w:r>
          </w:p>
        </w:tc>
        <w:tc>
          <w:tcPr>
            <w:tcW w:w="5245" w:type="dxa"/>
          </w:tcPr>
          <w:p w:rsidR="008F022A" w:rsidRPr="0055472E" w:rsidRDefault="008F022A" w:rsidP="001D4A7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50F83">
              <w:rPr>
                <w:sz w:val="16"/>
                <w:szCs w:val="16"/>
              </w:rPr>
              <w:t>1/10/20</w:t>
            </w:r>
            <w:r w:rsidRPr="0055472E">
              <w:rPr>
                <w:sz w:val="16"/>
                <w:szCs w:val="16"/>
              </w:rPr>
              <w:fldChar w:fldCharType="end"/>
            </w:r>
          </w:p>
        </w:tc>
        <w:tc>
          <w:tcPr>
            <w:tcW w:w="1701" w:type="dxa"/>
            <w:gridSpan w:val="2"/>
          </w:tcPr>
          <w:p w:rsidR="008F022A" w:rsidRPr="0055472E" w:rsidRDefault="008F022A" w:rsidP="001D4A7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50F83">
              <w:rPr>
                <w:sz w:val="16"/>
                <w:szCs w:val="16"/>
              </w:rPr>
              <w:instrText>19/10/2020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50F83">
              <w:rPr>
                <w:sz w:val="16"/>
                <w:szCs w:val="16"/>
              </w:rPr>
              <w:instrText>19/10/20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50F83">
              <w:rPr>
                <w:noProof/>
                <w:sz w:val="16"/>
                <w:szCs w:val="16"/>
              </w:rPr>
              <w:t>19/10/20</w:t>
            </w:r>
            <w:r w:rsidRPr="0055472E">
              <w:rPr>
                <w:sz w:val="16"/>
                <w:szCs w:val="16"/>
              </w:rPr>
              <w:fldChar w:fldCharType="end"/>
            </w:r>
          </w:p>
        </w:tc>
      </w:tr>
    </w:tbl>
    <w:p w:rsidR="008F022A" w:rsidRPr="001D4A74" w:rsidRDefault="008F022A" w:rsidP="001D4A74">
      <w:pPr>
        <w:pStyle w:val="Footer"/>
      </w:pPr>
    </w:p>
    <w:p w:rsidR="008F022A" w:rsidRDefault="008F022A">
      <w:pPr>
        <w:pStyle w:val="Footer"/>
      </w:pPr>
    </w:p>
    <w:p w:rsidR="008F022A" w:rsidRDefault="008F022A"/>
    <w:p w:rsidR="008F022A" w:rsidRPr="007B3B51" w:rsidRDefault="008F022A" w:rsidP="001D4A74">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8F022A" w:rsidRPr="007B3B51" w:rsidTr="001D4A74">
        <w:tc>
          <w:tcPr>
            <w:tcW w:w="1139" w:type="dxa"/>
          </w:tcPr>
          <w:p w:rsidR="008F022A" w:rsidRPr="007B3B51" w:rsidRDefault="008F022A" w:rsidP="001D4A74">
            <w:pPr>
              <w:rPr>
                <w:i/>
                <w:sz w:val="16"/>
                <w:szCs w:val="16"/>
              </w:rPr>
            </w:pPr>
          </w:p>
        </w:tc>
        <w:tc>
          <w:tcPr>
            <w:tcW w:w="5807" w:type="dxa"/>
            <w:gridSpan w:val="3"/>
          </w:tcPr>
          <w:p w:rsidR="008F022A" w:rsidRPr="007B3B51" w:rsidRDefault="008F022A" w:rsidP="001D4A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50F83">
              <w:rPr>
                <w:i/>
                <w:noProof/>
                <w:sz w:val="16"/>
                <w:szCs w:val="16"/>
              </w:rPr>
              <w:t>National Health (Highly specialised drugs program) Special Arrangement 2010 (PB 116 of 2010)</w:t>
            </w:r>
            <w:r w:rsidRPr="007B3B51">
              <w:rPr>
                <w:i/>
                <w:sz w:val="16"/>
                <w:szCs w:val="16"/>
              </w:rPr>
              <w:fldChar w:fldCharType="end"/>
            </w:r>
          </w:p>
        </w:tc>
        <w:tc>
          <w:tcPr>
            <w:tcW w:w="1418" w:type="dxa"/>
          </w:tcPr>
          <w:p w:rsidR="008F022A" w:rsidRPr="007B3B51" w:rsidRDefault="008F022A" w:rsidP="001D4A7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492</w:t>
            </w:r>
            <w:r w:rsidRPr="007B3B51">
              <w:rPr>
                <w:i/>
                <w:sz w:val="16"/>
                <w:szCs w:val="16"/>
              </w:rPr>
              <w:fldChar w:fldCharType="end"/>
            </w:r>
          </w:p>
        </w:tc>
      </w:tr>
      <w:tr w:rsidR="008F022A" w:rsidRPr="00130F37" w:rsidTr="001D4A74">
        <w:tc>
          <w:tcPr>
            <w:tcW w:w="1418" w:type="dxa"/>
            <w:gridSpan w:val="2"/>
          </w:tcPr>
          <w:p w:rsidR="008F022A" w:rsidRPr="00130F37" w:rsidRDefault="008F022A" w:rsidP="001D4A7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50F83">
              <w:rPr>
                <w:sz w:val="16"/>
                <w:szCs w:val="16"/>
              </w:rPr>
              <w:t>111</w:t>
            </w:r>
            <w:r w:rsidRPr="00130F37">
              <w:rPr>
                <w:sz w:val="16"/>
                <w:szCs w:val="16"/>
              </w:rPr>
              <w:fldChar w:fldCharType="end"/>
            </w:r>
          </w:p>
        </w:tc>
        <w:tc>
          <w:tcPr>
            <w:tcW w:w="5245" w:type="dxa"/>
          </w:tcPr>
          <w:p w:rsidR="008F022A" w:rsidRPr="00130F37" w:rsidRDefault="008F022A" w:rsidP="001D4A7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50F83">
              <w:rPr>
                <w:sz w:val="16"/>
                <w:szCs w:val="16"/>
              </w:rPr>
              <w:t>1/10/20</w:t>
            </w:r>
            <w:r w:rsidRPr="00130F37">
              <w:rPr>
                <w:sz w:val="16"/>
                <w:szCs w:val="16"/>
              </w:rPr>
              <w:fldChar w:fldCharType="end"/>
            </w:r>
          </w:p>
        </w:tc>
        <w:tc>
          <w:tcPr>
            <w:tcW w:w="1701" w:type="dxa"/>
            <w:gridSpan w:val="2"/>
          </w:tcPr>
          <w:p w:rsidR="008F022A" w:rsidRPr="00130F37" w:rsidRDefault="008F022A" w:rsidP="001D4A7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50F83">
              <w:rPr>
                <w:sz w:val="16"/>
                <w:szCs w:val="16"/>
              </w:rPr>
              <w:instrText>19/10/2020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50F83">
              <w:rPr>
                <w:sz w:val="16"/>
                <w:szCs w:val="16"/>
              </w:rPr>
              <w:instrText>19/10/20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50F83">
              <w:rPr>
                <w:noProof/>
                <w:sz w:val="16"/>
                <w:szCs w:val="16"/>
              </w:rPr>
              <w:t>19/10/20</w:t>
            </w:r>
            <w:r w:rsidRPr="00130F37">
              <w:rPr>
                <w:sz w:val="16"/>
                <w:szCs w:val="16"/>
              </w:rPr>
              <w:fldChar w:fldCharType="end"/>
            </w:r>
          </w:p>
        </w:tc>
      </w:tr>
    </w:tbl>
    <w:p w:rsidR="008F022A" w:rsidRPr="001D4A74" w:rsidRDefault="008F022A" w:rsidP="001D4A74">
      <w:pPr>
        <w:pStyle w:val="Footer"/>
      </w:pPr>
    </w:p>
    <w:p w:rsidR="008F022A" w:rsidRDefault="008F022A">
      <w:pPr>
        <w:pStyle w:val="Footer"/>
      </w:pPr>
    </w:p>
    <w:p w:rsidR="008F022A" w:rsidRDefault="008F022A"/>
    <w:p w:rsidR="008F022A" w:rsidRPr="00E33C1C" w:rsidRDefault="008F022A"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193"/>
        <w:gridCol w:w="5499"/>
        <w:gridCol w:w="611"/>
      </w:tblGrid>
      <w:tr w:rsidR="008F022A" w:rsidTr="0069450D">
        <w:tc>
          <w:tcPr>
            <w:tcW w:w="817" w:type="pct"/>
            <w:tcBorders>
              <w:top w:val="nil"/>
              <w:left w:val="nil"/>
              <w:bottom w:val="nil"/>
              <w:right w:val="nil"/>
            </w:tcBorders>
          </w:tcPr>
          <w:p w:rsidR="008F022A" w:rsidRDefault="008F022A" w:rsidP="00AB2D85">
            <w:pPr>
              <w:spacing w:line="0" w:lineRule="atLeast"/>
              <w:rPr>
                <w:sz w:val="18"/>
              </w:rPr>
            </w:pPr>
          </w:p>
        </w:tc>
        <w:tc>
          <w:tcPr>
            <w:tcW w:w="3765" w:type="pct"/>
            <w:tcBorders>
              <w:top w:val="nil"/>
              <w:left w:val="nil"/>
              <w:bottom w:val="nil"/>
              <w:right w:val="nil"/>
            </w:tcBorders>
          </w:tcPr>
          <w:p w:rsidR="008F022A" w:rsidRDefault="008F022A" w:rsidP="00AB2D8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50F83">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8F022A" w:rsidRDefault="008F022A" w:rsidP="00AB2D8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492</w:t>
            </w:r>
            <w:r w:rsidRPr="00ED79B6">
              <w:rPr>
                <w:i/>
                <w:sz w:val="18"/>
              </w:rPr>
              <w:fldChar w:fldCharType="end"/>
            </w:r>
          </w:p>
        </w:tc>
      </w:tr>
    </w:tbl>
    <w:p w:rsidR="008F022A" w:rsidRPr="00ED79B6" w:rsidRDefault="008F022A" w:rsidP="001B6607">
      <w:pPr>
        <w:rPr>
          <w:i/>
          <w:sz w:val="18"/>
        </w:rPr>
      </w:pPr>
    </w:p>
    <w:p w:rsidR="008F022A" w:rsidRDefault="008F022A">
      <w:pPr>
        <w:pStyle w:val="Footer"/>
      </w:pPr>
    </w:p>
    <w:p w:rsidR="008F022A" w:rsidRDefault="008F022A"/>
    <w:p w:rsidR="008F022A" w:rsidRDefault="008F022A">
      <w:r>
        <w:separator/>
      </w:r>
    </w:p>
  </w:footnote>
  <w:footnote w:type="continuationSeparator" w:id="0">
    <w:p w:rsidR="008F022A" w:rsidRDefault="008F0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Default="008F022A" w:rsidP="001771E3">
    <w:pPr>
      <w:pStyle w:val="Header"/>
      <w:pBdr>
        <w:bottom w:val="single" w:sz="6" w:space="1" w:color="auto"/>
      </w:pBdr>
    </w:pPr>
  </w:p>
  <w:p w:rsidR="008F022A" w:rsidRDefault="008F022A" w:rsidP="001771E3">
    <w:pPr>
      <w:pStyle w:val="Header"/>
      <w:pBdr>
        <w:bottom w:val="single" w:sz="6" w:space="1" w:color="auto"/>
      </w:pBdr>
    </w:pPr>
  </w:p>
  <w:p w:rsidR="008F022A" w:rsidRPr="001E77D2" w:rsidRDefault="008F022A" w:rsidP="001771E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0B0625" w:rsidRDefault="008F022A">
    <w:pPr>
      <w:rPr>
        <w:sz w:val="20"/>
      </w:rPr>
    </w:pPr>
    <w:r w:rsidRPr="000B0625">
      <w:rPr>
        <w:b/>
        <w:sz w:val="20"/>
      </w:rPr>
      <w:fldChar w:fldCharType="begin"/>
    </w:r>
    <w:r w:rsidRPr="000B0625">
      <w:rPr>
        <w:b/>
        <w:sz w:val="20"/>
      </w:rPr>
      <w:instrText xml:space="preserve"> STYLEREF CharChapNo </w:instrText>
    </w:r>
    <w:r w:rsidRPr="000B0625">
      <w:rPr>
        <w:b/>
        <w:sz w:val="20"/>
      </w:rPr>
      <w:fldChar w:fldCharType="separate"/>
    </w:r>
    <w:r w:rsidR="00A50F83">
      <w:rPr>
        <w:b/>
        <w:noProof/>
        <w:sz w:val="20"/>
      </w:rPr>
      <w:t>Schedule 1</w: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CharChapText </w:instrText>
    </w:r>
    <w:r w:rsidRPr="000B0625">
      <w:rPr>
        <w:sz w:val="20"/>
      </w:rPr>
      <w:fldChar w:fldCharType="separate"/>
    </w:r>
    <w:r w:rsidR="00A50F83">
      <w:rPr>
        <w:noProof/>
        <w:sz w:val="20"/>
      </w:rPr>
      <w:t>Pharmaceutical benefits covered by this Special Arrangement and related information</w:t>
    </w:r>
    <w:r w:rsidRPr="000B0625">
      <w:rPr>
        <w:sz w:val="20"/>
      </w:rPr>
      <w:fldChar w:fldCharType="end"/>
    </w:r>
  </w:p>
  <w:p w:rsidR="008F022A" w:rsidRPr="000B0625" w:rsidRDefault="008F022A">
    <w:pPr>
      <w:pBdr>
        <w:bottom w:val="single" w:sz="6" w:space="1" w:color="auto"/>
      </w:pBdr>
      <w:rPr>
        <w:sz w:val="20"/>
      </w:rPr>
    </w:pPr>
    <w:r w:rsidRPr="000B0625">
      <w:rPr>
        <w:b/>
        <w:sz w:val="20"/>
      </w:rPr>
      <w:fldChar w:fldCharType="begin"/>
    </w:r>
    <w:r w:rsidRPr="000B0625">
      <w:rPr>
        <w:b/>
        <w:sz w:val="20"/>
      </w:rPr>
      <w:instrText xml:space="preserve"> STYLEREF CharPartNo </w:instrTex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CharPartText </w:instrText>
    </w:r>
    <w:r w:rsidRPr="000B0625">
      <w:rPr>
        <w:sz w:val="20"/>
      </w:rPr>
      <w:fldChar w:fldCharType="end"/>
    </w:r>
  </w:p>
  <w:p w:rsidR="008F022A" w:rsidRDefault="008F022A">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0B0625" w:rsidRDefault="008F022A">
    <w:pPr>
      <w:jc w:val="right"/>
      <w:rPr>
        <w:sz w:val="20"/>
      </w:rPr>
    </w:pPr>
    <w:r w:rsidRPr="000B0625">
      <w:rPr>
        <w:sz w:val="20"/>
      </w:rPr>
      <w:fldChar w:fldCharType="begin"/>
    </w:r>
    <w:r w:rsidRPr="000B0625">
      <w:rPr>
        <w:sz w:val="20"/>
      </w:rPr>
      <w:instrText xml:space="preserve"> STYLEREF CharChapText </w:instrText>
    </w:r>
    <w:r w:rsidRPr="000B0625">
      <w:rPr>
        <w:sz w:val="20"/>
      </w:rPr>
      <w:fldChar w:fldCharType="separate"/>
    </w:r>
    <w:r w:rsidR="00A50F83">
      <w:rPr>
        <w:noProof/>
        <w:sz w:val="20"/>
      </w:rPr>
      <w:t>Pharmaceutical benefits covered by this Special Arrangement and related information</w: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CharChapNo </w:instrText>
    </w:r>
    <w:r w:rsidRPr="000B0625">
      <w:rPr>
        <w:b/>
        <w:sz w:val="20"/>
      </w:rPr>
      <w:fldChar w:fldCharType="separate"/>
    </w:r>
    <w:r w:rsidR="00A50F83">
      <w:rPr>
        <w:b/>
        <w:noProof/>
        <w:sz w:val="20"/>
      </w:rPr>
      <w:t>Schedule 1</w:t>
    </w:r>
    <w:r w:rsidRPr="000B0625">
      <w:rPr>
        <w:b/>
        <w:sz w:val="20"/>
      </w:rPr>
      <w:fldChar w:fldCharType="end"/>
    </w:r>
  </w:p>
  <w:p w:rsidR="008F022A" w:rsidRPr="000B0625" w:rsidRDefault="008F022A">
    <w:pPr>
      <w:pBdr>
        <w:bottom w:val="single" w:sz="6" w:space="1" w:color="auto"/>
      </w:pBdr>
      <w:jc w:val="right"/>
      <w:rPr>
        <w:b/>
        <w:sz w:val="20"/>
      </w:rPr>
    </w:pPr>
    <w:r w:rsidRPr="000B0625">
      <w:rPr>
        <w:sz w:val="20"/>
      </w:rPr>
      <w:fldChar w:fldCharType="begin"/>
    </w:r>
    <w:r w:rsidRPr="000B0625">
      <w:rPr>
        <w:sz w:val="20"/>
      </w:rPr>
      <w:instrText xml:space="preserve"> STYLEREF CharPartText </w:instrTex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CharPartNo </w:instrText>
    </w:r>
    <w:r w:rsidRPr="000B0625">
      <w:rPr>
        <w:b/>
        <w:sz w:val="20"/>
      </w:rPr>
      <w:fldChar w:fldCharType="end"/>
    </w:r>
  </w:p>
  <w:p w:rsidR="008F022A" w:rsidRPr="000B0625" w:rsidRDefault="008F022A">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Default="008F022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D1021D" w:rsidRDefault="008F022A">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A50F83">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A50F83">
      <w:rPr>
        <w:noProof/>
        <w:sz w:val="20"/>
      </w:rPr>
      <w:t>Pharmaceutical benefits covered by this Special Arrangement and related information</w:t>
    </w:r>
    <w:r w:rsidRPr="00D1021D">
      <w:rPr>
        <w:sz w:val="20"/>
      </w:rPr>
      <w:fldChar w:fldCharType="end"/>
    </w:r>
  </w:p>
  <w:p w:rsidR="008F022A" w:rsidRPr="00D1021D" w:rsidRDefault="008F022A">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8F022A" w:rsidRPr="00D1021D" w:rsidRDefault="008F022A">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8F022A" w:rsidRPr="00D1021D" w:rsidRDefault="008F022A" w:rsidP="00D436F5">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D1021D" w:rsidRDefault="008F022A">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A50F83">
      <w:rPr>
        <w:noProof/>
        <w:sz w:val="20"/>
      </w:rPr>
      <w:t>Pharmaceutical benefits covered by this Special Arrangement and related information</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A50F83">
      <w:rPr>
        <w:b/>
        <w:noProof/>
        <w:sz w:val="20"/>
      </w:rPr>
      <w:t>Schedule 1</w:t>
    </w:r>
    <w:r w:rsidRPr="00D1021D">
      <w:rPr>
        <w:b/>
        <w:sz w:val="20"/>
      </w:rPr>
      <w:fldChar w:fldCharType="end"/>
    </w:r>
  </w:p>
  <w:p w:rsidR="008F022A" w:rsidRPr="00D1021D" w:rsidRDefault="008F022A">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8F022A" w:rsidRPr="00D1021D" w:rsidRDefault="008F022A">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8F022A" w:rsidRPr="00D1021D" w:rsidRDefault="008F022A" w:rsidP="00D436F5">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Default="008F022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D1021D" w:rsidRDefault="008F022A">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A50F83">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A50F83">
      <w:rPr>
        <w:noProof/>
        <w:sz w:val="20"/>
      </w:rPr>
      <w:t>Responsible Person Codes</w:t>
    </w:r>
    <w:r w:rsidRPr="00D1021D">
      <w:rPr>
        <w:sz w:val="20"/>
      </w:rPr>
      <w:fldChar w:fldCharType="end"/>
    </w:r>
  </w:p>
  <w:p w:rsidR="008F022A" w:rsidRPr="00D1021D" w:rsidRDefault="008F022A">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8F022A" w:rsidRPr="00D1021D" w:rsidRDefault="008F022A">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8F022A" w:rsidRPr="00D1021D" w:rsidRDefault="008F022A" w:rsidP="00FF6EA5">
    <w:pPr>
      <w:pBdr>
        <w:bottom w:val="single" w:sz="6" w:space="1" w:color="auto"/>
      </w:pBdr>
      <w:spacing w:after="12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D1021D" w:rsidRDefault="008F022A">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A50F83">
      <w:rPr>
        <w:noProof/>
        <w:sz w:val="20"/>
      </w:rPr>
      <w:t>Responsible Person Codes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A50F83">
      <w:rPr>
        <w:b/>
        <w:noProof/>
        <w:sz w:val="20"/>
      </w:rPr>
      <w:t>Schedule 2</w:t>
    </w:r>
    <w:r w:rsidRPr="00D1021D">
      <w:rPr>
        <w:b/>
        <w:sz w:val="20"/>
      </w:rPr>
      <w:fldChar w:fldCharType="end"/>
    </w:r>
  </w:p>
  <w:p w:rsidR="008F022A" w:rsidRPr="00D1021D" w:rsidRDefault="008F022A">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8F022A" w:rsidRPr="00D1021D" w:rsidRDefault="008F022A">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8F022A" w:rsidRPr="00D1021D" w:rsidRDefault="008F022A" w:rsidP="00FF6EA5">
    <w:pPr>
      <w:pBdr>
        <w:bottom w:val="single" w:sz="6" w:space="1" w:color="auto"/>
      </w:pBdr>
      <w:spacing w:after="120"/>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Default="008F022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D1021D" w:rsidRDefault="008F022A">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A50F83">
      <w:rPr>
        <w:b/>
        <w:noProof/>
        <w:sz w:val="20"/>
      </w:rPr>
      <w:t>Schedule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A50F83">
      <w:rPr>
        <w:noProof/>
        <w:sz w:val="20"/>
      </w:rPr>
      <w:t>Circumstances and Purposes Codes</w:t>
    </w:r>
    <w:r w:rsidRPr="00D1021D">
      <w:rPr>
        <w:sz w:val="20"/>
      </w:rPr>
      <w:fldChar w:fldCharType="end"/>
    </w:r>
  </w:p>
  <w:p w:rsidR="008F022A" w:rsidRPr="00D1021D" w:rsidRDefault="008F022A">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8F022A" w:rsidRPr="00D1021D" w:rsidRDefault="008F022A">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8F022A" w:rsidRPr="00D1021D" w:rsidRDefault="008F022A">
    <w:pPr>
      <w:rPr>
        <w:b/>
      </w:rPr>
    </w:pPr>
  </w:p>
  <w:p w:rsidR="008F022A" w:rsidRPr="00F01FB1" w:rsidRDefault="008F022A" w:rsidP="00036D32">
    <w:pPr>
      <w:pBdr>
        <w:bottom w:val="single" w:sz="6" w:space="1" w:color="auto"/>
      </w:pBdr>
      <w:spacing w:after="120"/>
      <w:rPr>
        <w:szCs w:val="22"/>
      </w:rPr>
    </w:pPr>
    <w:r w:rsidRPr="00F01FB1">
      <w:rPr>
        <w:szCs w:val="22"/>
      </w:rPr>
      <w:t xml:space="preserve">Clause </w:t>
    </w:r>
    <w:r w:rsidRPr="00F01FB1">
      <w:rPr>
        <w:szCs w:val="22"/>
      </w:rPr>
      <w:fldChar w:fldCharType="begin"/>
    </w:r>
    <w:r w:rsidRPr="00F01FB1">
      <w:rPr>
        <w:szCs w:val="22"/>
      </w:rPr>
      <w:instrText xml:space="preserve"> STYLEREF CharSectno </w:instrText>
    </w:r>
    <w:r w:rsidRPr="00F01FB1">
      <w:rPr>
        <w:szCs w:val="22"/>
      </w:rPr>
      <w:fldChar w:fldCharType="separate"/>
    </w:r>
    <w:r w:rsidR="00A50F83">
      <w:rPr>
        <w:noProof/>
        <w:szCs w:val="22"/>
      </w:rPr>
      <w:t>56</w:t>
    </w:r>
    <w:r w:rsidRPr="00F01FB1">
      <w:rPr>
        <w:noProof/>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Default="008F022A" w:rsidP="001771E3">
    <w:pPr>
      <w:pStyle w:val="Header"/>
      <w:pBdr>
        <w:bottom w:val="single" w:sz="4" w:space="1" w:color="auto"/>
      </w:pBdr>
    </w:pPr>
  </w:p>
  <w:p w:rsidR="008F022A" w:rsidRDefault="008F022A" w:rsidP="001771E3">
    <w:pPr>
      <w:pStyle w:val="Header"/>
      <w:pBdr>
        <w:bottom w:val="single" w:sz="4" w:space="1" w:color="auto"/>
      </w:pBdr>
    </w:pPr>
  </w:p>
  <w:p w:rsidR="008F022A" w:rsidRPr="001E77D2" w:rsidRDefault="008F022A" w:rsidP="001771E3">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D1021D" w:rsidRDefault="008F022A">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A50F83">
      <w:rPr>
        <w:noProof/>
        <w:sz w:val="20"/>
      </w:rPr>
      <w:t>Circumstances and Purposes Codes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A50F83">
      <w:rPr>
        <w:b/>
        <w:noProof/>
        <w:sz w:val="20"/>
      </w:rPr>
      <w:t>Schedule 3</w:t>
    </w:r>
    <w:r w:rsidRPr="00D1021D">
      <w:rPr>
        <w:b/>
        <w:sz w:val="20"/>
      </w:rPr>
      <w:fldChar w:fldCharType="end"/>
    </w:r>
  </w:p>
  <w:p w:rsidR="008F022A" w:rsidRPr="00D1021D" w:rsidRDefault="008F022A">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8F022A" w:rsidRPr="00D1021D" w:rsidRDefault="008F022A">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8F022A" w:rsidRPr="00D1021D" w:rsidRDefault="008F022A">
    <w:pPr>
      <w:jc w:val="right"/>
      <w:rPr>
        <w:b/>
      </w:rPr>
    </w:pPr>
  </w:p>
  <w:p w:rsidR="008F022A" w:rsidRPr="00F01FB1" w:rsidRDefault="008F022A" w:rsidP="00036D32">
    <w:pPr>
      <w:pBdr>
        <w:bottom w:val="single" w:sz="6" w:space="1" w:color="auto"/>
      </w:pBdr>
      <w:spacing w:after="120"/>
      <w:jc w:val="right"/>
      <w:rPr>
        <w:szCs w:val="22"/>
      </w:rPr>
    </w:pPr>
    <w:r w:rsidRPr="00F01FB1">
      <w:rPr>
        <w:szCs w:val="22"/>
      </w:rPr>
      <w:t xml:space="preserve">Clause </w:t>
    </w:r>
    <w:r w:rsidRPr="00F01FB1">
      <w:rPr>
        <w:szCs w:val="22"/>
      </w:rPr>
      <w:fldChar w:fldCharType="begin"/>
    </w:r>
    <w:r w:rsidRPr="00F01FB1">
      <w:rPr>
        <w:szCs w:val="22"/>
      </w:rPr>
      <w:instrText xml:space="preserve"> STYLEREF CharSectno </w:instrText>
    </w:r>
    <w:r w:rsidRPr="00F01FB1">
      <w:rPr>
        <w:szCs w:val="22"/>
      </w:rPr>
      <w:fldChar w:fldCharType="separate"/>
    </w:r>
    <w:r w:rsidR="00A50F83">
      <w:rPr>
        <w:noProof/>
        <w:szCs w:val="22"/>
      </w:rPr>
      <w:t>56</w:t>
    </w:r>
    <w:r w:rsidRPr="00F01FB1">
      <w:rPr>
        <w:noProof/>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036D32" w:rsidRDefault="008F022A">
    <w:pPr>
      <w:rPr>
        <w:sz w:val="2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D1021D" w:rsidRDefault="008F022A">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A50F83">
      <w:rPr>
        <w:b/>
        <w:noProof/>
        <w:sz w:val="20"/>
      </w:rPr>
      <w:t>Schedule 3 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A50F83">
      <w:rPr>
        <w:noProof/>
        <w:sz w:val="20"/>
      </w:rPr>
      <w:t>General statement for drugs for the treatment of hepatitis C</w:t>
    </w:r>
    <w:r w:rsidRPr="00D1021D">
      <w:rPr>
        <w:sz w:val="20"/>
      </w:rPr>
      <w:fldChar w:fldCharType="end"/>
    </w:r>
  </w:p>
  <w:p w:rsidR="008F022A" w:rsidRPr="00D1021D" w:rsidRDefault="008F022A">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8F022A" w:rsidRPr="00D1021D" w:rsidRDefault="008F022A">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8F022A" w:rsidRPr="00D1021D" w:rsidRDefault="008F022A">
    <w:pPr>
      <w:pBdr>
        <w:bottom w:val="single" w:sz="6"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D1021D" w:rsidRDefault="008F022A">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A50F83">
      <w:rPr>
        <w:noProof/>
        <w:sz w:val="20"/>
      </w:rPr>
      <w:t>General statement for drugs for the treatment of hepatitis C</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A50F83">
      <w:rPr>
        <w:b/>
        <w:noProof/>
        <w:sz w:val="20"/>
      </w:rPr>
      <w:t>Schedule 3 Part 1</w:t>
    </w:r>
    <w:r w:rsidRPr="00D1021D">
      <w:rPr>
        <w:b/>
        <w:sz w:val="20"/>
      </w:rPr>
      <w:fldChar w:fldCharType="end"/>
    </w:r>
  </w:p>
  <w:p w:rsidR="008F022A" w:rsidRPr="00D1021D" w:rsidRDefault="008F022A">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8F022A" w:rsidRPr="00D1021D" w:rsidRDefault="008F022A">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8F022A" w:rsidRPr="00D1021D" w:rsidRDefault="008F022A">
    <w:pPr>
      <w:pBdr>
        <w:bottom w:val="single" w:sz="6" w:space="1" w:color="auto"/>
      </w:pBd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Default="008F022A"/>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D1021D" w:rsidRDefault="008F022A">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A50F83">
      <w:rPr>
        <w:b/>
        <w:noProof/>
        <w:sz w:val="20"/>
      </w:rPr>
      <w:t>Schedule 4</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A50F83">
      <w:rPr>
        <w:noProof/>
        <w:sz w:val="20"/>
      </w:rPr>
      <w:t>Patient contributions</w:t>
    </w:r>
    <w:r w:rsidRPr="00D1021D">
      <w:rPr>
        <w:sz w:val="20"/>
      </w:rPr>
      <w:fldChar w:fldCharType="end"/>
    </w:r>
  </w:p>
  <w:p w:rsidR="008F022A" w:rsidRPr="00D1021D" w:rsidRDefault="008F022A">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8F022A" w:rsidRPr="00D1021D" w:rsidRDefault="008F022A">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8F022A" w:rsidRPr="00D6304B" w:rsidRDefault="008F022A" w:rsidP="00D6304B">
    <w:pPr>
      <w:pBdr>
        <w:bottom w:val="single" w:sz="6" w:space="1" w:color="auto"/>
      </w:pBdr>
      <w:spacing w:after="120"/>
      <w:rPr>
        <w:sz w:val="24"/>
      </w:rPr>
    </w:pPr>
  </w:p>
  <w:p w:rsidR="008F022A" w:rsidRDefault="008F022A"/>
  <w:p w:rsidR="008F022A" w:rsidRDefault="008F022A"/>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D1021D" w:rsidRDefault="008F022A">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A50F83">
      <w:rPr>
        <w:noProof/>
        <w:sz w:val="20"/>
      </w:rPr>
      <w:t>Patient contributions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A50F83">
      <w:rPr>
        <w:b/>
        <w:noProof/>
        <w:sz w:val="20"/>
      </w:rPr>
      <w:t>Schedule 4</w:t>
    </w:r>
    <w:r w:rsidRPr="00D1021D">
      <w:rPr>
        <w:b/>
        <w:sz w:val="20"/>
      </w:rPr>
      <w:fldChar w:fldCharType="end"/>
    </w:r>
  </w:p>
  <w:p w:rsidR="008F022A" w:rsidRPr="00D1021D" w:rsidRDefault="008F022A">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8F022A" w:rsidRPr="00D1021D" w:rsidRDefault="008F022A">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8F022A" w:rsidRPr="00D6304B" w:rsidRDefault="008F022A" w:rsidP="00D6304B">
    <w:pPr>
      <w:pBdr>
        <w:bottom w:val="single" w:sz="6" w:space="1" w:color="auto"/>
      </w:pBdr>
      <w:spacing w:after="120"/>
      <w:jc w:val="right"/>
      <w:rPr>
        <w:sz w:val="24"/>
      </w:rPr>
    </w:pPr>
  </w:p>
  <w:p w:rsidR="008F022A" w:rsidRDefault="008F022A"/>
  <w:p w:rsidR="008F022A" w:rsidRDefault="008F022A"/>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D6304B" w:rsidRDefault="008F022A">
    <w:pPr>
      <w:rPr>
        <w:sz w:val="24"/>
      </w:rPr>
    </w:pPr>
  </w:p>
  <w:p w:rsidR="008F022A" w:rsidRDefault="008F022A"/>
  <w:p w:rsidR="008F022A" w:rsidRDefault="008F022A"/>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C4473E" w:rsidRDefault="008F022A" w:rsidP="00AB2D85">
    <w:pPr>
      <w:rPr>
        <w:sz w:val="26"/>
        <w:szCs w:val="26"/>
      </w:rPr>
    </w:pPr>
  </w:p>
  <w:p w:rsidR="008F022A" w:rsidRPr="00965EE7" w:rsidRDefault="008F022A" w:rsidP="00AB2D85">
    <w:pPr>
      <w:rPr>
        <w:b/>
        <w:sz w:val="20"/>
      </w:rPr>
    </w:pPr>
    <w:r w:rsidRPr="00965EE7">
      <w:rPr>
        <w:b/>
        <w:sz w:val="20"/>
      </w:rPr>
      <w:t>Endnotes</w:t>
    </w:r>
  </w:p>
  <w:p w:rsidR="008F022A" w:rsidRPr="007A1328" w:rsidRDefault="008F022A" w:rsidP="00AB2D85">
    <w:pPr>
      <w:rPr>
        <w:sz w:val="20"/>
      </w:rPr>
    </w:pPr>
  </w:p>
  <w:p w:rsidR="008F022A" w:rsidRPr="007A1328" w:rsidRDefault="008F022A" w:rsidP="00AB2D85">
    <w:pPr>
      <w:rPr>
        <w:b/>
        <w:sz w:val="24"/>
      </w:rPr>
    </w:pPr>
  </w:p>
  <w:p w:rsidR="008F022A" w:rsidRPr="00C4473E" w:rsidRDefault="008F022A" w:rsidP="001E4AAC">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50F83">
      <w:rPr>
        <w:noProof/>
        <w:szCs w:val="22"/>
      </w:rPr>
      <w:t>Endnote 1—About the endnotes</w:t>
    </w:r>
    <w:r w:rsidRPr="00C4473E">
      <w:rPr>
        <w:szCs w:val="22"/>
      </w:rPr>
      <w:fldChar w:fldCharType="end"/>
    </w:r>
  </w:p>
  <w:p w:rsidR="008F022A" w:rsidRPr="00506F42" w:rsidRDefault="008F022A" w:rsidP="001E4AAC">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C4473E" w:rsidRDefault="008F022A" w:rsidP="00506F42">
    <w:pPr>
      <w:jc w:val="right"/>
      <w:rPr>
        <w:sz w:val="26"/>
        <w:szCs w:val="26"/>
      </w:rPr>
    </w:pPr>
  </w:p>
  <w:p w:rsidR="008F022A" w:rsidRPr="00965EE7" w:rsidRDefault="008F022A" w:rsidP="00506F42">
    <w:pPr>
      <w:jc w:val="right"/>
      <w:rPr>
        <w:b/>
        <w:sz w:val="20"/>
      </w:rPr>
    </w:pPr>
    <w:r w:rsidRPr="00965EE7">
      <w:rPr>
        <w:b/>
        <w:sz w:val="20"/>
      </w:rPr>
      <w:t>Endnotes</w:t>
    </w:r>
  </w:p>
  <w:p w:rsidR="008F022A" w:rsidRPr="007A1328" w:rsidRDefault="008F022A" w:rsidP="00506F42">
    <w:pPr>
      <w:jc w:val="right"/>
      <w:rPr>
        <w:sz w:val="20"/>
      </w:rPr>
    </w:pPr>
  </w:p>
  <w:p w:rsidR="008F022A" w:rsidRPr="007A1328" w:rsidRDefault="008F022A" w:rsidP="00506F42">
    <w:pPr>
      <w:jc w:val="right"/>
      <w:rPr>
        <w:b/>
        <w:sz w:val="24"/>
      </w:rPr>
    </w:pPr>
  </w:p>
  <w:p w:rsidR="008F022A" w:rsidRPr="00C4473E" w:rsidRDefault="008F022A" w:rsidP="00506F4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50F83">
      <w:rPr>
        <w:noProof/>
        <w:szCs w:val="22"/>
      </w:rPr>
      <w:t>Endnote 1—About the endnotes</w:t>
    </w:r>
    <w:r w:rsidRPr="00C4473E">
      <w:rPr>
        <w:szCs w:val="22"/>
      </w:rPr>
      <w:fldChar w:fldCharType="end"/>
    </w:r>
  </w:p>
  <w:p w:rsidR="008F022A" w:rsidRPr="00506F42" w:rsidRDefault="008F022A" w:rsidP="00506F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5F1388" w:rsidRDefault="008F022A" w:rsidP="001771E3">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C4473E" w:rsidRDefault="008F022A" w:rsidP="00AB2D85">
    <w:pPr>
      <w:rPr>
        <w:sz w:val="26"/>
        <w:szCs w:val="26"/>
      </w:rPr>
    </w:pPr>
  </w:p>
  <w:p w:rsidR="008F022A" w:rsidRPr="00965EE7" w:rsidRDefault="008F022A" w:rsidP="00AB2D85">
    <w:pPr>
      <w:rPr>
        <w:b/>
        <w:sz w:val="20"/>
      </w:rPr>
    </w:pPr>
    <w:r w:rsidRPr="00965EE7">
      <w:rPr>
        <w:b/>
        <w:sz w:val="20"/>
      </w:rPr>
      <w:t>Endnotes</w:t>
    </w:r>
  </w:p>
  <w:p w:rsidR="008F022A" w:rsidRPr="007A1328" w:rsidRDefault="008F022A" w:rsidP="00AB2D85">
    <w:pPr>
      <w:rPr>
        <w:sz w:val="20"/>
      </w:rPr>
    </w:pPr>
  </w:p>
  <w:p w:rsidR="008F022A" w:rsidRPr="007A1328" w:rsidRDefault="008F022A" w:rsidP="00AB2D85">
    <w:pPr>
      <w:rPr>
        <w:b/>
        <w:sz w:val="24"/>
      </w:rPr>
    </w:pPr>
  </w:p>
  <w:p w:rsidR="008F022A" w:rsidRPr="00C4473E" w:rsidRDefault="008F022A" w:rsidP="00AB2D85">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50F83">
      <w:rPr>
        <w:noProof/>
        <w:szCs w:val="22"/>
      </w:rPr>
      <w:t>Endnote 4—Amendment history</w:t>
    </w:r>
    <w:r w:rsidRPr="00C4473E">
      <w:rPr>
        <w:szCs w:val="22"/>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C4473E" w:rsidRDefault="008F022A" w:rsidP="00506F42">
    <w:pPr>
      <w:jc w:val="right"/>
      <w:rPr>
        <w:sz w:val="26"/>
        <w:szCs w:val="26"/>
      </w:rPr>
    </w:pPr>
  </w:p>
  <w:p w:rsidR="008F022A" w:rsidRPr="00965EE7" w:rsidRDefault="008F022A" w:rsidP="00506F42">
    <w:pPr>
      <w:jc w:val="right"/>
      <w:rPr>
        <w:b/>
        <w:sz w:val="20"/>
      </w:rPr>
    </w:pPr>
    <w:r w:rsidRPr="00965EE7">
      <w:rPr>
        <w:b/>
        <w:sz w:val="20"/>
      </w:rPr>
      <w:t>Endnotes</w:t>
    </w:r>
  </w:p>
  <w:p w:rsidR="008F022A" w:rsidRPr="007A1328" w:rsidRDefault="008F022A" w:rsidP="00506F42">
    <w:pPr>
      <w:jc w:val="right"/>
      <w:rPr>
        <w:sz w:val="20"/>
      </w:rPr>
    </w:pPr>
  </w:p>
  <w:p w:rsidR="008F022A" w:rsidRPr="007A1328" w:rsidRDefault="008F022A" w:rsidP="00506F42">
    <w:pPr>
      <w:jc w:val="right"/>
      <w:rPr>
        <w:b/>
        <w:sz w:val="24"/>
      </w:rPr>
    </w:pPr>
  </w:p>
  <w:p w:rsidR="008F022A" w:rsidRPr="00C4473E" w:rsidRDefault="008F022A" w:rsidP="00506F4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50F83">
      <w:rPr>
        <w:noProof/>
        <w:szCs w:val="22"/>
      </w:rPr>
      <w:t>Endnote 4—Amendment history</w:t>
    </w:r>
    <w:r w:rsidRPr="00C4473E">
      <w:rPr>
        <w:szCs w:val="22"/>
      </w:rPr>
      <w:fldChar w:fldCharType="end"/>
    </w:r>
  </w:p>
  <w:p w:rsidR="008F022A" w:rsidRPr="00506F42" w:rsidRDefault="008F022A" w:rsidP="00506F42">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Default="008F022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ED79B6" w:rsidRDefault="008F022A" w:rsidP="003C6684">
    <w:pPr>
      <w:pBdr>
        <w:bottom w:val="single" w:sz="6" w:space="1" w:color="auto"/>
      </w:pBdr>
      <w:spacing w:before="1000"/>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ED79B6" w:rsidRDefault="008F022A" w:rsidP="003C6684">
    <w:pPr>
      <w:pBdr>
        <w:bottom w:val="single" w:sz="6" w:space="1" w:color="auto"/>
      </w:pBdr>
      <w:spacing w:before="1000"/>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ED79B6" w:rsidRDefault="008F022A" w:rsidP="00AB2D8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Default="008F022A" w:rsidP="00270777">
    <w:pPr>
      <w:rPr>
        <w:sz w:val="20"/>
      </w:rPr>
    </w:pPr>
    <w:r w:rsidRPr="007A1328">
      <w:rPr>
        <w:b/>
        <w:sz w:val="20"/>
      </w:rPr>
      <w:fldChar w:fldCharType="begin"/>
    </w:r>
    <w:r w:rsidRPr="007A1328">
      <w:rPr>
        <w:b/>
        <w:sz w:val="20"/>
      </w:rPr>
      <w:instrText xml:space="preserve"> STYLEREF CharChapNo </w:instrText>
    </w:r>
    <w:r w:rsidR="00AF69B5">
      <w:rPr>
        <w:b/>
        <w:sz w:val="20"/>
      </w:rPr>
      <w:fldChar w:fldCharType="separate"/>
    </w:r>
    <w:r w:rsidR="00AF69B5">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AF69B5">
      <w:rPr>
        <w:sz w:val="20"/>
      </w:rPr>
      <w:fldChar w:fldCharType="separate"/>
    </w:r>
    <w:r w:rsidR="00AF69B5">
      <w:rPr>
        <w:noProof/>
        <w:sz w:val="20"/>
      </w:rPr>
      <w:t>Pharmaceutical benefits covered by this Special Arrangement and related information</w:t>
    </w:r>
    <w:r>
      <w:rPr>
        <w:sz w:val="20"/>
      </w:rPr>
      <w:fldChar w:fldCharType="end"/>
    </w:r>
  </w:p>
  <w:p w:rsidR="008F022A" w:rsidRDefault="008F022A" w:rsidP="0027077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F69B5">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F69B5">
      <w:rPr>
        <w:noProof/>
        <w:sz w:val="20"/>
      </w:rPr>
      <w:t>Claiming procedures and payment amounts</w:t>
    </w:r>
    <w:r>
      <w:rPr>
        <w:sz w:val="20"/>
      </w:rPr>
      <w:fldChar w:fldCharType="end"/>
    </w:r>
  </w:p>
  <w:p w:rsidR="008F022A" w:rsidRPr="007A1328" w:rsidRDefault="008F022A" w:rsidP="00270777">
    <w:pPr>
      <w:rPr>
        <w:sz w:val="20"/>
      </w:rPr>
    </w:pPr>
    <w:r>
      <w:rPr>
        <w:b/>
        <w:sz w:val="20"/>
      </w:rPr>
      <w:fldChar w:fldCharType="begin"/>
    </w:r>
    <w:r>
      <w:rPr>
        <w:b/>
        <w:sz w:val="20"/>
      </w:rPr>
      <w:instrText xml:space="preserve"> STYLEREF CharDivNo </w:instrText>
    </w:r>
    <w:r>
      <w:rPr>
        <w:b/>
        <w:sz w:val="20"/>
      </w:rPr>
      <w:fldChar w:fldCharType="separate"/>
    </w:r>
    <w:r w:rsidR="00AF69B5">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AF69B5">
      <w:rPr>
        <w:noProof/>
        <w:sz w:val="20"/>
      </w:rPr>
      <w:t>Prescribing HSD pharmaceutical benefits that have non-CAR drugs</w:t>
    </w:r>
    <w:r>
      <w:rPr>
        <w:sz w:val="20"/>
      </w:rPr>
      <w:fldChar w:fldCharType="end"/>
    </w:r>
  </w:p>
  <w:p w:rsidR="008F022A" w:rsidRPr="007A1328" w:rsidRDefault="008F022A" w:rsidP="00270777">
    <w:pPr>
      <w:rPr>
        <w:b/>
        <w:sz w:val="24"/>
      </w:rPr>
    </w:pPr>
  </w:p>
  <w:p w:rsidR="008F022A" w:rsidRPr="001B0025" w:rsidRDefault="008F022A" w:rsidP="001B0025">
    <w:pPr>
      <w:pBdr>
        <w:bottom w:val="single" w:sz="6" w:space="1" w:color="auto"/>
      </w:pBdr>
      <w:spacing w:after="120"/>
      <w:rPr>
        <w:sz w:val="24"/>
      </w:rPr>
    </w:pPr>
    <w:r w:rsidRPr="001B0025">
      <w:rPr>
        <w:sz w:val="24"/>
      </w:rPr>
      <w:fldChar w:fldCharType="begin"/>
    </w:r>
    <w:r w:rsidRPr="001B0025">
      <w:rPr>
        <w:sz w:val="24"/>
      </w:rPr>
      <w:instrText xml:space="preserve"> DOCPROPERTY  Header </w:instrText>
    </w:r>
    <w:r w:rsidRPr="001B0025">
      <w:rPr>
        <w:sz w:val="24"/>
      </w:rPr>
      <w:fldChar w:fldCharType="separate"/>
    </w:r>
    <w:r w:rsidR="00A50F83">
      <w:rPr>
        <w:sz w:val="24"/>
      </w:rPr>
      <w:t>Section</w:t>
    </w:r>
    <w:r w:rsidRPr="001B0025">
      <w:rPr>
        <w:sz w:val="24"/>
      </w:rPr>
      <w:fldChar w:fldCharType="end"/>
    </w:r>
    <w:r w:rsidRPr="001B0025">
      <w:rPr>
        <w:sz w:val="24"/>
      </w:rPr>
      <w:t xml:space="preserve"> </w:t>
    </w:r>
    <w:r w:rsidRPr="001B0025">
      <w:rPr>
        <w:sz w:val="24"/>
      </w:rPr>
      <w:fldChar w:fldCharType="begin"/>
    </w:r>
    <w:r w:rsidRPr="001B0025">
      <w:rPr>
        <w:sz w:val="24"/>
      </w:rPr>
      <w:instrText xml:space="preserve"> STYLEREF CharSectno </w:instrText>
    </w:r>
    <w:r w:rsidRPr="001B0025">
      <w:rPr>
        <w:sz w:val="24"/>
      </w:rPr>
      <w:fldChar w:fldCharType="separate"/>
    </w:r>
    <w:r w:rsidR="00AF69B5">
      <w:rPr>
        <w:noProof/>
        <w:sz w:val="24"/>
      </w:rPr>
      <w:t>21</w:t>
    </w:r>
    <w:r w:rsidRPr="001B0025">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7A1328" w:rsidRDefault="008F022A" w:rsidP="0027077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F022A" w:rsidRPr="007A1328" w:rsidRDefault="008F022A" w:rsidP="00270777">
    <w:pPr>
      <w:jc w:val="right"/>
      <w:rPr>
        <w:sz w:val="20"/>
      </w:rPr>
    </w:pPr>
    <w:r w:rsidRPr="007A1328">
      <w:rPr>
        <w:sz w:val="20"/>
      </w:rPr>
      <w:fldChar w:fldCharType="begin"/>
    </w:r>
    <w:r w:rsidRPr="007A1328">
      <w:rPr>
        <w:sz w:val="20"/>
      </w:rPr>
      <w:instrText xml:space="preserve"> STYLEREF CharPartText </w:instrText>
    </w:r>
    <w:r w:rsidR="00AF69B5">
      <w:rPr>
        <w:sz w:val="20"/>
      </w:rPr>
      <w:fldChar w:fldCharType="separate"/>
    </w:r>
    <w:r w:rsidR="00AF69B5">
      <w:rPr>
        <w:noProof/>
        <w:sz w:val="20"/>
      </w:rPr>
      <w:t>Supply of HSD pharmaceutical benefits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AF69B5">
      <w:rPr>
        <w:b/>
        <w:sz w:val="20"/>
      </w:rPr>
      <w:fldChar w:fldCharType="separate"/>
    </w:r>
    <w:r w:rsidR="00AF69B5">
      <w:rPr>
        <w:b/>
        <w:noProof/>
        <w:sz w:val="20"/>
      </w:rPr>
      <w:t>Part 2</w:t>
    </w:r>
    <w:r>
      <w:rPr>
        <w:b/>
        <w:sz w:val="20"/>
      </w:rPr>
      <w:fldChar w:fldCharType="end"/>
    </w:r>
  </w:p>
  <w:p w:rsidR="008F022A" w:rsidRPr="007A1328" w:rsidRDefault="008F022A" w:rsidP="00270777">
    <w:pPr>
      <w:jc w:val="right"/>
      <w:rPr>
        <w:sz w:val="20"/>
      </w:rPr>
    </w:pPr>
    <w:r w:rsidRPr="007A1328">
      <w:rPr>
        <w:sz w:val="20"/>
      </w:rPr>
      <w:fldChar w:fldCharType="begin"/>
    </w:r>
    <w:r w:rsidRPr="007A1328">
      <w:rPr>
        <w:sz w:val="20"/>
      </w:rPr>
      <w:instrText xml:space="preserve"> STYLEREF CharDivText </w:instrText>
    </w:r>
    <w:r w:rsidR="00AF69B5">
      <w:rPr>
        <w:sz w:val="20"/>
      </w:rPr>
      <w:fldChar w:fldCharType="separate"/>
    </w:r>
    <w:r w:rsidR="00AF69B5">
      <w:rPr>
        <w:noProof/>
        <w:sz w:val="20"/>
      </w:rPr>
      <w:t>Repeat prescriptions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AF69B5">
      <w:rPr>
        <w:b/>
        <w:sz w:val="20"/>
      </w:rPr>
      <w:fldChar w:fldCharType="separate"/>
    </w:r>
    <w:r w:rsidR="00AF69B5">
      <w:rPr>
        <w:b/>
        <w:noProof/>
        <w:sz w:val="20"/>
      </w:rPr>
      <w:t>Division 2</w:t>
    </w:r>
    <w:r>
      <w:rPr>
        <w:b/>
        <w:sz w:val="20"/>
      </w:rPr>
      <w:fldChar w:fldCharType="end"/>
    </w:r>
  </w:p>
  <w:p w:rsidR="008F022A" w:rsidRPr="007A1328" w:rsidRDefault="008F022A" w:rsidP="00270777">
    <w:pPr>
      <w:jc w:val="right"/>
      <w:rPr>
        <w:b/>
        <w:sz w:val="24"/>
      </w:rPr>
    </w:pPr>
  </w:p>
  <w:p w:rsidR="008F022A" w:rsidRPr="001B0025" w:rsidRDefault="008F022A" w:rsidP="001B0025">
    <w:pPr>
      <w:pBdr>
        <w:bottom w:val="single" w:sz="6" w:space="1" w:color="auto"/>
      </w:pBdr>
      <w:spacing w:after="120"/>
      <w:jc w:val="right"/>
      <w:rPr>
        <w:sz w:val="24"/>
      </w:rPr>
    </w:pPr>
    <w:r w:rsidRPr="001B0025">
      <w:rPr>
        <w:sz w:val="24"/>
      </w:rPr>
      <w:fldChar w:fldCharType="begin"/>
    </w:r>
    <w:r w:rsidRPr="001B0025">
      <w:rPr>
        <w:sz w:val="24"/>
      </w:rPr>
      <w:instrText xml:space="preserve"> DOCPROPERTY  Header </w:instrText>
    </w:r>
    <w:r w:rsidRPr="001B0025">
      <w:rPr>
        <w:sz w:val="24"/>
      </w:rPr>
      <w:fldChar w:fldCharType="separate"/>
    </w:r>
    <w:r w:rsidR="00A50F83">
      <w:rPr>
        <w:sz w:val="24"/>
      </w:rPr>
      <w:t>Section</w:t>
    </w:r>
    <w:r w:rsidRPr="001B0025">
      <w:rPr>
        <w:sz w:val="24"/>
      </w:rPr>
      <w:fldChar w:fldCharType="end"/>
    </w:r>
    <w:r w:rsidRPr="001B0025">
      <w:rPr>
        <w:sz w:val="24"/>
      </w:rPr>
      <w:t xml:space="preserve"> </w:t>
    </w:r>
    <w:r w:rsidRPr="001B0025">
      <w:rPr>
        <w:sz w:val="24"/>
      </w:rPr>
      <w:fldChar w:fldCharType="begin"/>
    </w:r>
    <w:r w:rsidRPr="001B0025">
      <w:rPr>
        <w:sz w:val="24"/>
      </w:rPr>
      <w:instrText xml:space="preserve"> STYLEREF CharSectno </w:instrText>
    </w:r>
    <w:r w:rsidRPr="001B0025">
      <w:rPr>
        <w:sz w:val="24"/>
      </w:rPr>
      <w:fldChar w:fldCharType="separate"/>
    </w:r>
    <w:r w:rsidR="00AF69B5">
      <w:rPr>
        <w:noProof/>
        <w:sz w:val="24"/>
      </w:rPr>
      <w:t>19</w:t>
    </w:r>
    <w:r w:rsidRPr="001B0025">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1B0025" w:rsidRDefault="008F022A" w:rsidP="00270777">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1B1768C"/>
    <w:multiLevelType w:val="multilevel"/>
    <w:tmpl w:val="AB020324"/>
    <w:styleLink w:val="AmendmentInstruction"/>
    <w:lvl w:ilvl="0">
      <w:start w:val="1"/>
      <w:numFmt w:val="decimal"/>
      <w:lvlText w:val="[%1]"/>
      <w:lvlJc w:val="left"/>
      <w:pPr>
        <w:tabs>
          <w:tab w:val="num" w:pos="794"/>
        </w:tabs>
        <w:ind w:left="794" w:hanging="794"/>
      </w:pPr>
      <w:rPr>
        <w:rFonts w:ascii="Arial" w:hAnsi="Arial" w:cs="Arial" w:hint="default"/>
        <w:b/>
        <w:i w:val="0"/>
        <w:color w:val="auto"/>
        <w:sz w:val="20"/>
        <w:szCs w:val="20"/>
      </w:rPr>
    </w:lvl>
    <w:lvl w:ilvl="1">
      <w:start w:val="1"/>
      <w:numFmt w:val="none"/>
      <w:lvlText w:val="%2"/>
      <w:lvlJc w:val="left"/>
      <w:pPr>
        <w:ind w:left="794" w:hanging="794"/>
      </w:pPr>
      <w:rPr>
        <w:rFonts w:hint="default"/>
      </w:rPr>
    </w:lvl>
    <w:lvl w:ilvl="2">
      <w:start w:val="1"/>
      <w:numFmt w:val="lowerLetter"/>
      <w:lvlRestart w:val="1"/>
      <w:lvlText w:val="(%3)"/>
      <w:lvlJc w:val="right"/>
      <w:pPr>
        <w:tabs>
          <w:tab w:val="num" w:pos="1474"/>
        </w:tabs>
        <w:ind w:left="147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7F93986"/>
    <w:multiLevelType w:val="hybridMultilevel"/>
    <w:tmpl w:val="7DD0152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15"/>
  </w:num>
  <w:num w:numId="5">
    <w:abstractNumId w:val="13"/>
  </w:num>
  <w:num w:numId="6">
    <w:abstractNumId w:val="17"/>
  </w:num>
  <w:num w:numId="7">
    <w:abstractNumId w:val="18"/>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2"/>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1474"/>
          </w:tabs>
          <w:ind w:left="1474" w:hanging="340"/>
        </w:pPr>
        <w:rPr>
          <w:rFonts w:ascii="Arial" w:hAnsi="Arial" w:cs="Arial" w:hint="default"/>
          <w:b/>
          <w:i w:val="0"/>
          <w:color w:val="auto"/>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12"/>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1050"/>
          </w:tabs>
          <w:ind w:left="1050" w:hanging="340"/>
        </w:pPr>
        <w:rPr>
          <w:rFonts w:ascii="Arial Bold" w:hAnsi="Arial Bold" w:cs="Arial"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abstractNumId w:val="12"/>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1900"/>
          </w:tabs>
          <w:ind w:left="1900" w:hanging="340"/>
        </w:pPr>
        <w:rPr>
          <w:rFonts w:ascii="Arial Bold" w:hAnsi="Arial Bold" w:cs="Arial"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80"/>
  <w:displayHorizontalDrawingGridEvery w:val="2"/>
  <w:characterSpacingControl w:val="doNotCompress"/>
  <w:hdrShapeDefaults>
    <o:shapedefaults v:ext="edit" spidmax="1268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D1"/>
    <w:rsid w:val="00000433"/>
    <w:rsid w:val="000004DE"/>
    <w:rsid w:val="0000068A"/>
    <w:rsid w:val="00000B25"/>
    <w:rsid w:val="000012FE"/>
    <w:rsid w:val="00001C11"/>
    <w:rsid w:val="00001C93"/>
    <w:rsid w:val="00001F25"/>
    <w:rsid w:val="000025CD"/>
    <w:rsid w:val="00002871"/>
    <w:rsid w:val="00002D78"/>
    <w:rsid w:val="00003533"/>
    <w:rsid w:val="000043B5"/>
    <w:rsid w:val="000048BD"/>
    <w:rsid w:val="00004C53"/>
    <w:rsid w:val="00007292"/>
    <w:rsid w:val="0000760E"/>
    <w:rsid w:val="00007680"/>
    <w:rsid w:val="00007881"/>
    <w:rsid w:val="00007C14"/>
    <w:rsid w:val="00007ECF"/>
    <w:rsid w:val="000101DF"/>
    <w:rsid w:val="00010D8D"/>
    <w:rsid w:val="000111A4"/>
    <w:rsid w:val="00011453"/>
    <w:rsid w:val="00011A07"/>
    <w:rsid w:val="00011FF2"/>
    <w:rsid w:val="00013FA2"/>
    <w:rsid w:val="00014B75"/>
    <w:rsid w:val="00015F64"/>
    <w:rsid w:val="000163DF"/>
    <w:rsid w:val="00020001"/>
    <w:rsid w:val="0002018A"/>
    <w:rsid w:val="0002029F"/>
    <w:rsid w:val="00020734"/>
    <w:rsid w:val="0002084E"/>
    <w:rsid w:val="0002107B"/>
    <w:rsid w:val="00021518"/>
    <w:rsid w:val="00021BAE"/>
    <w:rsid w:val="00021C0D"/>
    <w:rsid w:val="00022539"/>
    <w:rsid w:val="00022557"/>
    <w:rsid w:val="0002390D"/>
    <w:rsid w:val="00023E94"/>
    <w:rsid w:val="00023F48"/>
    <w:rsid w:val="00024299"/>
    <w:rsid w:val="0002451D"/>
    <w:rsid w:val="00024DDA"/>
    <w:rsid w:val="00024E19"/>
    <w:rsid w:val="000260A8"/>
    <w:rsid w:val="000261AF"/>
    <w:rsid w:val="00026622"/>
    <w:rsid w:val="00026921"/>
    <w:rsid w:val="00027002"/>
    <w:rsid w:val="00027211"/>
    <w:rsid w:val="00027429"/>
    <w:rsid w:val="00027FE6"/>
    <w:rsid w:val="00030144"/>
    <w:rsid w:val="000302F9"/>
    <w:rsid w:val="00030C81"/>
    <w:rsid w:val="00030E6E"/>
    <w:rsid w:val="000311DA"/>
    <w:rsid w:val="00031205"/>
    <w:rsid w:val="00031D7A"/>
    <w:rsid w:val="0003206F"/>
    <w:rsid w:val="00032217"/>
    <w:rsid w:val="00032B5C"/>
    <w:rsid w:val="000343FB"/>
    <w:rsid w:val="0003489D"/>
    <w:rsid w:val="00035C73"/>
    <w:rsid w:val="00036206"/>
    <w:rsid w:val="00036C8E"/>
    <w:rsid w:val="00036D32"/>
    <w:rsid w:val="000371F1"/>
    <w:rsid w:val="0003777F"/>
    <w:rsid w:val="00037B27"/>
    <w:rsid w:val="00040132"/>
    <w:rsid w:val="00040749"/>
    <w:rsid w:val="00040894"/>
    <w:rsid w:val="00041198"/>
    <w:rsid w:val="0004157C"/>
    <w:rsid w:val="00041FAF"/>
    <w:rsid w:val="0004201D"/>
    <w:rsid w:val="00042AF3"/>
    <w:rsid w:val="00042FFA"/>
    <w:rsid w:val="00043428"/>
    <w:rsid w:val="000435AD"/>
    <w:rsid w:val="00043CC3"/>
    <w:rsid w:val="00043DCB"/>
    <w:rsid w:val="00044F3C"/>
    <w:rsid w:val="000459A0"/>
    <w:rsid w:val="00046379"/>
    <w:rsid w:val="000463D7"/>
    <w:rsid w:val="000465CB"/>
    <w:rsid w:val="00046632"/>
    <w:rsid w:val="000467C4"/>
    <w:rsid w:val="0004686B"/>
    <w:rsid w:val="00046AB4"/>
    <w:rsid w:val="0004733D"/>
    <w:rsid w:val="00047BEB"/>
    <w:rsid w:val="00050229"/>
    <w:rsid w:val="00050EA0"/>
    <w:rsid w:val="00050FF7"/>
    <w:rsid w:val="00051127"/>
    <w:rsid w:val="00051150"/>
    <w:rsid w:val="00051923"/>
    <w:rsid w:val="00051C33"/>
    <w:rsid w:val="00052162"/>
    <w:rsid w:val="00053B9F"/>
    <w:rsid w:val="00054366"/>
    <w:rsid w:val="00054A0A"/>
    <w:rsid w:val="00055EFA"/>
    <w:rsid w:val="00056C09"/>
    <w:rsid w:val="000576C3"/>
    <w:rsid w:val="0005780B"/>
    <w:rsid w:val="00057F99"/>
    <w:rsid w:val="000600AF"/>
    <w:rsid w:val="00060F0A"/>
    <w:rsid w:val="00061449"/>
    <w:rsid w:val="0006162C"/>
    <w:rsid w:val="00061FB4"/>
    <w:rsid w:val="00062E03"/>
    <w:rsid w:val="00062ED3"/>
    <w:rsid w:val="0006304D"/>
    <w:rsid w:val="0006350C"/>
    <w:rsid w:val="00063770"/>
    <w:rsid w:val="00063EE5"/>
    <w:rsid w:val="0006465E"/>
    <w:rsid w:val="00064F74"/>
    <w:rsid w:val="00065467"/>
    <w:rsid w:val="00065698"/>
    <w:rsid w:val="00065707"/>
    <w:rsid w:val="000657E0"/>
    <w:rsid w:val="00066193"/>
    <w:rsid w:val="00066212"/>
    <w:rsid w:val="00066568"/>
    <w:rsid w:val="00066F73"/>
    <w:rsid w:val="00067639"/>
    <w:rsid w:val="00067A63"/>
    <w:rsid w:val="00067A8C"/>
    <w:rsid w:val="0007040C"/>
    <w:rsid w:val="000704EB"/>
    <w:rsid w:val="000707F2"/>
    <w:rsid w:val="00072963"/>
    <w:rsid w:val="000729D8"/>
    <w:rsid w:val="00073CAA"/>
    <w:rsid w:val="0007414E"/>
    <w:rsid w:val="00075769"/>
    <w:rsid w:val="00075F4F"/>
    <w:rsid w:val="000760E4"/>
    <w:rsid w:val="00076FD0"/>
    <w:rsid w:val="00077227"/>
    <w:rsid w:val="00077EE3"/>
    <w:rsid w:val="000826FC"/>
    <w:rsid w:val="00082B67"/>
    <w:rsid w:val="00083063"/>
    <w:rsid w:val="00083423"/>
    <w:rsid w:val="0008381D"/>
    <w:rsid w:val="00085367"/>
    <w:rsid w:val="00085907"/>
    <w:rsid w:val="00086857"/>
    <w:rsid w:val="00086B03"/>
    <w:rsid w:val="000874E8"/>
    <w:rsid w:val="00090557"/>
    <w:rsid w:val="00091076"/>
    <w:rsid w:val="000911F4"/>
    <w:rsid w:val="000914A3"/>
    <w:rsid w:val="000915DE"/>
    <w:rsid w:val="00091C7C"/>
    <w:rsid w:val="00091CC3"/>
    <w:rsid w:val="00092452"/>
    <w:rsid w:val="00093914"/>
    <w:rsid w:val="00094F5E"/>
    <w:rsid w:val="00095004"/>
    <w:rsid w:val="0009562B"/>
    <w:rsid w:val="0009563A"/>
    <w:rsid w:val="0009596A"/>
    <w:rsid w:val="000959EF"/>
    <w:rsid w:val="00095DA2"/>
    <w:rsid w:val="00096191"/>
    <w:rsid w:val="00097542"/>
    <w:rsid w:val="00097AE8"/>
    <w:rsid w:val="00097B2C"/>
    <w:rsid w:val="000A03C1"/>
    <w:rsid w:val="000A0404"/>
    <w:rsid w:val="000A0836"/>
    <w:rsid w:val="000A11A1"/>
    <w:rsid w:val="000A1CCD"/>
    <w:rsid w:val="000A2A9A"/>
    <w:rsid w:val="000A4E3B"/>
    <w:rsid w:val="000A50F7"/>
    <w:rsid w:val="000A5B3D"/>
    <w:rsid w:val="000A5C50"/>
    <w:rsid w:val="000A5F99"/>
    <w:rsid w:val="000A6009"/>
    <w:rsid w:val="000A7F26"/>
    <w:rsid w:val="000B0D8B"/>
    <w:rsid w:val="000B15B7"/>
    <w:rsid w:val="000B15C7"/>
    <w:rsid w:val="000B19F5"/>
    <w:rsid w:val="000B1B93"/>
    <w:rsid w:val="000B24F6"/>
    <w:rsid w:val="000B27BA"/>
    <w:rsid w:val="000B2CD8"/>
    <w:rsid w:val="000B36C6"/>
    <w:rsid w:val="000B3C58"/>
    <w:rsid w:val="000B4161"/>
    <w:rsid w:val="000B4775"/>
    <w:rsid w:val="000B483E"/>
    <w:rsid w:val="000B4D5E"/>
    <w:rsid w:val="000B52C8"/>
    <w:rsid w:val="000B53C5"/>
    <w:rsid w:val="000B546C"/>
    <w:rsid w:val="000B54C5"/>
    <w:rsid w:val="000B5AC4"/>
    <w:rsid w:val="000B5EEB"/>
    <w:rsid w:val="000B62DD"/>
    <w:rsid w:val="000B690A"/>
    <w:rsid w:val="000B6A70"/>
    <w:rsid w:val="000B7007"/>
    <w:rsid w:val="000B7997"/>
    <w:rsid w:val="000B7BA1"/>
    <w:rsid w:val="000B7DB1"/>
    <w:rsid w:val="000C03B2"/>
    <w:rsid w:val="000C1100"/>
    <w:rsid w:val="000C1FAD"/>
    <w:rsid w:val="000C2769"/>
    <w:rsid w:val="000C2EF5"/>
    <w:rsid w:val="000C2F40"/>
    <w:rsid w:val="000C3959"/>
    <w:rsid w:val="000C3B15"/>
    <w:rsid w:val="000C40D8"/>
    <w:rsid w:val="000C498B"/>
    <w:rsid w:val="000C5BC0"/>
    <w:rsid w:val="000C5D51"/>
    <w:rsid w:val="000C61E7"/>
    <w:rsid w:val="000C640E"/>
    <w:rsid w:val="000C712C"/>
    <w:rsid w:val="000D0319"/>
    <w:rsid w:val="000D070B"/>
    <w:rsid w:val="000D0904"/>
    <w:rsid w:val="000D0AF4"/>
    <w:rsid w:val="000D0BE9"/>
    <w:rsid w:val="000D15C1"/>
    <w:rsid w:val="000D3D1D"/>
    <w:rsid w:val="000D4382"/>
    <w:rsid w:val="000D4E9D"/>
    <w:rsid w:val="000D5299"/>
    <w:rsid w:val="000D5334"/>
    <w:rsid w:val="000D5820"/>
    <w:rsid w:val="000D5C6F"/>
    <w:rsid w:val="000D5CEE"/>
    <w:rsid w:val="000D5DDD"/>
    <w:rsid w:val="000D5FD0"/>
    <w:rsid w:val="000D629E"/>
    <w:rsid w:val="000D62E9"/>
    <w:rsid w:val="000D6627"/>
    <w:rsid w:val="000D6872"/>
    <w:rsid w:val="000D7258"/>
    <w:rsid w:val="000E10AA"/>
    <w:rsid w:val="000E150D"/>
    <w:rsid w:val="000E28F5"/>
    <w:rsid w:val="000E2E50"/>
    <w:rsid w:val="000E2FEC"/>
    <w:rsid w:val="000E3226"/>
    <w:rsid w:val="000E365C"/>
    <w:rsid w:val="000E36BF"/>
    <w:rsid w:val="000E43AB"/>
    <w:rsid w:val="000E5832"/>
    <w:rsid w:val="000E5C3F"/>
    <w:rsid w:val="000E5EAE"/>
    <w:rsid w:val="000E64BD"/>
    <w:rsid w:val="000E6BB8"/>
    <w:rsid w:val="000E7174"/>
    <w:rsid w:val="000E7CBF"/>
    <w:rsid w:val="000F0F42"/>
    <w:rsid w:val="000F143B"/>
    <w:rsid w:val="000F21CC"/>
    <w:rsid w:val="000F2557"/>
    <w:rsid w:val="000F25BB"/>
    <w:rsid w:val="000F2B2E"/>
    <w:rsid w:val="000F2F96"/>
    <w:rsid w:val="000F346D"/>
    <w:rsid w:val="000F35CA"/>
    <w:rsid w:val="000F3764"/>
    <w:rsid w:val="000F3B7D"/>
    <w:rsid w:val="000F4255"/>
    <w:rsid w:val="000F533B"/>
    <w:rsid w:val="000F6535"/>
    <w:rsid w:val="000F6CEE"/>
    <w:rsid w:val="000F785D"/>
    <w:rsid w:val="001000C1"/>
    <w:rsid w:val="0010038D"/>
    <w:rsid w:val="00100B45"/>
    <w:rsid w:val="00101172"/>
    <w:rsid w:val="00101573"/>
    <w:rsid w:val="00101E7A"/>
    <w:rsid w:val="001026C1"/>
    <w:rsid w:val="0010290E"/>
    <w:rsid w:val="00102C2A"/>
    <w:rsid w:val="001033D7"/>
    <w:rsid w:val="00103591"/>
    <w:rsid w:val="00104560"/>
    <w:rsid w:val="001047FA"/>
    <w:rsid w:val="00104A7B"/>
    <w:rsid w:val="001055AB"/>
    <w:rsid w:val="001056F3"/>
    <w:rsid w:val="00105A3D"/>
    <w:rsid w:val="00105A42"/>
    <w:rsid w:val="00106E24"/>
    <w:rsid w:val="00106E95"/>
    <w:rsid w:val="001072B8"/>
    <w:rsid w:val="001072E0"/>
    <w:rsid w:val="0010749A"/>
    <w:rsid w:val="001074B9"/>
    <w:rsid w:val="00107AF6"/>
    <w:rsid w:val="00107F2B"/>
    <w:rsid w:val="001106E5"/>
    <w:rsid w:val="001109C0"/>
    <w:rsid w:val="00110B3E"/>
    <w:rsid w:val="00110DF8"/>
    <w:rsid w:val="001111D7"/>
    <w:rsid w:val="00111557"/>
    <w:rsid w:val="001115AF"/>
    <w:rsid w:val="00111B56"/>
    <w:rsid w:val="00112106"/>
    <w:rsid w:val="00112C18"/>
    <w:rsid w:val="0011335F"/>
    <w:rsid w:val="00113922"/>
    <w:rsid w:val="00113E28"/>
    <w:rsid w:val="001143C5"/>
    <w:rsid w:val="00114EA4"/>
    <w:rsid w:val="00114FFA"/>
    <w:rsid w:val="001152DF"/>
    <w:rsid w:val="00115C33"/>
    <w:rsid w:val="00115F92"/>
    <w:rsid w:val="001164D0"/>
    <w:rsid w:val="00116B9A"/>
    <w:rsid w:val="00116C25"/>
    <w:rsid w:val="00117557"/>
    <w:rsid w:val="00117673"/>
    <w:rsid w:val="00117ACB"/>
    <w:rsid w:val="00120EC6"/>
    <w:rsid w:val="00121C45"/>
    <w:rsid w:val="00121D47"/>
    <w:rsid w:val="0012230C"/>
    <w:rsid w:val="00122BB6"/>
    <w:rsid w:val="00122F87"/>
    <w:rsid w:val="00123059"/>
    <w:rsid w:val="0012314A"/>
    <w:rsid w:val="001232E2"/>
    <w:rsid w:val="001233BE"/>
    <w:rsid w:val="00123482"/>
    <w:rsid w:val="00123BD1"/>
    <w:rsid w:val="00123D61"/>
    <w:rsid w:val="001245BC"/>
    <w:rsid w:val="00124698"/>
    <w:rsid w:val="00125169"/>
    <w:rsid w:val="00125376"/>
    <w:rsid w:val="00125FE6"/>
    <w:rsid w:val="00126097"/>
    <w:rsid w:val="001266D3"/>
    <w:rsid w:val="00126873"/>
    <w:rsid w:val="00126FD2"/>
    <w:rsid w:val="001275A9"/>
    <w:rsid w:val="001278E6"/>
    <w:rsid w:val="00127B0B"/>
    <w:rsid w:val="00127FA1"/>
    <w:rsid w:val="0013028C"/>
    <w:rsid w:val="0013039C"/>
    <w:rsid w:val="001316E2"/>
    <w:rsid w:val="001316EB"/>
    <w:rsid w:val="001319BF"/>
    <w:rsid w:val="00131D73"/>
    <w:rsid w:val="00132434"/>
    <w:rsid w:val="00133126"/>
    <w:rsid w:val="001332F2"/>
    <w:rsid w:val="0013377C"/>
    <w:rsid w:val="00133E98"/>
    <w:rsid w:val="001352C2"/>
    <w:rsid w:val="0013534E"/>
    <w:rsid w:val="00135932"/>
    <w:rsid w:val="00135C27"/>
    <w:rsid w:val="001367E5"/>
    <w:rsid w:val="00136B01"/>
    <w:rsid w:val="00136B7A"/>
    <w:rsid w:val="00136E83"/>
    <w:rsid w:val="0013716E"/>
    <w:rsid w:val="001374D1"/>
    <w:rsid w:val="001379E9"/>
    <w:rsid w:val="00137CFB"/>
    <w:rsid w:val="0014038E"/>
    <w:rsid w:val="001403B2"/>
    <w:rsid w:val="00140F13"/>
    <w:rsid w:val="00141704"/>
    <w:rsid w:val="00141A4D"/>
    <w:rsid w:val="00142988"/>
    <w:rsid w:val="00142C81"/>
    <w:rsid w:val="001432C3"/>
    <w:rsid w:val="001441C4"/>
    <w:rsid w:val="001443EC"/>
    <w:rsid w:val="00144512"/>
    <w:rsid w:val="0014507B"/>
    <w:rsid w:val="001457AC"/>
    <w:rsid w:val="001458BE"/>
    <w:rsid w:val="00145BBE"/>
    <w:rsid w:val="00145E33"/>
    <w:rsid w:val="00147AD2"/>
    <w:rsid w:val="00147E00"/>
    <w:rsid w:val="00150084"/>
    <w:rsid w:val="00150145"/>
    <w:rsid w:val="00150561"/>
    <w:rsid w:val="00150A3A"/>
    <w:rsid w:val="00150E01"/>
    <w:rsid w:val="0015106F"/>
    <w:rsid w:val="0015124D"/>
    <w:rsid w:val="001512BF"/>
    <w:rsid w:val="001515E4"/>
    <w:rsid w:val="0015162E"/>
    <w:rsid w:val="0015259E"/>
    <w:rsid w:val="001528FD"/>
    <w:rsid w:val="00153227"/>
    <w:rsid w:val="0015459D"/>
    <w:rsid w:val="00154667"/>
    <w:rsid w:val="001547ED"/>
    <w:rsid w:val="00155A34"/>
    <w:rsid w:val="00155BE4"/>
    <w:rsid w:val="00155FCD"/>
    <w:rsid w:val="0015665F"/>
    <w:rsid w:val="00157883"/>
    <w:rsid w:val="00157E49"/>
    <w:rsid w:val="00160FB1"/>
    <w:rsid w:val="00161C1E"/>
    <w:rsid w:val="00163E63"/>
    <w:rsid w:val="0016446F"/>
    <w:rsid w:val="00165516"/>
    <w:rsid w:val="00165960"/>
    <w:rsid w:val="00166588"/>
    <w:rsid w:val="00166C9F"/>
    <w:rsid w:val="0016726A"/>
    <w:rsid w:val="0016796E"/>
    <w:rsid w:val="00170213"/>
    <w:rsid w:val="0017048D"/>
    <w:rsid w:val="001706FD"/>
    <w:rsid w:val="00170F22"/>
    <w:rsid w:val="00171228"/>
    <w:rsid w:val="00171558"/>
    <w:rsid w:val="00171814"/>
    <w:rsid w:val="0017192C"/>
    <w:rsid w:val="00171FB5"/>
    <w:rsid w:val="00172778"/>
    <w:rsid w:val="00172A79"/>
    <w:rsid w:val="00172DA9"/>
    <w:rsid w:val="00173C9F"/>
    <w:rsid w:val="00174CA2"/>
    <w:rsid w:val="00174FEA"/>
    <w:rsid w:val="00175994"/>
    <w:rsid w:val="001762CD"/>
    <w:rsid w:val="00176515"/>
    <w:rsid w:val="00176EB4"/>
    <w:rsid w:val="001771E3"/>
    <w:rsid w:val="00177340"/>
    <w:rsid w:val="00177C4B"/>
    <w:rsid w:val="00180AC9"/>
    <w:rsid w:val="0018187B"/>
    <w:rsid w:val="00181917"/>
    <w:rsid w:val="00181C7A"/>
    <w:rsid w:val="00181CBD"/>
    <w:rsid w:val="001820C0"/>
    <w:rsid w:val="0018281C"/>
    <w:rsid w:val="00182E62"/>
    <w:rsid w:val="00182FF3"/>
    <w:rsid w:val="001831D9"/>
    <w:rsid w:val="00183340"/>
    <w:rsid w:val="0018437B"/>
    <w:rsid w:val="00184795"/>
    <w:rsid w:val="00184ADC"/>
    <w:rsid w:val="001852E4"/>
    <w:rsid w:val="001857D9"/>
    <w:rsid w:val="00187477"/>
    <w:rsid w:val="001874A0"/>
    <w:rsid w:val="0019020C"/>
    <w:rsid w:val="0019086A"/>
    <w:rsid w:val="001922D7"/>
    <w:rsid w:val="001930FF"/>
    <w:rsid w:val="00193110"/>
    <w:rsid w:val="00193378"/>
    <w:rsid w:val="00193834"/>
    <w:rsid w:val="00193B9F"/>
    <w:rsid w:val="00193C17"/>
    <w:rsid w:val="00193EDF"/>
    <w:rsid w:val="0019480B"/>
    <w:rsid w:val="00194F7C"/>
    <w:rsid w:val="00195125"/>
    <w:rsid w:val="00195635"/>
    <w:rsid w:val="00195666"/>
    <w:rsid w:val="001958C9"/>
    <w:rsid w:val="00195FBD"/>
    <w:rsid w:val="00197065"/>
    <w:rsid w:val="001A0BCA"/>
    <w:rsid w:val="001A0EA4"/>
    <w:rsid w:val="001A0FFA"/>
    <w:rsid w:val="001A1165"/>
    <w:rsid w:val="001A1DDB"/>
    <w:rsid w:val="001A25B8"/>
    <w:rsid w:val="001A3892"/>
    <w:rsid w:val="001A38C8"/>
    <w:rsid w:val="001A3ED4"/>
    <w:rsid w:val="001A4A26"/>
    <w:rsid w:val="001A4F27"/>
    <w:rsid w:val="001A5217"/>
    <w:rsid w:val="001A5C68"/>
    <w:rsid w:val="001A5C7A"/>
    <w:rsid w:val="001A61A8"/>
    <w:rsid w:val="001A61F2"/>
    <w:rsid w:val="001A65DF"/>
    <w:rsid w:val="001A6B4A"/>
    <w:rsid w:val="001A6D4D"/>
    <w:rsid w:val="001A7F71"/>
    <w:rsid w:val="001B0025"/>
    <w:rsid w:val="001B0865"/>
    <w:rsid w:val="001B18F7"/>
    <w:rsid w:val="001B1A57"/>
    <w:rsid w:val="001B1FE6"/>
    <w:rsid w:val="001B215D"/>
    <w:rsid w:val="001B22EE"/>
    <w:rsid w:val="001B25E6"/>
    <w:rsid w:val="001B2ADD"/>
    <w:rsid w:val="001B3AC1"/>
    <w:rsid w:val="001B3B1D"/>
    <w:rsid w:val="001B3CA1"/>
    <w:rsid w:val="001B3DAE"/>
    <w:rsid w:val="001B4220"/>
    <w:rsid w:val="001B4654"/>
    <w:rsid w:val="001B475C"/>
    <w:rsid w:val="001B53A5"/>
    <w:rsid w:val="001B6607"/>
    <w:rsid w:val="001B66FA"/>
    <w:rsid w:val="001B6786"/>
    <w:rsid w:val="001B681B"/>
    <w:rsid w:val="001B6825"/>
    <w:rsid w:val="001B6857"/>
    <w:rsid w:val="001B6C61"/>
    <w:rsid w:val="001B7302"/>
    <w:rsid w:val="001B7EAF"/>
    <w:rsid w:val="001C0F04"/>
    <w:rsid w:val="001C11C9"/>
    <w:rsid w:val="001C2A61"/>
    <w:rsid w:val="001C2BE5"/>
    <w:rsid w:val="001C324D"/>
    <w:rsid w:val="001C3295"/>
    <w:rsid w:val="001C3ACC"/>
    <w:rsid w:val="001C3DCB"/>
    <w:rsid w:val="001C4888"/>
    <w:rsid w:val="001C4E47"/>
    <w:rsid w:val="001C5A84"/>
    <w:rsid w:val="001C5AB4"/>
    <w:rsid w:val="001C5CF2"/>
    <w:rsid w:val="001C6241"/>
    <w:rsid w:val="001C62E5"/>
    <w:rsid w:val="001C63EA"/>
    <w:rsid w:val="001C654E"/>
    <w:rsid w:val="001C6643"/>
    <w:rsid w:val="001C6651"/>
    <w:rsid w:val="001C7232"/>
    <w:rsid w:val="001C73B0"/>
    <w:rsid w:val="001C7FA4"/>
    <w:rsid w:val="001D0611"/>
    <w:rsid w:val="001D10A0"/>
    <w:rsid w:val="001D1B99"/>
    <w:rsid w:val="001D1DC7"/>
    <w:rsid w:val="001D2667"/>
    <w:rsid w:val="001D2AD8"/>
    <w:rsid w:val="001D2DC2"/>
    <w:rsid w:val="001D2FFC"/>
    <w:rsid w:val="001D3989"/>
    <w:rsid w:val="001D3E0D"/>
    <w:rsid w:val="001D46E1"/>
    <w:rsid w:val="001D4A74"/>
    <w:rsid w:val="001D4D36"/>
    <w:rsid w:val="001D5355"/>
    <w:rsid w:val="001D5600"/>
    <w:rsid w:val="001D569A"/>
    <w:rsid w:val="001D581A"/>
    <w:rsid w:val="001D6221"/>
    <w:rsid w:val="001D6309"/>
    <w:rsid w:val="001D6470"/>
    <w:rsid w:val="001D6DF5"/>
    <w:rsid w:val="001D76FB"/>
    <w:rsid w:val="001D7A91"/>
    <w:rsid w:val="001D7BD1"/>
    <w:rsid w:val="001D7C27"/>
    <w:rsid w:val="001E18E3"/>
    <w:rsid w:val="001E2769"/>
    <w:rsid w:val="001E2F13"/>
    <w:rsid w:val="001E30C8"/>
    <w:rsid w:val="001E33CF"/>
    <w:rsid w:val="001E34CB"/>
    <w:rsid w:val="001E38FA"/>
    <w:rsid w:val="001E4082"/>
    <w:rsid w:val="001E4AAC"/>
    <w:rsid w:val="001E5F9F"/>
    <w:rsid w:val="001E6A03"/>
    <w:rsid w:val="001E6EFA"/>
    <w:rsid w:val="001E71AD"/>
    <w:rsid w:val="001E74A7"/>
    <w:rsid w:val="001E79DD"/>
    <w:rsid w:val="001F0277"/>
    <w:rsid w:val="001F0A90"/>
    <w:rsid w:val="001F1030"/>
    <w:rsid w:val="001F125F"/>
    <w:rsid w:val="001F1493"/>
    <w:rsid w:val="001F2A09"/>
    <w:rsid w:val="001F2C4B"/>
    <w:rsid w:val="001F301B"/>
    <w:rsid w:val="001F4550"/>
    <w:rsid w:val="001F46BF"/>
    <w:rsid w:val="001F5758"/>
    <w:rsid w:val="001F5EED"/>
    <w:rsid w:val="001F6D10"/>
    <w:rsid w:val="001F76B3"/>
    <w:rsid w:val="001F7732"/>
    <w:rsid w:val="001F7C05"/>
    <w:rsid w:val="001F7D68"/>
    <w:rsid w:val="001F7F8C"/>
    <w:rsid w:val="002000D9"/>
    <w:rsid w:val="00200BAF"/>
    <w:rsid w:val="00200E39"/>
    <w:rsid w:val="00201715"/>
    <w:rsid w:val="00201804"/>
    <w:rsid w:val="00202D6B"/>
    <w:rsid w:val="00203150"/>
    <w:rsid w:val="00203351"/>
    <w:rsid w:val="002036F4"/>
    <w:rsid w:val="00204697"/>
    <w:rsid w:val="00206869"/>
    <w:rsid w:val="002069FF"/>
    <w:rsid w:val="00207A4A"/>
    <w:rsid w:val="00207B76"/>
    <w:rsid w:val="00207C71"/>
    <w:rsid w:val="00210630"/>
    <w:rsid w:val="00210C24"/>
    <w:rsid w:val="00210F48"/>
    <w:rsid w:val="00211307"/>
    <w:rsid w:val="00211CCD"/>
    <w:rsid w:val="00212515"/>
    <w:rsid w:val="00212610"/>
    <w:rsid w:val="00213236"/>
    <w:rsid w:val="002152B1"/>
    <w:rsid w:val="00215727"/>
    <w:rsid w:val="002167A7"/>
    <w:rsid w:val="0021716B"/>
    <w:rsid w:val="00217452"/>
    <w:rsid w:val="002179AB"/>
    <w:rsid w:val="00217AFB"/>
    <w:rsid w:val="002202F9"/>
    <w:rsid w:val="00220D59"/>
    <w:rsid w:val="00221496"/>
    <w:rsid w:val="002215E7"/>
    <w:rsid w:val="002218C8"/>
    <w:rsid w:val="00221ED3"/>
    <w:rsid w:val="002221AE"/>
    <w:rsid w:val="0022242F"/>
    <w:rsid w:val="00222E53"/>
    <w:rsid w:val="00223813"/>
    <w:rsid w:val="002239B0"/>
    <w:rsid w:val="002239D6"/>
    <w:rsid w:val="00223E44"/>
    <w:rsid w:val="002260D4"/>
    <w:rsid w:val="002263F4"/>
    <w:rsid w:val="00226769"/>
    <w:rsid w:val="0022702A"/>
    <w:rsid w:val="00230424"/>
    <w:rsid w:val="002304F8"/>
    <w:rsid w:val="00231297"/>
    <w:rsid w:val="00231FCE"/>
    <w:rsid w:val="0023208A"/>
    <w:rsid w:val="002327A8"/>
    <w:rsid w:val="00232862"/>
    <w:rsid w:val="0023286A"/>
    <w:rsid w:val="00232BF7"/>
    <w:rsid w:val="00232C55"/>
    <w:rsid w:val="00232FD9"/>
    <w:rsid w:val="00233F21"/>
    <w:rsid w:val="0023437F"/>
    <w:rsid w:val="00234730"/>
    <w:rsid w:val="00234A40"/>
    <w:rsid w:val="002352B9"/>
    <w:rsid w:val="00235673"/>
    <w:rsid w:val="002361ED"/>
    <w:rsid w:val="0023652A"/>
    <w:rsid w:val="002368BB"/>
    <w:rsid w:val="00236D66"/>
    <w:rsid w:val="00237333"/>
    <w:rsid w:val="00237BAB"/>
    <w:rsid w:val="00237C08"/>
    <w:rsid w:val="00240857"/>
    <w:rsid w:val="00240B7B"/>
    <w:rsid w:val="0024209B"/>
    <w:rsid w:val="00242BD8"/>
    <w:rsid w:val="00242E40"/>
    <w:rsid w:val="002432E7"/>
    <w:rsid w:val="0024451F"/>
    <w:rsid w:val="00244BFC"/>
    <w:rsid w:val="00245386"/>
    <w:rsid w:val="0024576F"/>
    <w:rsid w:val="00245EB5"/>
    <w:rsid w:val="002472E8"/>
    <w:rsid w:val="00247A5D"/>
    <w:rsid w:val="00250673"/>
    <w:rsid w:val="00250F71"/>
    <w:rsid w:val="00251311"/>
    <w:rsid w:val="0025219C"/>
    <w:rsid w:val="00252321"/>
    <w:rsid w:val="00252F0D"/>
    <w:rsid w:val="002534B2"/>
    <w:rsid w:val="0025387D"/>
    <w:rsid w:val="00254330"/>
    <w:rsid w:val="00254400"/>
    <w:rsid w:val="00256493"/>
    <w:rsid w:val="002564DE"/>
    <w:rsid w:val="00256B15"/>
    <w:rsid w:val="00256DC4"/>
    <w:rsid w:val="00256F67"/>
    <w:rsid w:val="00257865"/>
    <w:rsid w:val="00257F26"/>
    <w:rsid w:val="002608A6"/>
    <w:rsid w:val="00261A5A"/>
    <w:rsid w:val="00263250"/>
    <w:rsid w:val="00263DCF"/>
    <w:rsid w:val="00263E38"/>
    <w:rsid w:val="00264DDD"/>
    <w:rsid w:val="00265211"/>
    <w:rsid w:val="00265BCF"/>
    <w:rsid w:val="0026624B"/>
    <w:rsid w:val="00266AEA"/>
    <w:rsid w:val="00266EFC"/>
    <w:rsid w:val="002676DF"/>
    <w:rsid w:val="00267CE4"/>
    <w:rsid w:val="00267E76"/>
    <w:rsid w:val="002705B3"/>
    <w:rsid w:val="00270777"/>
    <w:rsid w:val="00271204"/>
    <w:rsid w:val="0027175C"/>
    <w:rsid w:val="00271A51"/>
    <w:rsid w:val="00271F50"/>
    <w:rsid w:val="00271FB8"/>
    <w:rsid w:val="00273352"/>
    <w:rsid w:val="002733AC"/>
    <w:rsid w:val="00273A00"/>
    <w:rsid w:val="00274090"/>
    <w:rsid w:val="0027417B"/>
    <w:rsid w:val="00274D60"/>
    <w:rsid w:val="00275261"/>
    <w:rsid w:val="002755AA"/>
    <w:rsid w:val="002756C6"/>
    <w:rsid w:val="00276392"/>
    <w:rsid w:val="00276AED"/>
    <w:rsid w:val="00276C1B"/>
    <w:rsid w:val="002777F6"/>
    <w:rsid w:val="00277AB9"/>
    <w:rsid w:val="00277EBC"/>
    <w:rsid w:val="00277FDC"/>
    <w:rsid w:val="0028049C"/>
    <w:rsid w:val="00280CBF"/>
    <w:rsid w:val="00280D39"/>
    <w:rsid w:val="0028146E"/>
    <w:rsid w:val="002815E1"/>
    <w:rsid w:val="002817BE"/>
    <w:rsid w:val="002817DC"/>
    <w:rsid w:val="0028217D"/>
    <w:rsid w:val="00282D6F"/>
    <w:rsid w:val="00282DB9"/>
    <w:rsid w:val="00283738"/>
    <w:rsid w:val="0028405A"/>
    <w:rsid w:val="002844AC"/>
    <w:rsid w:val="00284BCB"/>
    <w:rsid w:val="0028543E"/>
    <w:rsid w:val="00286C68"/>
    <w:rsid w:val="00286F9A"/>
    <w:rsid w:val="00287008"/>
    <w:rsid w:val="00287FF2"/>
    <w:rsid w:val="002903F4"/>
    <w:rsid w:val="0029106E"/>
    <w:rsid w:val="00291185"/>
    <w:rsid w:val="00291C0A"/>
    <w:rsid w:val="0029200D"/>
    <w:rsid w:val="00292CA9"/>
    <w:rsid w:val="00292FCE"/>
    <w:rsid w:val="0029346E"/>
    <w:rsid w:val="002934B2"/>
    <w:rsid w:val="002934BC"/>
    <w:rsid w:val="0029381A"/>
    <w:rsid w:val="002949BE"/>
    <w:rsid w:val="00294BAA"/>
    <w:rsid w:val="00294EAC"/>
    <w:rsid w:val="002951BF"/>
    <w:rsid w:val="00295859"/>
    <w:rsid w:val="00295D8E"/>
    <w:rsid w:val="00295F4A"/>
    <w:rsid w:val="00296298"/>
    <w:rsid w:val="002964CF"/>
    <w:rsid w:val="00296E3C"/>
    <w:rsid w:val="002975A2"/>
    <w:rsid w:val="0029774E"/>
    <w:rsid w:val="002978C3"/>
    <w:rsid w:val="0029798F"/>
    <w:rsid w:val="00297E06"/>
    <w:rsid w:val="00297E4C"/>
    <w:rsid w:val="00297F60"/>
    <w:rsid w:val="002A0548"/>
    <w:rsid w:val="002A0BE4"/>
    <w:rsid w:val="002A0D55"/>
    <w:rsid w:val="002A1861"/>
    <w:rsid w:val="002A3BAD"/>
    <w:rsid w:val="002A46FF"/>
    <w:rsid w:val="002A48F3"/>
    <w:rsid w:val="002A4BDA"/>
    <w:rsid w:val="002A5895"/>
    <w:rsid w:val="002A5A3C"/>
    <w:rsid w:val="002A5DD1"/>
    <w:rsid w:val="002A67CB"/>
    <w:rsid w:val="002A67E0"/>
    <w:rsid w:val="002A77AD"/>
    <w:rsid w:val="002B0452"/>
    <w:rsid w:val="002B04C1"/>
    <w:rsid w:val="002B1163"/>
    <w:rsid w:val="002B135E"/>
    <w:rsid w:val="002B14EF"/>
    <w:rsid w:val="002B17DC"/>
    <w:rsid w:val="002B1BBF"/>
    <w:rsid w:val="002B20A9"/>
    <w:rsid w:val="002B28CD"/>
    <w:rsid w:val="002B3706"/>
    <w:rsid w:val="002B44FA"/>
    <w:rsid w:val="002B45C2"/>
    <w:rsid w:val="002B46A4"/>
    <w:rsid w:val="002B4833"/>
    <w:rsid w:val="002B5090"/>
    <w:rsid w:val="002B5AEC"/>
    <w:rsid w:val="002B5D4C"/>
    <w:rsid w:val="002B6293"/>
    <w:rsid w:val="002B63E5"/>
    <w:rsid w:val="002B74D9"/>
    <w:rsid w:val="002B7560"/>
    <w:rsid w:val="002B7BD0"/>
    <w:rsid w:val="002C09CB"/>
    <w:rsid w:val="002C0ED7"/>
    <w:rsid w:val="002C1089"/>
    <w:rsid w:val="002C10B9"/>
    <w:rsid w:val="002C21A5"/>
    <w:rsid w:val="002C2597"/>
    <w:rsid w:val="002C25CF"/>
    <w:rsid w:val="002C35D3"/>
    <w:rsid w:val="002C3D1A"/>
    <w:rsid w:val="002C3DDD"/>
    <w:rsid w:val="002C405C"/>
    <w:rsid w:val="002C4070"/>
    <w:rsid w:val="002C4285"/>
    <w:rsid w:val="002C4983"/>
    <w:rsid w:val="002C513C"/>
    <w:rsid w:val="002C5CEF"/>
    <w:rsid w:val="002C5CF6"/>
    <w:rsid w:val="002C708B"/>
    <w:rsid w:val="002C73A7"/>
    <w:rsid w:val="002C747B"/>
    <w:rsid w:val="002D0E07"/>
    <w:rsid w:val="002D11F9"/>
    <w:rsid w:val="002D1331"/>
    <w:rsid w:val="002D1E1A"/>
    <w:rsid w:val="002D20DA"/>
    <w:rsid w:val="002D23D1"/>
    <w:rsid w:val="002D255F"/>
    <w:rsid w:val="002D2744"/>
    <w:rsid w:val="002D2CA7"/>
    <w:rsid w:val="002D2CB4"/>
    <w:rsid w:val="002D5803"/>
    <w:rsid w:val="002D5FAC"/>
    <w:rsid w:val="002D683E"/>
    <w:rsid w:val="002D683F"/>
    <w:rsid w:val="002D6C49"/>
    <w:rsid w:val="002D7390"/>
    <w:rsid w:val="002D746E"/>
    <w:rsid w:val="002D773C"/>
    <w:rsid w:val="002D7A17"/>
    <w:rsid w:val="002E0123"/>
    <w:rsid w:val="002E0579"/>
    <w:rsid w:val="002E0B0F"/>
    <w:rsid w:val="002E0B91"/>
    <w:rsid w:val="002E0CFA"/>
    <w:rsid w:val="002E1BDD"/>
    <w:rsid w:val="002E3AC0"/>
    <w:rsid w:val="002E4165"/>
    <w:rsid w:val="002E445B"/>
    <w:rsid w:val="002E46F2"/>
    <w:rsid w:val="002E4A11"/>
    <w:rsid w:val="002E4A59"/>
    <w:rsid w:val="002E57A7"/>
    <w:rsid w:val="002E5DE1"/>
    <w:rsid w:val="002E5E07"/>
    <w:rsid w:val="002E613D"/>
    <w:rsid w:val="002E6C27"/>
    <w:rsid w:val="002E6C2D"/>
    <w:rsid w:val="002E6E5D"/>
    <w:rsid w:val="002E710E"/>
    <w:rsid w:val="002E7C12"/>
    <w:rsid w:val="002F00DE"/>
    <w:rsid w:val="002F0CDA"/>
    <w:rsid w:val="002F0FE6"/>
    <w:rsid w:val="002F1682"/>
    <w:rsid w:val="002F1D98"/>
    <w:rsid w:val="002F228B"/>
    <w:rsid w:val="002F3440"/>
    <w:rsid w:val="002F35DA"/>
    <w:rsid w:val="002F384A"/>
    <w:rsid w:val="002F3B18"/>
    <w:rsid w:val="002F407B"/>
    <w:rsid w:val="002F45FF"/>
    <w:rsid w:val="002F4AE4"/>
    <w:rsid w:val="002F5875"/>
    <w:rsid w:val="002F5A57"/>
    <w:rsid w:val="002F5D89"/>
    <w:rsid w:val="002F5DCE"/>
    <w:rsid w:val="002F6150"/>
    <w:rsid w:val="002F65BA"/>
    <w:rsid w:val="002F6F03"/>
    <w:rsid w:val="002F734B"/>
    <w:rsid w:val="002F779E"/>
    <w:rsid w:val="002F7AA7"/>
    <w:rsid w:val="002F7FC9"/>
    <w:rsid w:val="003008BC"/>
    <w:rsid w:val="00300E90"/>
    <w:rsid w:val="0030107D"/>
    <w:rsid w:val="003018FE"/>
    <w:rsid w:val="00301A1D"/>
    <w:rsid w:val="003022A4"/>
    <w:rsid w:val="00302969"/>
    <w:rsid w:val="00303248"/>
    <w:rsid w:val="00303893"/>
    <w:rsid w:val="00303C31"/>
    <w:rsid w:val="00304393"/>
    <w:rsid w:val="00305C24"/>
    <w:rsid w:val="00306CE8"/>
    <w:rsid w:val="003074B7"/>
    <w:rsid w:val="00307721"/>
    <w:rsid w:val="00307D06"/>
    <w:rsid w:val="00310067"/>
    <w:rsid w:val="00310A96"/>
    <w:rsid w:val="00310CDA"/>
    <w:rsid w:val="00310D0C"/>
    <w:rsid w:val="0031167E"/>
    <w:rsid w:val="00311E72"/>
    <w:rsid w:val="00312599"/>
    <w:rsid w:val="003126F3"/>
    <w:rsid w:val="0031299A"/>
    <w:rsid w:val="00313DA8"/>
    <w:rsid w:val="00313F06"/>
    <w:rsid w:val="00313F83"/>
    <w:rsid w:val="003142D3"/>
    <w:rsid w:val="00314F48"/>
    <w:rsid w:val="00314FDE"/>
    <w:rsid w:val="00315BEF"/>
    <w:rsid w:val="00315DC5"/>
    <w:rsid w:val="00315E3E"/>
    <w:rsid w:val="0031605D"/>
    <w:rsid w:val="003160E5"/>
    <w:rsid w:val="00316A7F"/>
    <w:rsid w:val="00317A4F"/>
    <w:rsid w:val="003200F9"/>
    <w:rsid w:val="00320B25"/>
    <w:rsid w:val="00321621"/>
    <w:rsid w:val="00321BFE"/>
    <w:rsid w:val="003226B8"/>
    <w:rsid w:val="0032295D"/>
    <w:rsid w:val="003229CC"/>
    <w:rsid w:val="003231C3"/>
    <w:rsid w:val="00323426"/>
    <w:rsid w:val="00324153"/>
    <w:rsid w:val="003244D2"/>
    <w:rsid w:val="00324618"/>
    <w:rsid w:val="00324BBF"/>
    <w:rsid w:val="00324DFF"/>
    <w:rsid w:val="00324F1D"/>
    <w:rsid w:val="0032558F"/>
    <w:rsid w:val="003278D9"/>
    <w:rsid w:val="00327F21"/>
    <w:rsid w:val="00330494"/>
    <w:rsid w:val="00330B38"/>
    <w:rsid w:val="00331071"/>
    <w:rsid w:val="00331CC4"/>
    <w:rsid w:val="00331D05"/>
    <w:rsid w:val="003321CD"/>
    <w:rsid w:val="00332758"/>
    <w:rsid w:val="003328A0"/>
    <w:rsid w:val="00332B8E"/>
    <w:rsid w:val="00332BAF"/>
    <w:rsid w:val="00332C96"/>
    <w:rsid w:val="00332E33"/>
    <w:rsid w:val="003331E7"/>
    <w:rsid w:val="00333706"/>
    <w:rsid w:val="00333D6C"/>
    <w:rsid w:val="00333E71"/>
    <w:rsid w:val="003340D9"/>
    <w:rsid w:val="0033422C"/>
    <w:rsid w:val="00334E1B"/>
    <w:rsid w:val="0033517E"/>
    <w:rsid w:val="00335535"/>
    <w:rsid w:val="003356F1"/>
    <w:rsid w:val="00335FAF"/>
    <w:rsid w:val="0033695A"/>
    <w:rsid w:val="00337009"/>
    <w:rsid w:val="003377A6"/>
    <w:rsid w:val="00337CF4"/>
    <w:rsid w:val="0034034E"/>
    <w:rsid w:val="003407E3"/>
    <w:rsid w:val="003408AC"/>
    <w:rsid w:val="003411CB"/>
    <w:rsid w:val="003420C4"/>
    <w:rsid w:val="003425FB"/>
    <w:rsid w:val="00342989"/>
    <w:rsid w:val="00342DAA"/>
    <w:rsid w:val="003435B1"/>
    <w:rsid w:val="00343607"/>
    <w:rsid w:val="00343EE1"/>
    <w:rsid w:val="003447B7"/>
    <w:rsid w:val="00345B22"/>
    <w:rsid w:val="00346B0A"/>
    <w:rsid w:val="003474B2"/>
    <w:rsid w:val="003476C3"/>
    <w:rsid w:val="003477DE"/>
    <w:rsid w:val="00350889"/>
    <w:rsid w:val="00351793"/>
    <w:rsid w:val="003521B1"/>
    <w:rsid w:val="00352A6A"/>
    <w:rsid w:val="00353172"/>
    <w:rsid w:val="00353D29"/>
    <w:rsid w:val="00353E02"/>
    <w:rsid w:val="0035437D"/>
    <w:rsid w:val="00354967"/>
    <w:rsid w:val="00354CFC"/>
    <w:rsid w:val="00355407"/>
    <w:rsid w:val="00355412"/>
    <w:rsid w:val="00355600"/>
    <w:rsid w:val="00355608"/>
    <w:rsid w:val="00355A91"/>
    <w:rsid w:val="00356A43"/>
    <w:rsid w:val="00356B6C"/>
    <w:rsid w:val="00356F7D"/>
    <w:rsid w:val="003571BC"/>
    <w:rsid w:val="003572B4"/>
    <w:rsid w:val="0035731F"/>
    <w:rsid w:val="00357DA2"/>
    <w:rsid w:val="00357F27"/>
    <w:rsid w:val="003606BE"/>
    <w:rsid w:val="00361668"/>
    <w:rsid w:val="00361CCD"/>
    <w:rsid w:val="00361D96"/>
    <w:rsid w:val="0036332B"/>
    <w:rsid w:val="003633DC"/>
    <w:rsid w:val="00363583"/>
    <w:rsid w:val="003637C8"/>
    <w:rsid w:val="00363D2A"/>
    <w:rsid w:val="0036428A"/>
    <w:rsid w:val="0036444D"/>
    <w:rsid w:val="00364E8E"/>
    <w:rsid w:val="00365C59"/>
    <w:rsid w:val="00366837"/>
    <w:rsid w:val="00366B4E"/>
    <w:rsid w:val="00366C1B"/>
    <w:rsid w:val="00366D12"/>
    <w:rsid w:val="00367355"/>
    <w:rsid w:val="003674E3"/>
    <w:rsid w:val="00370717"/>
    <w:rsid w:val="003707A8"/>
    <w:rsid w:val="00370857"/>
    <w:rsid w:val="00370C15"/>
    <w:rsid w:val="00370FF5"/>
    <w:rsid w:val="0037106C"/>
    <w:rsid w:val="003712E7"/>
    <w:rsid w:val="0037140A"/>
    <w:rsid w:val="0037157A"/>
    <w:rsid w:val="003720B0"/>
    <w:rsid w:val="0037254B"/>
    <w:rsid w:val="00372909"/>
    <w:rsid w:val="00372A8D"/>
    <w:rsid w:val="00372CE6"/>
    <w:rsid w:val="00372EBB"/>
    <w:rsid w:val="003746D5"/>
    <w:rsid w:val="00374A41"/>
    <w:rsid w:val="0037553B"/>
    <w:rsid w:val="00376163"/>
    <w:rsid w:val="0037633B"/>
    <w:rsid w:val="003763EF"/>
    <w:rsid w:val="003764A2"/>
    <w:rsid w:val="00376656"/>
    <w:rsid w:val="00376D5A"/>
    <w:rsid w:val="00377750"/>
    <w:rsid w:val="00377D43"/>
    <w:rsid w:val="003805DB"/>
    <w:rsid w:val="00380746"/>
    <w:rsid w:val="003808CD"/>
    <w:rsid w:val="00380B83"/>
    <w:rsid w:val="00380BCA"/>
    <w:rsid w:val="00380D40"/>
    <w:rsid w:val="00381557"/>
    <w:rsid w:val="00381C10"/>
    <w:rsid w:val="0038228E"/>
    <w:rsid w:val="003825B4"/>
    <w:rsid w:val="00382EFB"/>
    <w:rsid w:val="00383A94"/>
    <w:rsid w:val="00384279"/>
    <w:rsid w:val="0038448D"/>
    <w:rsid w:val="00384613"/>
    <w:rsid w:val="00384782"/>
    <w:rsid w:val="00384C8B"/>
    <w:rsid w:val="00384E0F"/>
    <w:rsid w:val="003852DA"/>
    <w:rsid w:val="003866DF"/>
    <w:rsid w:val="00386EFA"/>
    <w:rsid w:val="00386F9B"/>
    <w:rsid w:val="0038716E"/>
    <w:rsid w:val="003878A6"/>
    <w:rsid w:val="00390C52"/>
    <w:rsid w:val="00390EA6"/>
    <w:rsid w:val="003910DE"/>
    <w:rsid w:val="00392A2B"/>
    <w:rsid w:val="00392D20"/>
    <w:rsid w:val="00392E48"/>
    <w:rsid w:val="00393079"/>
    <w:rsid w:val="00393350"/>
    <w:rsid w:val="003933A8"/>
    <w:rsid w:val="00393583"/>
    <w:rsid w:val="00394045"/>
    <w:rsid w:val="00394757"/>
    <w:rsid w:val="003949CC"/>
    <w:rsid w:val="00394E83"/>
    <w:rsid w:val="003953CB"/>
    <w:rsid w:val="00395FD9"/>
    <w:rsid w:val="0039600F"/>
    <w:rsid w:val="00396462"/>
    <w:rsid w:val="00396758"/>
    <w:rsid w:val="00396DBF"/>
    <w:rsid w:val="00396F3F"/>
    <w:rsid w:val="0039722F"/>
    <w:rsid w:val="003978FD"/>
    <w:rsid w:val="00397BF4"/>
    <w:rsid w:val="00397E68"/>
    <w:rsid w:val="003A006D"/>
    <w:rsid w:val="003A1293"/>
    <w:rsid w:val="003A14AC"/>
    <w:rsid w:val="003A1C2B"/>
    <w:rsid w:val="003A25CA"/>
    <w:rsid w:val="003A2B1C"/>
    <w:rsid w:val="003A32CB"/>
    <w:rsid w:val="003A3BBD"/>
    <w:rsid w:val="003A3E40"/>
    <w:rsid w:val="003A418E"/>
    <w:rsid w:val="003A419F"/>
    <w:rsid w:val="003A41F8"/>
    <w:rsid w:val="003A4651"/>
    <w:rsid w:val="003A48F7"/>
    <w:rsid w:val="003A4B96"/>
    <w:rsid w:val="003A4DC5"/>
    <w:rsid w:val="003A4DD8"/>
    <w:rsid w:val="003A541C"/>
    <w:rsid w:val="003A6430"/>
    <w:rsid w:val="003A7342"/>
    <w:rsid w:val="003A7C5A"/>
    <w:rsid w:val="003B004B"/>
    <w:rsid w:val="003B01F4"/>
    <w:rsid w:val="003B08A9"/>
    <w:rsid w:val="003B0D0D"/>
    <w:rsid w:val="003B138F"/>
    <w:rsid w:val="003B3909"/>
    <w:rsid w:val="003B3B5F"/>
    <w:rsid w:val="003B3EC4"/>
    <w:rsid w:val="003B43C4"/>
    <w:rsid w:val="003B4643"/>
    <w:rsid w:val="003B4EDE"/>
    <w:rsid w:val="003B5011"/>
    <w:rsid w:val="003B586E"/>
    <w:rsid w:val="003B5CED"/>
    <w:rsid w:val="003B5EAD"/>
    <w:rsid w:val="003B5ED0"/>
    <w:rsid w:val="003B604A"/>
    <w:rsid w:val="003B6A1B"/>
    <w:rsid w:val="003B7350"/>
    <w:rsid w:val="003B73E4"/>
    <w:rsid w:val="003B78B2"/>
    <w:rsid w:val="003B7AB2"/>
    <w:rsid w:val="003C01F6"/>
    <w:rsid w:val="003C0C66"/>
    <w:rsid w:val="003C1B40"/>
    <w:rsid w:val="003C25E8"/>
    <w:rsid w:val="003C2842"/>
    <w:rsid w:val="003C2877"/>
    <w:rsid w:val="003C2BA6"/>
    <w:rsid w:val="003C2BBE"/>
    <w:rsid w:val="003C2D3C"/>
    <w:rsid w:val="003C36E7"/>
    <w:rsid w:val="003C4835"/>
    <w:rsid w:val="003C4BD7"/>
    <w:rsid w:val="003C4D58"/>
    <w:rsid w:val="003C4F09"/>
    <w:rsid w:val="003C4F19"/>
    <w:rsid w:val="003C5658"/>
    <w:rsid w:val="003C6684"/>
    <w:rsid w:val="003D002A"/>
    <w:rsid w:val="003D1D29"/>
    <w:rsid w:val="003D2A62"/>
    <w:rsid w:val="003D333B"/>
    <w:rsid w:val="003D33E5"/>
    <w:rsid w:val="003D5D06"/>
    <w:rsid w:val="003D5ED5"/>
    <w:rsid w:val="003D5EDB"/>
    <w:rsid w:val="003D6536"/>
    <w:rsid w:val="003D6803"/>
    <w:rsid w:val="003D69B2"/>
    <w:rsid w:val="003D6BC4"/>
    <w:rsid w:val="003D6D93"/>
    <w:rsid w:val="003D7292"/>
    <w:rsid w:val="003D7991"/>
    <w:rsid w:val="003D7A4A"/>
    <w:rsid w:val="003D7D65"/>
    <w:rsid w:val="003E025B"/>
    <w:rsid w:val="003E0284"/>
    <w:rsid w:val="003E0F7D"/>
    <w:rsid w:val="003E11A4"/>
    <w:rsid w:val="003E2465"/>
    <w:rsid w:val="003E28B5"/>
    <w:rsid w:val="003E4339"/>
    <w:rsid w:val="003E4CBC"/>
    <w:rsid w:val="003E53D5"/>
    <w:rsid w:val="003E540B"/>
    <w:rsid w:val="003E5C3B"/>
    <w:rsid w:val="003E6461"/>
    <w:rsid w:val="003E6A45"/>
    <w:rsid w:val="003E6BDC"/>
    <w:rsid w:val="003E7007"/>
    <w:rsid w:val="003E725D"/>
    <w:rsid w:val="003E73D3"/>
    <w:rsid w:val="003E74BF"/>
    <w:rsid w:val="003E75B6"/>
    <w:rsid w:val="003E76A4"/>
    <w:rsid w:val="003E77A4"/>
    <w:rsid w:val="003E79F6"/>
    <w:rsid w:val="003E7CB5"/>
    <w:rsid w:val="003F02CB"/>
    <w:rsid w:val="003F1C91"/>
    <w:rsid w:val="003F20AA"/>
    <w:rsid w:val="003F21FD"/>
    <w:rsid w:val="003F2BB3"/>
    <w:rsid w:val="003F328B"/>
    <w:rsid w:val="003F5573"/>
    <w:rsid w:val="003F561D"/>
    <w:rsid w:val="003F65A8"/>
    <w:rsid w:val="003F67DC"/>
    <w:rsid w:val="003F6D67"/>
    <w:rsid w:val="003F6D74"/>
    <w:rsid w:val="003F7DDA"/>
    <w:rsid w:val="0040006F"/>
    <w:rsid w:val="0040028E"/>
    <w:rsid w:val="00400583"/>
    <w:rsid w:val="00401544"/>
    <w:rsid w:val="004017EA"/>
    <w:rsid w:val="00401A3A"/>
    <w:rsid w:val="00402590"/>
    <w:rsid w:val="00402901"/>
    <w:rsid w:val="004029F5"/>
    <w:rsid w:val="00403382"/>
    <w:rsid w:val="00403504"/>
    <w:rsid w:val="00404472"/>
    <w:rsid w:val="00405405"/>
    <w:rsid w:val="004055E1"/>
    <w:rsid w:val="004062BF"/>
    <w:rsid w:val="00406361"/>
    <w:rsid w:val="004066B8"/>
    <w:rsid w:val="00406F6E"/>
    <w:rsid w:val="0040744C"/>
    <w:rsid w:val="004075B5"/>
    <w:rsid w:val="004077F2"/>
    <w:rsid w:val="004079CE"/>
    <w:rsid w:val="00407C96"/>
    <w:rsid w:val="00411EAE"/>
    <w:rsid w:val="00413311"/>
    <w:rsid w:val="00414664"/>
    <w:rsid w:val="00414CB0"/>
    <w:rsid w:val="00414EED"/>
    <w:rsid w:val="00414EF3"/>
    <w:rsid w:val="00415B62"/>
    <w:rsid w:val="00416087"/>
    <w:rsid w:val="00416DDC"/>
    <w:rsid w:val="004170F2"/>
    <w:rsid w:val="00417192"/>
    <w:rsid w:val="00417354"/>
    <w:rsid w:val="0041757C"/>
    <w:rsid w:val="004179E1"/>
    <w:rsid w:val="00420F2E"/>
    <w:rsid w:val="00421424"/>
    <w:rsid w:val="004218C7"/>
    <w:rsid w:val="004219AF"/>
    <w:rsid w:val="00421E41"/>
    <w:rsid w:val="00421F9F"/>
    <w:rsid w:val="00422A2A"/>
    <w:rsid w:val="004231B8"/>
    <w:rsid w:val="0042330A"/>
    <w:rsid w:val="0042347D"/>
    <w:rsid w:val="0042372E"/>
    <w:rsid w:val="004239FE"/>
    <w:rsid w:val="00423A08"/>
    <w:rsid w:val="004245FF"/>
    <w:rsid w:val="00424802"/>
    <w:rsid w:val="00425EF0"/>
    <w:rsid w:val="0042601A"/>
    <w:rsid w:val="00426675"/>
    <w:rsid w:val="00426A7A"/>
    <w:rsid w:val="00426BCE"/>
    <w:rsid w:val="00426F13"/>
    <w:rsid w:val="004271E9"/>
    <w:rsid w:val="0042760A"/>
    <w:rsid w:val="00427787"/>
    <w:rsid w:val="00427F30"/>
    <w:rsid w:val="00430C5D"/>
    <w:rsid w:val="00431B31"/>
    <w:rsid w:val="00432078"/>
    <w:rsid w:val="00432A63"/>
    <w:rsid w:val="00433F92"/>
    <w:rsid w:val="0043406F"/>
    <w:rsid w:val="004346E3"/>
    <w:rsid w:val="00435431"/>
    <w:rsid w:val="00435AE3"/>
    <w:rsid w:val="00436AB4"/>
    <w:rsid w:val="00436D8C"/>
    <w:rsid w:val="004400C8"/>
    <w:rsid w:val="004402CB"/>
    <w:rsid w:val="0044076E"/>
    <w:rsid w:val="00440AC5"/>
    <w:rsid w:val="004416A8"/>
    <w:rsid w:val="00441A99"/>
    <w:rsid w:val="00441D0F"/>
    <w:rsid w:val="00442CEB"/>
    <w:rsid w:val="00442DE4"/>
    <w:rsid w:val="00443A1C"/>
    <w:rsid w:val="004440B0"/>
    <w:rsid w:val="004448B3"/>
    <w:rsid w:val="004456E5"/>
    <w:rsid w:val="00446013"/>
    <w:rsid w:val="004464BE"/>
    <w:rsid w:val="004468AC"/>
    <w:rsid w:val="00446E45"/>
    <w:rsid w:val="004470E9"/>
    <w:rsid w:val="00447A98"/>
    <w:rsid w:val="00447DAD"/>
    <w:rsid w:val="00447F7A"/>
    <w:rsid w:val="00450FE2"/>
    <w:rsid w:val="00451EA3"/>
    <w:rsid w:val="00451EA6"/>
    <w:rsid w:val="004522D4"/>
    <w:rsid w:val="004523A9"/>
    <w:rsid w:val="0045360F"/>
    <w:rsid w:val="004539B4"/>
    <w:rsid w:val="00453AA6"/>
    <w:rsid w:val="004547A7"/>
    <w:rsid w:val="00454DC5"/>
    <w:rsid w:val="00454E8B"/>
    <w:rsid w:val="0045512A"/>
    <w:rsid w:val="004551B1"/>
    <w:rsid w:val="0045541F"/>
    <w:rsid w:val="00455902"/>
    <w:rsid w:val="00455AB8"/>
    <w:rsid w:val="0045688A"/>
    <w:rsid w:val="00457609"/>
    <w:rsid w:val="004602B3"/>
    <w:rsid w:val="0046048A"/>
    <w:rsid w:val="00460EF4"/>
    <w:rsid w:val="004610D3"/>
    <w:rsid w:val="00461244"/>
    <w:rsid w:val="004616A9"/>
    <w:rsid w:val="00461817"/>
    <w:rsid w:val="00461B12"/>
    <w:rsid w:val="0046256B"/>
    <w:rsid w:val="00462B96"/>
    <w:rsid w:val="00462DD2"/>
    <w:rsid w:val="00462ED1"/>
    <w:rsid w:val="00463386"/>
    <w:rsid w:val="00463F41"/>
    <w:rsid w:val="00464430"/>
    <w:rsid w:val="00464BF7"/>
    <w:rsid w:val="00464DBE"/>
    <w:rsid w:val="00464DEE"/>
    <w:rsid w:val="00464FAB"/>
    <w:rsid w:val="0046592F"/>
    <w:rsid w:val="00467CB0"/>
    <w:rsid w:val="00467DBC"/>
    <w:rsid w:val="00470247"/>
    <w:rsid w:val="004702AD"/>
    <w:rsid w:val="00470E44"/>
    <w:rsid w:val="00471937"/>
    <w:rsid w:val="00471C7E"/>
    <w:rsid w:val="004720C2"/>
    <w:rsid w:val="004722CF"/>
    <w:rsid w:val="00472D73"/>
    <w:rsid w:val="0047380D"/>
    <w:rsid w:val="00473857"/>
    <w:rsid w:val="004741EF"/>
    <w:rsid w:val="004749B6"/>
    <w:rsid w:val="00475C0D"/>
    <w:rsid w:val="00476094"/>
    <w:rsid w:val="00476CC7"/>
    <w:rsid w:val="00476E24"/>
    <w:rsid w:val="00476F09"/>
    <w:rsid w:val="00476F4A"/>
    <w:rsid w:val="00477686"/>
    <w:rsid w:val="00477F17"/>
    <w:rsid w:val="00480031"/>
    <w:rsid w:val="00480312"/>
    <w:rsid w:val="0048046C"/>
    <w:rsid w:val="0048052A"/>
    <w:rsid w:val="00480695"/>
    <w:rsid w:val="004810F4"/>
    <w:rsid w:val="0048290D"/>
    <w:rsid w:val="00482CB4"/>
    <w:rsid w:val="0048302C"/>
    <w:rsid w:val="004836F7"/>
    <w:rsid w:val="00483757"/>
    <w:rsid w:val="004843EE"/>
    <w:rsid w:val="004844E5"/>
    <w:rsid w:val="00484686"/>
    <w:rsid w:val="00484BB6"/>
    <w:rsid w:val="00484D08"/>
    <w:rsid w:val="00484D99"/>
    <w:rsid w:val="00485221"/>
    <w:rsid w:val="004852A4"/>
    <w:rsid w:val="004869CC"/>
    <w:rsid w:val="00486AEE"/>
    <w:rsid w:val="00486C7B"/>
    <w:rsid w:val="00490696"/>
    <w:rsid w:val="00490FB2"/>
    <w:rsid w:val="004913F4"/>
    <w:rsid w:val="004924EF"/>
    <w:rsid w:val="00492538"/>
    <w:rsid w:val="00492557"/>
    <w:rsid w:val="00492E22"/>
    <w:rsid w:val="00493276"/>
    <w:rsid w:val="0049330B"/>
    <w:rsid w:val="00493A7F"/>
    <w:rsid w:val="00493F97"/>
    <w:rsid w:val="00494E5E"/>
    <w:rsid w:val="004953A6"/>
    <w:rsid w:val="00495427"/>
    <w:rsid w:val="0049558B"/>
    <w:rsid w:val="0049597B"/>
    <w:rsid w:val="0049656B"/>
    <w:rsid w:val="00496B38"/>
    <w:rsid w:val="00496BB5"/>
    <w:rsid w:val="00496C64"/>
    <w:rsid w:val="00496E9A"/>
    <w:rsid w:val="004973E2"/>
    <w:rsid w:val="004973EB"/>
    <w:rsid w:val="004978C8"/>
    <w:rsid w:val="00497925"/>
    <w:rsid w:val="004A0359"/>
    <w:rsid w:val="004A03DE"/>
    <w:rsid w:val="004A0CD4"/>
    <w:rsid w:val="004A13E1"/>
    <w:rsid w:val="004A142C"/>
    <w:rsid w:val="004A20EA"/>
    <w:rsid w:val="004A2B74"/>
    <w:rsid w:val="004A32B8"/>
    <w:rsid w:val="004A33EA"/>
    <w:rsid w:val="004A39BB"/>
    <w:rsid w:val="004A403A"/>
    <w:rsid w:val="004A495D"/>
    <w:rsid w:val="004A49AE"/>
    <w:rsid w:val="004A4C48"/>
    <w:rsid w:val="004A5579"/>
    <w:rsid w:val="004A58EB"/>
    <w:rsid w:val="004A5BB1"/>
    <w:rsid w:val="004A64BF"/>
    <w:rsid w:val="004A6C54"/>
    <w:rsid w:val="004A6C56"/>
    <w:rsid w:val="004A7332"/>
    <w:rsid w:val="004A77CD"/>
    <w:rsid w:val="004B0092"/>
    <w:rsid w:val="004B0321"/>
    <w:rsid w:val="004B116B"/>
    <w:rsid w:val="004B130E"/>
    <w:rsid w:val="004B1F90"/>
    <w:rsid w:val="004B23AD"/>
    <w:rsid w:val="004B25C8"/>
    <w:rsid w:val="004B2BCF"/>
    <w:rsid w:val="004B2E25"/>
    <w:rsid w:val="004B3D84"/>
    <w:rsid w:val="004B418A"/>
    <w:rsid w:val="004B43C5"/>
    <w:rsid w:val="004B4448"/>
    <w:rsid w:val="004B46BB"/>
    <w:rsid w:val="004B4CBE"/>
    <w:rsid w:val="004B4FBD"/>
    <w:rsid w:val="004B5277"/>
    <w:rsid w:val="004B5931"/>
    <w:rsid w:val="004B5F1E"/>
    <w:rsid w:val="004C01E0"/>
    <w:rsid w:val="004C0FEA"/>
    <w:rsid w:val="004C173E"/>
    <w:rsid w:val="004C1F1C"/>
    <w:rsid w:val="004C28B2"/>
    <w:rsid w:val="004C3D0A"/>
    <w:rsid w:val="004C3DF3"/>
    <w:rsid w:val="004C40F3"/>
    <w:rsid w:val="004C5EEA"/>
    <w:rsid w:val="004C611F"/>
    <w:rsid w:val="004C72AC"/>
    <w:rsid w:val="004C79BE"/>
    <w:rsid w:val="004D0111"/>
    <w:rsid w:val="004D046C"/>
    <w:rsid w:val="004D0DB6"/>
    <w:rsid w:val="004D1154"/>
    <w:rsid w:val="004D19C8"/>
    <w:rsid w:val="004D294E"/>
    <w:rsid w:val="004D3110"/>
    <w:rsid w:val="004D402B"/>
    <w:rsid w:val="004D4571"/>
    <w:rsid w:val="004D4E09"/>
    <w:rsid w:val="004D5219"/>
    <w:rsid w:val="004D64E6"/>
    <w:rsid w:val="004D678F"/>
    <w:rsid w:val="004D6FE3"/>
    <w:rsid w:val="004D78CE"/>
    <w:rsid w:val="004D7BA2"/>
    <w:rsid w:val="004E00FE"/>
    <w:rsid w:val="004E0113"/>
    <w:rsid w:val="004E04B3"/>
    <w:rsid w:val="004E04E2"/>
    <w:rsid w:val="004E098C"/>
    <w:rsid w:val="004E0D61"/>
    <w:rsid w:val="004E1A9F"/>
    <w:rsid w:val="004E2135"/>
    <w:rsid w:val="004E2FB6"/>
    <w:rsid w:val="004E316D"/>
    <w:rsid w:val="004E41FC"/>
    <w:rsid w:val="004E4455"/>
    <w:rsid w:val="004E4760"/>
    <w:rsid w:val="004E4D6E"/>
    <w:rsid w:val="004E55C7"/>
    <w:rsid w:val="004E5649"/>
    <w:rsid w:val="004E5C9C"/>
    <w:rsid w:val="004E63F6"/>
    <w:rsid w:val="004E65A0"/>
    <w:rsid w:val="004E6E9F"/>
    <w:rsid w:val="004E6F86"/>
    <w:rsid w:val="004E6FF9"/>
    <w:rsid w:val="004E71C0"/>
    <w:rsid w:val="004E7252"/>
    <w:rsid w:val="004F15A4"/>
    <w:rsid w:val="004F2171"/>
    <w:rsid w:val="004F226C"/>
    <w:rsid w:val="004F26E2"/>
    <w:rsid w:val="004F2C32"/>
    <w:rsid w:val="004F2FE9"/>
    <w:rsid w:val="004F3061"/>
    <w:rsid w:val="004F30B2"/>
    <w:rsid w:val="004F39E9"/>
    <w:rsid w:val="004F3A0B"/>
    <w:rsid w:val="004F3F94"/>
    <w:rsid w:val="004F3FBC"/>
    <w:rsid w:val="004F4815"/>
    <w:rsid w:val="004F4B02"/>
    <w:rsid w:val="004F5345"/>
    <w:rsid w:val="004F58BE"/>
    <w:rsid w:val="004F5F66"/>
    <w:rsid w:val="004F6666"/>
    <w:rsid w:val="004F708D"/>
    <w:rsid w:val="004F7B49"/>
    <w:rsid w:val="004F7FD7"/>
    <w:rsid w:val="00500210"/>
    <w:rsid w:val="005005A5"/>
    <w:rsid w:val="00501732"/>
    <w:rsid w:val="00501AD5"/>
    <w:rsid w:val="00501D4B"/>
    <w:rsid w:val="00501E43"/>
    <w:rsid w:val="00502187"/>
    <w:rsid w:val="00502FA4"/>
    <w:rsid w:val="0050310D"/>
    <w:rsid w:val="00503DA9"/>
    <w:rsid w:val="00504940"/>
    <w:rsid w:val="0050526D"/>
    <w:rsid w:val="00505FDB"/>
    <w:rsid w:val="005066C1"/>
    <w:rsid w:val="00506F01"/>
    <w:rsid w:val="00506F42"/>
    <w:rsid w:val="0050701D"/>
    <w:rsid w:val="00507DC3"/>
    <w:rsid w:val="005108C4"/>
    <w:rsid w:val="00510B92"/>
    <w:rsid w:val="00511575"/>
    <w:rsid w:val="005121A1"/>
    <w:rsid w:val="00512DA9"/>
    <w:rsid w:val="0051400A"/>
    <w:rsid w:val="0051487C"/>
    <w:rsid w:val="005149BC"/>
    <w:rsid w:val="00514ACF"/>
    <w:rsid w:val="00514D10"/>
    <w:rsid w:val="005157F8"/>
    <w:rsid w:val="00515FC0"/>
    <w:rsid w:val="0051616D"/>
    <w:rsid w:val="00516662"/>
    <w:rsid w:val="00516CFF"/>
    <w:rsid w:val="00517F03"/>
    <w:rsid w:val="005201E3"/>
    <w:rsid w:val="00520AD9"/>
    <w:rsid w:val="0052103C"/>
    <w:rsid w:val="0052129B"/>
    <w:rsid w:val="005214CE"/>
    <w:rsid w:val="0052198B"/>
    <w:rsid w:val="005219FF"/>
    <w:rsid w:val="0052249D"/>
    <w:rsid w:val="0052299A"/>
    <w:rsid w:val="0052466C"/>
    <w:rsid w:val="0052580E"/>
    <w:rsid w:val="00525D7B"/>
    <w:rsid w:val="00526044"/>
    <w:rsid w:val="005262A4"/>
    <w:rsid w:val="0052666A"/>
    <w:rsid w:val="00527A2F"/>
    <w:rsid w:val="00530B0E"/>
    <w:rsid w:val="00530DD2"/>
    <w:rsid w:val="005313E0"/>
    <w:rsid w:val="00531C4B"/>
    <w:rsid w:val="00532153"/>
    <w:rsid w:val="005329CD"/>
    <w:rsid w:val="005335AD"/>
    <w:rsid w:val="005337C0"/>
    <w:rsid w:val="0053384B"/>
    <w:rsid w:val="00533A59"/>
    <w:rsid w:val="00533F98"/>
    <w:rsid w:val="005348A2"/>
    <w:rsid w:val="00534C11"/>
    <w:rsid w:val="00534C40"/>
    <w:rsid w:val="00535958"/>
    <w:rsid w:val="00535C66"/>
    <w:rsid w:val="0053620B"/>
    <w:rsid w:val="00536500"/>
    <w:rsid w:val="00536551"/>
    <w:rsid w:val="00536A90"/>
    <w:rsid w:val="00537ECA"/>
    <w:rsid w:val="00537F2C"/>
    <w:rsid w:val="00540DCB"/>
    <w:rsid w:val="00540FAB"/>
    <w:rsid w:val="00541082"/>
    <w:rsid w:val="00541801"/>
    <w:rsid w:val="00541AA0"/>
    <w:rsid w:val="00542414"/>
    <w:rsid w:val="005428C7"/>
    <w:rsid w:val="0054418E"/>
    <w:rsid w:val="005443CD"/>
    <w:rsid w:val="00544F0F"/>
    <w:rsid w:val="00545298"/>
    <w:rsid w:val="0054545B"/>
    <w:rsid w:val="005465A2"/>
    <w:rsid w:val="005471EF"/>
    <w:rsid w:val="00547690"/>
    <w:rsid w:val="00547A7B"/>
    <w:rsid w:val="00547E39"/>
    <w:rsid w:val="00550475"/>
    <w:rsid w:val="005504C9"/>
    <w:rsid w:val="00550DA0"/>
    <w:rsid w:val="0055151A"/>
    <w:rsid w:val="0055157D"/>
    <w:rsid w:val="005520A8"/>
    <w:rsid w:val="005521B5"/>
    <w:rsid w:val="00552D8E"/>
    <w:rsid w:val="00553000"/>
    <w:rsid w:val="00553514"/>
    <w:rsid w:val="00553F58"/>
    <w:rsid w:val="00554043"/>
    <w:rsid w:val="00555A4E"/>
    <w:rsid w:val="00555C18"/>
    <w:rsid w:val="00556B53"/>
    <w:rsid w:val="00556D9F"/>
    <w:rsid w:val="005572D5"/>
    <w:rsid w:val="00557D7A"/>
    <w:rsid w:val="00557D87"/>
    <w:rsid w:val="005600BB"/>
    <w:rsid w:val="00560503"/>
    <w:rsid w:val="00560F76"/>
    <w:rsid w:val="00561625"/>
    <w:rsid w:val="005621FD"/>
    <w:rsid w:val="00562FB9"/>
    <w:rsid w:val="00564148"/>
    <w:rsid w:val="00564E68"/>
    <w:rsid w:val="00565040"/>
    <w:rsid w:val="005655BF"/>
    <w:rsid w:val="00565A3D"/>
    <w:rsid w:val="00566167"/>
    <w:rsid w:val="005669AA"/>
    <w:rsid w:val="00566AAC"/>
    <w:rsid w:val="00566F5C"/>
    <w:rsid w:val="00567131"/>
    <w:rsid w:val="00567374"/>
    <w:rsid w:val="00567606"/>
    <w:rsid w:val="005700C8"/>
    <w:rsid w:val="005706DA"/>
    <w:rsid w:val="00570703"/>
    <w:rsid w:val="00570755"/>
    <w:rsid w:val="0057076A"/>
    <w:rsid w:val="00570C25"/>
    <w:rsid w:val="00570F24"/>
    <w:rsid w:val="00571210"/>
    <w:rsid w:val="00571BC1"/>
    <w:rsid w:val="00571E27"/>
    <w:rsid w:val="00571F34"/>
    <w:rsid w:val="0057200B"/>
    <w:rsid w:val="00572AB0"/>
    <w:rsid w:val="00572F78"/>
    <w:rsid w:val="005737B7"/>
    <w:rsid w:val="00574368"/>
    <w:rsid w:val="0057471D"/>
    <w:rsid w:val="00574BA6"/>
    <w:rsid w:val="00574FBB"/>
    <w:rsid w:val="005755FA"/>
    <w:rsid w:val="00575C74"/>
    <w:rsid w:val="00575CB3"/>
    <w:rsid w:val="00575E37"/>
    <w:rsid w:val="005762BC"/>
    <w:rsid w:val="00576C08"/>
    <w:rsid w:val="00577220"/>
    <w:rsid w:val="0058015F"/>
    <w:rsid w:val="005823A7"/>
    <w:rsid w:val="00582428"/>
    <w:rsid w:val="00582C31"/>
    <w:rsid w:val="0058344C"/>
    <w:rsid w:val="00583823"/>
    <w:rsid w:val="00583858"/>
    <w:rsid w:val="00584289"/>
    <w:rsid w:val="0058508B"/>
    <w:rsid w:val="00585533"/>
    <w:rsid w:val="00585CF8"/>
    <w:rsid w:val="005865BE"/>
    <w:rsid w:val="00587316"/>
    <w:rsid w:val="00587B01"/>
    <w:rsid w:val="00590152"/>
    <w:rsid w:val="005901E0"/>
    <w:rsid w:val="005901FD"/>
    <w:rsid w:val="005903BB"/>
    <w:rsid w:val="00590CB0"/>
    <w:rsid w:val="00590DA5"/>
    <w:rsid w:val="00591F6C"/>
    <w:rsid w:val="0059213C"/>
    <w:rsid w:val="00592514"/>
    <w:rsid w:val="00592948"/>
    <w:rsid w:val="00592A7D"/>
    <w:rsid w:val="00592C8C"/>
    <w:rsid w:val="00592D6B"/>
    <w:rsid w:val="00592E3B"/>
    <w:rsid w:val="005931EB"/>
    <w:rsid w:val="00593787"/>
    <w:rsid w:val="0059469E"/>
    <w:rsid w:val="0059475D"/>
    <w:rsid w:val="00594CB3"/>
    <w:rsid w:val="00594E05"/>
    <w:rsid w:val="005952F1"/>
    <w:rsid w:val="00596341"/>
    <w:rsid w:val="00596513"/>
    <w:rsid w:val="005972F2"/>
    <w:rsid w:val="00597DE4"/>
    <w:rsid w:val="00597E30"/>
    <w:rsid w:val="005A008E"/>
    <w:rsid w:val="005A0A05"/>
    <w:rsid w:val="005A139E"/>
    <w:rsid w:val="005A21FB"/>
    <w:rsid w:val="005A2C40"/>
    <w:rsid w:val="005A3DB8"/>
    <w:rsid w:val="005A415C"/>
    <w:rsid w:val="005A497E"/>
    <w:rsid w:val="005A5891"/>
    <w:rsid w:val="005A59A2"/>
    <w:rsid w:val="005A5F9F"/>
    <w:rsid w:val="005A6FBA"/>
    <w:rsid w:val="005A7FED"/>
    <w:rsid w:val="005B05B6"/>
    <w:rsid w:val="005B0AA9"/>
    <w:rsid w:val="005B0C8E"/>
    <w:rsid w:val="005B1AAF"/>
    <w:rsid w:val="005B1DFF"/>
    <w:rsid w:val="005B24F6"/>
    <w:rsid w:val="005B2892"/>
    <w:rsid w:val="005B3191"/>
    <w:rsid w:val="005B3876"/>
    <w:rsid w:val="005B3C4C"/>
    <w:rsid w:val="005B4F30"/>
    <w:rsid w:val="005B546D"/>
    <w:rsid w:val="005B6DE3"/>
    <w:rsid w:val="005B77FE"/>
    <w:rsid w:val="005B7B7E"/>
    <w:rsid w:val="005C0532"/>
    <w:rsid w:val="005C0BEE"/>
    <w:rsid w:val="005C1608"/>
    <w:rsid w:val="005C17DD"/>
    <w:rsid w:val="005C1878"/>
    <w:rsid w:val="005C1C10"/>
    <w:rsid w:val="005C20D4"/>
    <w:rsid w:val="005C2207"/>
    <w:rsid w:val="005C2556"/>
    <w:rsid w:val="005C3232"/>
    <w:rsid w:val="005C3FFB"/>
    <w:rsid w:val="005C4963"/>
    <w:rsid w:val="005C4998"/>
    <w:rsid w:val="005C4E1C"/>
    <w:rsid w:val="005C5E0A"/>
    <w:rsid w:val="005C674E"/>
    <w:rsid w:val="005C6C8C"/>
    <w:rsid w:val="005C6CBD"/>
    <w:rsid w:val="005D03D9"/>
    <w:rsid w:val="005D067B"/>
    <w:rsid w:val="005D0FE4"/>
    <w:rsid w:val="005D10E1"/>
    <w:rsid w:val="005D1258"/>
    <w:rsid w:val="005D282B"/>
    <w:rsid w:val="005D43BC"/>
    <w:rsid w:val="005D4772"/>
    <w:rsid w:val="005D4DF8"/>
    <w:rsid w:val="005D4E0D"/>
    <w:rsid w:val="005D5097"/>
    <w:rsid w:val="005D515F"/>
    <w:rsid w:val="005D5361"/>
    <w:rsid w:val="005D6DB0"/>
    <w:rsid w:val="005D6FE5"/>
    <w:rsid w:val="005D7087"/>
    <w:rsid w:val="005D736D"/>
    <w:rsid w:val="005E0E5F"/>
    <w:rsid w:val="005E0EC6"/>
    <w:rsid w:val="005E0FBB"/>
    <w:rsid w:val="005E1139"/>
    <w:rsid w:val="005E16C2"/>
    <w:rsid w:val="005E1AE6"/>
    <w:rsid w:val="005E1B11"/>
    <w:rsid w:val="005E2269"/>
    <w:rsid w:val="005E243B"/>
    <w:rsid w:val="005E25AF"/>
    <w:rsid w:val="005E293D"/>
    <w:rsid w:val="005E2F03"/>
    <w:rsid w:val="005E3FDE"/>
    <w:rsid w:val="005E41FB"/>
    <w:rsid w:val="005E43BB"/>
    <w:rsid w:val="005E43C9"/>
    <w:rsid w:val="005E4BD6"/>
    <w:rsid w:val="005E553D"/>
    <w:rsid w:val="005E68A6"/>
    <w:rsid w:val="005E6FC4"/>
    <w:rsid w:val="005E7E8C"/>
    <w:rsid w:val="005F00FF"/>
    <w:rsid w:val="005F106D"/>
    <w:rsid w:val="005F13B9"/>
    <w:rsid w:val="005F1899"/>
    <w:rsid w:val="005F1A1B"/>
    <w:rsid w:val="005F1ACB"/>
    <w:rsid w:val="005F1EDC"/>
    <w:rsid w:val="005F28D3"/>
    <w:rsid w:val="005F2917"/>
    <w:rsid w:val="005F2DED"/>
    <w:rsid w:val="005F384F"/>
    <w:rsid w:val="005F3D15"/>
    <w:rsid w:val="005F41CD"/>
    <w:rsid w:val="005F43EF"/>
    <w:rsid w:val="005F5292"/>
    <w:rsid w:val="005F55B1"/>
    <w:rsid w:val="005F59FC"/>
    <w:rsid w:val="005F66A6"/>
    <w:rsid w:val="005F68AC"/>
    <w:rsid w:val="005F74A7"/>
    <w:rsid w:val="005F7EE6"/>
    <w:rsid w:val="00601243"/>
    <w:rsid w:val="006017A2"/>
    <w:rsid w:val="00601992"/>
    <w:rsid w:val="00601B0B"/>
    <w:rsid w:val="006025E5"/>
    <w:rsid w:val="00602875"/>
    <w:rsid w:val="00602966"/>
    <w:rsid w:val="00602DCC"/>
    <w:rsid w:val="006038C2"/>
    <w:rsid w:val="00604274"/>
    <w:rsid w:val="0060466A"/>
    <w:rsid w:val="00604B66"/>
    <w:rsid w:val="00605113"/>
    <w:rsid w:val="00605638"/>
    <w:rsid w:val="0060566A"/>
    <w:rsid w:val="00605C14"/>
    <w:rsid w:val="00605CFC"/>
    <w:rsid w:val="00605EF2"/>
    <w:rsid w:val="0060621F"/>
    <w:rsid w:val="006070C6"/>
    <w:rsid w:val="00607286"/>
    <w:rsid w:val="0061009C"/>
    <w:rsid w:val="00610746"/>
    <w:rsid w:val="006110AD"/>
    <w:rsid w:val="006112A7"/>
    <w:rsid w:val="00612AF5"/>
    <w:rsid w:val="00613169"/>
    <w:rsid w:val="00613413"/>
    <w:rsid w:val="006139FD"/>
    <w:rsid w:val="00613A51"/>
    <w:rsid w:val="00614B79"/>
    <w:rsid w:val="00614CFD"/>
    <w:rsid w:val="00615363"/>
    <w:rsid w:val="00615535"/>
    <w:rsid w:val="00616656"/>
    <w:rsid w:val="006166FA"/>
    <w:rsid w:val="00616CCA"/>
    <w:rsid w:val="00616DA6"/>
    <w:rsid w:val="006174AE"/>
    <w:rsid w:val="006177C9"/>
    <w:rsid w:val="00617D7B"/>
    <w:rsid w:val="0062014D"/>
    <w:rsid w:val="006215C2"/>
    <w:rsid w:val="0062177C"/>
    <w:rsid w:val="00621AC3"/>
    <w:rsid w:val="00621F65"/>
    <w:rsid w:val="006229EF"/>
    <w:rsid w:val="00622C17"/>
    <w:rsid w:val="0062318E"/>
    <w:rsid w:val="00623574"/>
    <w:rsid w:val="00623625"/>
    <w:rsid w:val="00624933"/>
    <w:rsid w:val="0062576D"/>
    <w:rsid w:val="0062669E"/>
    <w:rsid w:val="00626C93"/>
    <w:rsid w:val="00627389"/>
    <w:rsid w:val="00627953"/>
    <w:rsid w:val="00627F24"/>
    <w:rsid w:val="0063029A"/>
    <w:rsid w:val="00630772"/>
    <w:rsid w:val="00630FCC"/>
    <w:rsid w:val="006310B4"/>
    <w:rsid w:val="006313DA"/>
    <w:rsid w:val="006314C8"/>
    <w:rsid w:val="00632870"/>
    <w:rsid w:val="00633626"/>
    <w:rsid w:val="00634441"/>
    <w:rsid w:val="00634759"/>
    <w:rsid w:val="006347B5"/>
    <w:rsid w:val="00634B48"/>
    <w:rsid w:val="00634DCC"/>
    <w:rsid w:val="0063535E"/>
    <w:rsid w:val="006356E1"/>
    <w:rsid w:val="00635826"/>
    <w:rsid w:val="00635AA0"/>
    <w:rsid w:val="00635E48"/>
    <w:rsid w:val="00636559"/>
    <w:rsid w:val="0063680D"/>
    <w:rsid w:val="006375AA"/>
    <w:rsid w:val="00637C10"/>
    <w:rsid w:val="00637EA7"/>
    <w:rsid w:val="00637FA7"/>
    <w:rsid w:val="00640827"/>
    <w:rsid w:val="00640CA1"/>
    <w:rsid w:val="00641719"/>
    <w:rsid w:val="00641749"/>
    <w:rsid w:val="00641C07"/>
    <w:rsid w:val="00641E50"/>
    <w:rsid w:val="00642388"/>
    <w:rsid w:val="0064297E"/>
    <w:rsid w:val="00642E21"/>
    <w:rsid w:val="00642FB5"/>
    <w:rsid w:val="00643609"/>
    <w:rsid w:val="0064394F"/>
    <w:rsid w:val="00643A1E"/>
    <w:rsid w:val="00644221"/>
    <w:rsid w:val="006442F3"/>
    <w:rsid w:val="00644486"/>
    <w:rsid w:val="00644AEC"/>
    <w:rsid w:val="006455E5"/>
    <w:rsid w:val="00645A82"/>
    <w:rsid w:val="00646815"/>
    <w:rsid w:val="00647465"/>
    <w:rsid w:val="00647EEB"/>
    <w:rsid w:val="006500E8"/>
    <w:rsid w:val="006503FE"/>
    <w:rsid w:val="00650575"/>
    <w:rsid w:val="00650990"/>
    <w:rsid w:val="00650AB2"/>
    <w:rsid w:val="00651130"/>
    <w:rsid w:val="0065125B"/>
    <w:rsid w:val="0065142D"/>
    <w:rsid w:val="006516D1"/>
    <w:rsid w:val="00651889"/>
    <w:rsid w:val="00652568"/>
    <w:rsid w:val="00652E48"/>
    <w:rsid w:val="00653FD2"/>
    <w:rsid w:val="00654E66"/>
    <w:rsid w:val="0065531C"/>
    <w:rsid w:val="00655877"/>
    <w:rsid w:val="0065616A"/>
    <w:rsid w:val="00656689"/>
    <w:rsid w:val="006570B2"/>
    <w:rsid w:val="00657111"/>
    <w:rsid w:val="006575B8"/>
    <w:rsid w:val="00657849"/>
    <w:rsid w:val="00657DC9"/>
    <w:rsid w:val="00657F4A"/>
    <w:rsid w:val="006601A2"/>
    <w:rsid w:val="00660A53"/>
    <w:rsid w:val="006611D3"/>
    <w:rsid w:val="00661D8F"/>
    <w:rsid w:val="006621D5"/>
    <w:rsid w:val="00662414"/>
    <w:rsid w:val="00663261"/>
    <w:rsid w:val="0066332C"/>
    <w:rsid w:val="006635A9"/>
    <w:rsid w:val="0066371C"/>
    <w:rsid w:val="00663F6C"/>
    <w:rsid w:val="006641A7"/>
    <w:rsid w:val="00665650"/>
    <w:rsid w:val="00665FEE"/>
    <w:rsid w:val="006660C7"/>
    <w:rsid w:val="0066696B"/>
    <w:rsid w:val="006676FB"/>
    <w:rsid w:val="00667ABF"/>
    <w:rsid w:val="00667EA6"/>
    <w:rsid w:val="0067040B"/>
    <w:rsid w:val="006706F0"/>
    <w:rsid w:val="00670950"/>
    <w:rsid w:val="00670A64"/>
    <w:rsid w:val="00671123"/>
    <w:rsid w:val="0067120B"/>
    <w:rsid w:val="006712FA"/>
    <w:rsid w:val="00671329"/>
    <w:rsid w:val="006716F4"/>
    <w:rsid w:val="0067179A"/>
    <w:rsid w:val="00672BE3"/>
    <w:rsid w:val="00672D5E"/>
    <w:rsid w:val="0067343C"/>
    <w:rsid w:val="00673C42"/>
    <w:rsid w:val="00674152"/>
    <w:rsid w:val="00674227"/>
    <w:rsid w:val="0067472D"/>
    <w:rsid w:val="006751C1"/>
    <w:rsid w:val="00675C7A"/>
    <w:rsid w:val="00675EC2"/>
    <w:rsid w:val="006773E0"/>
    <w:rsid w:val="006776B7"/>
    <w:rsid w:val="00677C51"/>
    <w:rsid w:val="006818A6"/>
    <w:rsid w:val="006823A8"/>
    <w:rsid w:val="00685306"/>
    <w:rsid w:val="006853AF"/>
    <w:rsid w:val="00685BBE"/>
    <w:rsid w:val="00685D77"/>
    <w:rsid w:val="00686798"/>
    <w:rsid w:val="006872CF"/>
    <w:rsid w:val="006872DD"/>
    <w:rsid w:val="00687677"/>
    <w:rsid w:val="00687E4E"/>
    <w:rsid w:val="00690749"/>
    <w:rsid w:val="00690F52"/>
    <w:rsid w:val="00691953"/>
    <w:rsid w:val="00691DCA"/>
    <w:rsid w:val="00691E08"/>
    <w:rsid w:val="006922CF"/>
    <w:rsid w:val="0069251D"/>
    <w:rsid w:val="0069252F"/>
    <w:rsid w:val="006935BA"/>
    <w:rsid w:val="00693C9B"/>
    <w:rsid w:val="006940ED"/>
    <w:rsid w:val="0069450D"/>
    <w:rsid w:val="00694B47"/>
    <w:rsid w:val="00695310"/>
    <w:rsid w:val="006953A1"/>
    <w:rsid w:val="006954D8"/>
    <w:rsid w:val="006956D4"/>
    <w:rsid w:val="00695B1E"/>
    <w:rsid w:val="006966E5"/>
    <w:rsid w:val="0069675F"/>
    <w:rsid w:val="00696D61"/>
    <w:rsid w:val="00697D5C"/>
    <w:rsid w:val="00697D8D"/>
    <w:rsid w:val="006A026D"/>
    <w:rsid w:val="006A067B"/>
    <w:rsid w:val="006A0EA5"/>
    <w:rsid w:val="006A0F1D"/>
    <w:rsid w:val="006A1218"/>
    <w:rsid w:val="006A12E5"/>
    <w:rsid w:val="006A1317"/>
    <w:rsid w:val="006A1346"/>
    <w:rsid w:val="006A3274"/>
    <w:rsid w:val="006A3788"/>
    <w:rsid w:val="006A3BA4"/>
    <w:rsid w:val="006A4691"/>
    <w:rsid w:val="006A5E10"/>
    <w:rsid w:val="006A6398"/>
    <w:rsid w:val="006A6DA0"/>
    <w:rsid w:val="006A6F77"/>
    <w:rsid w:val="006A749C"/>
    <w:rsid w:val="006A76F5"/>
    <w:rsid w:val="006A7E55"/>
    <w:rsid w:val="006B00A8"/>
    <w:rsid w:val="006B07AC"/>
    <w:rsid w:val="006B14DA"/>
    <w:rsid w:val="006B1620"/>
    <w:rsid w:val="006B1788"/>
    <w:rsid w:val="006B1D16"/>
    <w:rsid w:val="006B2B44"/>
    <w:rsid w:val="006B340E"/>
    <w:rsid w:val="006B3554"/>
    <w:rsid w:val="006B3888"/>
    <w:rsid w:val="006B3E4A"/>
    <w:rsid w:val="006B4364"/>
    <w:rsid w:val="006B4B49"/>
    <w:rsid w:val="006B4CA1"/>
    <w:rsid w:val="006B531A"/>
    <w:rsid w:val="006B573B"/>
    <w:rsid w:val="006B63F9"/>
    <w:rsid w:val="006B6DC3"/>
    <w:rsid w:val="006B7F93"/>
    <w:rsid w:val="006C0220"/>
    <w:rsid w:val="006C0247"/>
    <w:rsid w:val="006C09D1"/>
    <w:rsid w:val="006C1807"/>
    <w:rsid w:val="006C28A2"/>
    <w:rsid w:val="006C2D71"/>
    <w:rsid w:val="006C336F"/>
    <w:rsid w:val="006C39A4"/>
    <w:rsid w:val="006C39A6"/>
    <w:rsid w:val="006C3A7F"/>
    <w:rsid w:val="006C3E75"/>
    <w:rsid w:val="006C485E"/>
    <w:rsid w:val="006C4B4D"/>
    <w:rsid w:val="006C4F71"/>
    <w:rsid w:val="006C520A"/>
    <w:rsid w:val="006C5242"/>
    <w:rsid w:val="006C6213"/>
    <w:rsid w:val="006C64BA"/>
    <w:rsid w:val="006C73BF"/>
    <w:rsid w:val="006C7518"/>
    <w:rsid w:val="006C7A1E"/>
    <w:rsid w:val="006C7B7E"/>
    <w:rsid w:val="006C7CA7"/>
    <w:rsid w:val="006D0E58"/>
    <w:rsid w:val="006D1570"/>
    <w:rsid w:val="006D1FA6"/>
    <w:rsid w:val="006D2946"/>
    <w:rsid w:val="006D368E"/>
    <w:rsid w:val="006D3E04"/>
    <w:rsid w:val="006D4C98"/>
    <w:rsid w:val="006D4CAF"/>
    <w:rsid w:val="006D51CE"/>
    <w:rsid w:val="006D56AA"/>
    <w:rsid w:val="006D5F17"/>
    <w:rsid w:val="006D676A"/>
    <w:rsid w:val="006D6840"/>
    <w:rsid w:val="006D6949"/>
    <w:rsid w:val="006D6BB6"/>
    <w:rsid w:val="006E06DD"/>
    <w:rsid w:val="006E1107"/>
    <w:rsid w:val="006E1A53"/>
    <w:rsid w:val="006E2419"/>
    <w:rsid w:val="006E28D7"/>
    <w:rsid w:val="006E3817"/>
    <w:rsid w:val="006E3BC2"/>
    <w:rsid w:val="006E4038"/>
    <w:rsid w:val="006E44F9"/>
    <w:rsid w:val="006E46C3"/>
    <w:rsid w:val="006E52AB"/>
    <w:rsid w:val="006E59CB"/>
    <w:rsid w:val="006E64B8"/>
    <w:rsid w:val="006E71EA"/>
    <w:rsid w:val="006E731F"/>
    <w:rsid w:val="006E75EF"/>
    <w:rsid w:val="006F1456"/>
    <w:rsid w:val="006F1FAB"/>
    <w:rsid w:val="006F2050"/>
    <w:rsid w:val="006F2907"/>
    <w:rsid w:val="006F29DF"/>
    <w:rsid w:val="006F2CDB"/>
    <w:rsid w:val="006F311D"/>
    <w:rsid w:val="006F416F"/>
    <w:rsid w:val="006F4A6C"/>
    <w:rsid w:val="006F4E5F"/>
    <w:rsid w:val="006F5079"/>
    <w:rsid w:val="006F5D42"/>
    <w:rsid w:val="006F5F29"/>
    <w:rsid w:val="006F633E"/>
    <w:rsid w:val="006F6885"/>
    <w:rsid w:val="006F6EAE"/>
    <w:rsid w:val="006F723E"/>
    <w:rsid w:val="006F7374"/>
    <w:rsid w:val="006F7963"/>
    <w:rsid w:val="006F7B47"/>
    <w:rsid w:val="007000F4"/>
    <w:rsid w:val="00700760"/>
    <w:rsid w:val="00700A5C"/>
    <w:rsid w:val="007014B8"/>
    <w:rsid w:val="0070159D"/>
    <w:rsid w:val="007015CF"/>
    <w:rsid w:val="00701831"/>
    <w:rsid w:val="007018C1"/>
    <w:rsid w:val="007019A9"/>
    <w:rsid w:val="007020F6"/>
    <w:rsid w:val="0070331B"/>
    <w:rsid w:val="00703475"/>
    <w:rsid w:val="00703EF0"/>
    <w:rsid w:val="00703F22"/>
    <w:rsid w:val="0070470D"/>
    <w:rsid w:val="00704710"/>
    <w:rsid w:val="00704E85"/>
    <w:rsid w:val="00705622"/>
    <w:rsid w:val="00705A3D"/>
    <w:rsid w:val="00705DD5"/>
    <w:rsid w:val="00705DF6"/>
    <w:rsid w:val="00706337"/>
    <w:rsid w:val="007067B5"/>
    <w:rsid w:val="00706847"/>
    <w:rsid w:val="007068FF"/>
    <w:rsid w:val="007074C7"/>
    <w:rsid w:val="00710AF4"/>
    <w:rsid w:val="00710DAA"/>
    <w:rsid w:val="00710DB1"/>
    <w:rsid w:val="007117C4"/>
    <w:rsid w:val="0071194B"/>
    <w:rsid w:val="00712345"/>
    <w:rsid w:val="00712D44"/>
    <w:rsid w:val="00712F54"/>
    <w:rsid w:val="00713889"/>
    <w:rsid w:val="00713B62"/>
    <w:rsid w:val="00713E67"/>
    <w:rsid w:val="00715385"/>
    <w:rsid w:val="00715904"/>
    <w:rsid w:val="00715BA4"/>
    <w:rsid w:val="00717E0E"/>
    <w:rsid w:val="007204AA"/>
    <w:rsid w:val="00720664"/>
    <w:rsid w:val="00721A7D"/>
    <w:rsid w:val="007222F4"/>
    <w:rsid w:val="00724084"/>
    <w:rsid w:val="00724F46"/>
    <w:rsid w:val="00724F7A"/>
    <w:rsid w:val="0072569F"/>
    <w:rsid w:val="00725C96"/>
    <w:rsid w:val="00726059"/>
    <w:rsid w:val="0072688F"/>
    <w:rsid w:val="00726ACF"/>
    <w:rsid w:val="00727D86"/>
    <w:rsid w:val="00730EFE"/>
    <w:rsid w:val="0073170B"/>
    <w:rsid w:val="00731A42"/>
    <w:rsid w:val="0073205A"/>
    <w:rsid w:val="007320E5"/>
    <w:rsid w:val="0073231C"/>
    <w:rsid w:val="00732607"/>
    <w:rsid w:val="00732796"/>
    <w:rsid w:val="0073291D"/>
    <w:rsid w:val="00732E62"/>
    <w:rsid w:val="00733466"/>
    <w:rsid w:val="007334AB"/>
    <w:rsid w:val="007348A4"/>
    <w:rsid w:val="00734A49"/>
    <w:rsid w:val="00734F73"/>
    <w:rsid w:val="007356FE"/>
    <w:rsid w:val="00735866"/>
    <w:rsid w:val="00736123"/>
    <w:rsid w:val="007363B8"/>
    <w:rsid w:val="00736FDB"/>
    <w:rsid w:val="007372F1"/>
    <w:rsid w:val="00737CA6"/>
    <w:rsid w:val="00741224"/>
    <w:rsid w:val="007413AD"/>
    <w:rsid w:val="00741B87"/>
    <w:rsid w:val="00742074"/>
    <w:rsid w:val="007421A2"/>
    <w:rsid w:val="00742389"/>
    <w:rsid w:val="0074283F"/>
    <w:rsid w:val="007436FA"/>
    <w:rsid w:val="00743791"/>
    <w:rsid w:val="00743A1C"/>
    <w:rsid w:val="0074436D"/>
    <w:rsid w:val="007464A3"/>
    <w:rsid w:val="00746647"/>
    <w:rsid w:val="00746C08"/>
    <w:rsid w:val="007472A0"/>
    <w:rsid w:val="007476A0"/>
    <w:rsid w:val="00747D2F"/>
    <w:rsid w:val="00747D41"/>
    <w:rsid w:val="00747E5F"/>
    <w:rsid w:val="00751295"/>
    <w:rsid w:val="0075185D"/>
    <w:rsid w:val="00752EC6"/>
    <w:rsid w:val="0075374E"/>
    <w:rsid w:val="00753B1B"/>
    <w:rsid w:val="00753E54"/>
    <w:rsid w:val="00753EBA"/>
    <w:rsid w:val="00753FE7"/>
    <w:rsid w:val="00754789"/>
    <w:rsid w:val="007553CD"/>
    <w:rsid w:val="0075557E"/>
    <w:rsid w:val="00755633"/>
    <w:rsid w:val="007556EE"/>
    <w:rsid w:val="007558F8"/>
    <w:rsid w:val="00755AFA"/>
    <w:rsid w:val="00755B60"/>
    <w:rsid w:val="00757292"/>
    <w:rsid w:val="00757387"/>
    <w:rsid w:val="00757920"/>
    <w:rsid w:val="0076089A"/>
    <w:rsid w:val="00760F3B"/>
    <w:rsid w:val="007611BE"/>
    <w:rsid w:val="00761552"/>
    <w:rsid w:val="00761710"/>
    <w:rsid w:val="007620F2"/>
    <w:rsid w:val="00762A86"/>
    <w:rsid w:val="007632A4"/>
    <w:rsid w:val="00763710"/>
    <w:rsid w:val="00763E95"/>
    <w:rsid w:val="0076462A"/>
    <w:rsid w:val="007648BB"/>
    <w:rsid w:val="00765012"/>
    <w:rsid w:val="00765FB1"/>
    <w:rsid w:val="0076644D"/>
    <w:rsid w:val="0076686F"/>
    <w:rsid w:val="007669CE"/>
    <w:rsid w:val="00766B78"/>
    <w:rsid w:val="007675D5"/>
    <w:rsid w:val="00767C0F"/>
    <w:rsid w:val="00770487"/>
    <w:rsid w:val="00770D46"/>
    <w:rsid w:val="00770EEC"/>
    <w:rsid w:val="00770F75"/>
    <w:rsid w:val="0077143B"/>
    <w:rsid w:val="00771829"/>
    <w:rsid w:val="00771B37"/>
    <w:rsid w:val="007725F9"/>
    <w:rsid w:val="00772844"/>
    <w:rsid w:val="007729A5"/>
    <w:rsid w:val="0077383C"/>
    <w:rsid w:val="007740EE"/>
    <w:rsid w:val="007747D3"/>
    <w:rsid w:val="00774926"/>
    <w:rsid w:val="00775006"/>
    <w:rsid w:val="00775014"/>
    <w:rsid w:val="0077593B"/>
    <w:rsid w:val="00776C14"/>
    <w:rsid w:val="00776D74"/>
    <w:rsid w:val="00777026"/>
    <w:rsid w:val="0077746E"/>
    <w:rsid w:val="00777894"/>
    <w:rsid w:val="00777D8E"/>
    <w:rsid w:val="00777EDF"/>
    <w:rsid w:val="00777F00"/>
    <w:rsid w:val="0078035C"/>
    <w:rsid w:val="0078037C"/>
    <w:rsid w:val="00780B8C"/>
    <w:rsid w:val="00780BA6"/>
    <w:rsid w:val="00780BE7"/>
    <w:rsid w:val="00780C96"/>
    <w:rsid w:val="0078135C"/>
    <w:rsid w:val="00782609"/>
    <w:rsid w:val="00782A97"/>
    <w:rsid w:val="00782D27"/>
    <w:rsid w:val="007836A4"/>
    <w:rsid w:val="007836D6"/>
    <w:rsid w:val="00784659"/>
    <w:rsid w:val="007847C9"/>
    <w:rsid w:val="007849DD"/>
    <w:rsid w:val="00784DBE"/>
    <w:rsid w:val="00784E09"/>
    <w:rsid w:val="00784F62"/>
    <w:rsid w:val="00785315"/>
    <w:rsid w:val="007859F5"/>
    <w:rsid w:val="00785A88"/>
    <w:rsid w:val="0078614F"/>
    <w:rsid w:val="00786B6F"/>
    <w:rsid w:val="00786BC0"/>
    <w:rsid w:val="007877BE"/>
    <w:rsid w:val="007877C7"/>
    <w:rsid w:val="00787919"/>
    <w:rsid w:val="00787ADC"/>
    <w:rsid w:val="007905E0"/>
    <w:rsid w:val="00790E68"/>
    <w:rsid w:val="0079104A"/>
    <w:rsid w:val="0079131F"/>
    <w:rsid w:val="00791BDE"/>
    <w:rsid w:val="00791E9E"/>
    <w:rsid w:val="00792173"/>
    <w:rsid w:val="00792334"/>
    <w:rsid w:val="0079269E"/>
    <w:rsid w:val="0079465C"/>
    <w:rsid w:val="00794718"/>
    <w:rsid w:val="007960BB"/>
    <w:rsid w:val="007963DC"/>
    <w:rsid w:val="00796EB9"/>
    <w:rsid w:val="007A00F7"/>
    <w:rsid w:val="007A095B"/>
    <w:rsid w:val="007A0B6C"/>
    <w:rsid w:val="007A0D7C"/>
    <w:rsid w:val="007A0E50"/>
    <w:rsid w:val="007A1479"/>
    <w:rsid w:val="007A156E"/>
    <w:rsid w:val="007A17F8"/>
    <w:rsid w:val="007A2A14"/>
    <w:rsid w:val="007A2CE5"/>
    <w:rsid w:val="007A2DDA"/>
    <w:rsid w:val="007A3490"/>
    <w:rsid w:val="007A3A34"/>
    <w:rsid w:val="007A3A7A"/>
    <w:rsid w:val="007A3E41"/>
    <w:rsid w:val="007A400E"/>
    <w:rsid w:val="007A4180"/>
    <w:rsid w:val="007A4CAF"/>
    <w:rsid w:val="007A572B"/>
    <w:rsid w:val="007A5880"/>
    <w:rsid w:val="007A61F7"/>
    <w:rsid w:val="007A6554"/>
    <w:rsid w:val="007A71C8"/>
    <w:rsid w:val="007A79CC"/>
    <w:rsid w:val="007A7A2B"/>
    <w:rsid w:val="007A7A39"/>
    <w:rsid w:val="007A7C21"/>
    <w:rsid w:val="007B0359"/>
    <w:rsid w:val="007B07F6"/>
    <w:rsid w:val="007B2627"/>
    <w:rsid w:val="007B2F82"/>
    <w:rsid w:val="007B384D"/>
    <w:rsid w:val="007B3A18"/>
    <w:rsid w:val="007B3BB0"/>
    <w:rsid w:val="007B54FC"/>
    <w:rsid w:val="007B5F5D"/>
    <w:rsid w:val="007B63BE"/>
    <w:rsid w:val="007B6B2C"/>
    <w:rsid w:val="007B7011"/>
    <w:rsid w:val="007B70C5"/>
    <w:rsid w:val="007B767A"/>
    <w:rsid w:val="007B7C5E"/>
    <w:rsid w:val="007C0666"/>
    <w:rsid w:val="007C0679"/>
    <w:rsid w:val="007C0F60"/>
    <w:rsid w:val="007C17E3"/>
    <w:rsid w:val="007C1D9F"/>
    <w:rsid w:val="007C2166"/>
    <w:rsid w:val="007C25DF"/>
    <w:rsid w:val="007C2678"/>
    <w:rsid w:val="007C2C41"/>
    <w:rsid w:val="007C3230"/>
    <w:rsid w:val="007C3B94"/>
    <w:rsid w:val="007C494E"/>
    <w:rsid w:val="007C4BF6"/>
    <w:rsid w:val="007C4C97"/>
    <w:rsid w:val="007C4F76"/>
    <w:rsid w:val="007C5A10"/>
    <w:rsid w:val="007C6074"/>
    <w:rsid w:val="007C68BA"/>
    <w:rsid w:val="007C6DA5"/>
    <w:rsid w:val="007C6F25"/>
    <w:rsid w:val="007C7BAB"/>
    <w:rsid w:val="007C7FD4"/>
    <w:rsid w:val="007D0070"/>
    <w:rsid w:val="007D00F4"/>
    <w:rsid w:val="007D01FD"/>
    <w:rsid w:val="007D0491"/>
    <w:rsid w:val="007D0D75"/>
    <w:rsid w:val="007D11C6"/>
    <w:rsid w:val="007D1473"/>
    <w:rsid w:val="007D198A"/>
    <w:rsid w:val="007D241D"/>
    <w:rsid w:val="007D32B1"/>
    <w:rsid w:val="007D337C"/>
    <w:rsid w:val="007D3BD3"/>
    <w:rsid w:val="007D41EA"/>
    <w:rsid w:val="007D4EBA"/>
    <w:rsid w:val="007D5E64"/>
    <w:rsid w:val="007D6260"/>
    <w:rsid w:val="007D66D5"/>
    <w:rsid w:val="007D78CC"/>
    <w:rsid w:val="007D793E"/>
    <w:rsid w:val="007E00D6"/>
    <w:rsid w:val="007E0907"/>
    <w:rsid w:val="007E0AB8"/>
    <w:rsid w:val="007E1899"/>
    <w:rsid w:val="007E1EF9"/>
    <w:rsid w:val="007E2FB1"/>
    <w:rsid w:val="007E335B"/>
    <w:rsid w:val="007E36FF"/>
    <w:rsid w:val="007E3C2C"/>
    <w:rsid w:val="007E448D"/>
    <w:rsid w:val="007E4BE8"/>
    <w:rsid w:val="007E4C8B"/>
    <w:rsid w:val="007E55ED"/>
    <w:rsid w:val="007E5BB4"/>
    <w:rsid w:val="007E5C00"/>
    <w:rsid w:val="007E5C25"/>
    <w:rsid w:val="007E6757"/>
    <w:rsid w:val="007E6891"/>
    <w:rsid w:val="007E6AE8"/>
    <w:rsid w:val="007E73C4"/>
    <w:rsid w:val="007F05DB"/>
    <w:rsid w:val="007F0A81"/>
    <w:rsid w:val="007F0EBE"/>
    <w:rsid w:val="007F11F6"/>
    <w:rsid w:val="007F11FC"/>
    <w:rsid w:val="007F131C"/>
    <w:rsid w:val="007F1EF2"/>
    <w:rsid w:val="007F3BAA"/>
    <w:rsid w:val="007F4AC7"/>
    <w:rsid w:val="007F4E7B"/>
    <w:rsid w:val="007F53D9"/>
    <w:rsid w:val="007F550C"/>
    <w:rsid w:val="007F5BB9"/>
    <w:rsid w:val="007F601D"/>
    <w:rsid w:val="007F6031"/>
    <w:rsid w:val="007F60A6"/>
    <w:rsid w:val="007F6431"/>
    <w:rsid w:val="007F72AA"/>
    <w:rsid w:val="007F7900"/>
    <w:rsid w:val="007F7FF0"/>
    <w:rsid w:val="0080086C"/>
    <w:rsid w:val="00800C5F"/>
    <w:rsid w:val="008012B1"/>
    <w:rsid w:val="008017A2"/>
    <w:rsid w:val="00801CB1"/>
    <w:rsid w:val="00801F51"/>
    <w:rsid w:val="00801FE9"/>
    <w:rsid w:val="008022CF"/>
    <w:rsid w:val="00802FC7"/>
    <w:rsid w:val="00803118"/>
    <w:rsid w:val="00803296"/>
    <w:rsid w:val="00803B48"/>
    <w:rsid w:val="00804312"/>
    <w:rsid w:val="0080498F"/>
    <w:rsid w:val="008050D5"/>
    <w:rsid w:val="0080533F"/>
    <w:rsid w:val="0080561E"/>
    <w:rsid w:val="00805994"/>
    <w:rsid w:val="00806BF7"/>
    <w:rsid w:val="00806DCA"/>
    <w:rsid w:val="0080700F"/>
    <w:rsid w:val="008072DD"/>
    <w:rsid w:val="0080763B"/>
    <w:rsid w:val="00810610"/>
    <w:rsid w:val="0081064A"/>
    <w:rsid w:val="008109B8"/>
    <w:rsid w:val="00811FB0"/>
    <w:rsid w:val="00812742"/>
    <w:rsid w:val="00813088"/>
    <w:rsid w:val="00813152"/>
    <w:rsid w:val="0081330F"/>
    <w:rsid w:val="00813386"/>
    <w:rsid w:val="008134A9"/>
    <w:rsid w:val="00813B32"/>
    <w:rsid w:val="00813F37"/>
    <w:rsid w:val="008144F0"/>
    <w:rsid w:val="008155DC"/>
    <w:rsid w:val="00816439"/>
    <w:rsid w:val="008167AE"/>
    <w:rsid w:val="008168D0"/>
    <w:rsid w:val="00816D44"/>
    <w:rsid w:val="00816D81"/>
    <w:rsid w:val="00817448"/>
    <w:rsid w:val="00820315"/>
    <w:rsid w:val="00820717"/>
    <w:rsid w:val="00820F1A"/>
    <w:rsid w:val="0082103B"/>
    <w:rsid w:val="008211DA"/>
    <w:rsid w:val="00821303"/>
    <w:rsid w:val="008213DF"/>
    <w:rsid w:val="008218A9"/>
    <w:rsid w:val="008219E3"/>
    <w:rsid w:val="00823023"/>
    <w:rsid w:val="0082315D"/>
    <w:rsid w:val="008241A1"/>
    <w:rsid w:val="008242CB"/>
    <w:rsid w:val="008249B9"/>
    <w:rsid w:val="00824CD4"/>
    <w:rsid w:val="00825528"/>
    <w:rsid w:val="0082706C"/>
    <w:rsid w:val="0083192C"/>
    <w:rsid w:val="00831FE8"/>
    <w:rsid w:val="0083208E"/>
    <w:rsid w:val="008323FC"/>
    <w:rsid w:val="00832CD9"/>
    <w:rsid w:val="0083304F"/>
    <w:rsid w:val="00834E19"/>
    <w:rsid w:val="008359F5"/>
    <w:rsid w:val="00835AE2"/>
    <w:rsid w:val="00835D63"/>
    <w:rsid w:val="008402BA"/>
    <w:rsid w:val="00840FA8"/>
    <w:rsid w:val="00841ACC"/>
    <w:rsid w:val="00841EBE"/>
    <w:rsid w:val="00842B32"/>
    <w:rsid w:val="00842E1D"/>
    <w:rsid w:val="00843436"/>
    <w:rsid w:val="00843895"/>
    <w:rsid w:val="00844287"/>
    <w:rsid w:val="00844DF6"/>
    <w:rsid w:val="00844F84"/>
    <w:rsid w:val="00845042"/>
    <w:rsid w:val="008454B6"/>
    <w:rsid w:val="00845B2B"/>
    <w:rsid w:val="00845BEA"/>
    <w:rsid w:val="00846482"/>
    <w:rsid w:val="008472A9"/>
    <w:rsid w:val="00847786"/>
    <w:rsid w:val="0084785A"/>
    <w:rsid w:val="00847BB1"/>
    <w:rsid w:val="00847E99"/>
    <w:rsid w:val="0085035E"/>
    <w:rsid w:val="008508DB"/>
    <w:rsid w:val="00851564"/>
    <w:rsid w:val="00851FD0"/>
    <w:rsid w:val="008523A8"/>
    <w:rsid w:val="0085243E"/>
    <w:rsid w:val="00852BBE"/>
    <w:rsid w:val="0085307F"/>
    <w:rsid w:val="008530B7"/>
    <w:rsid w:val="008533F6"/>
    <w:rsid w:val="00854074"/>
    <w:rsid w:val="008542B3"/>
    <w:rsid w:val="008546B0"/>
    <w:rsid w:val="00854B18"/>
    <w:rsid w:val="00854D15"/>
    <w:rsid w:val="0085544D"/>
    <w:rsid w:val="00855B45"/>
    <w:rsid w:val="00856A09"/>
    <w:rsid w:val="00857245"/>
    <w:rsid w:val="008576EF"/>
    <w:rsid w:val="00857796"/>
    <w:rsid w:val="0085782C"/>
    <w:rsid w:val="008579C1"/>
    <w:rsid w:val="00860365"/>
    <w:rsid w:val="008604A5"/>
    <w:rsid w:val="00860795"/>
    <w:rsid w:val="00860900"/>
    <w:rsid w:val="008609ED"/>
    <w:rsid w:val="0086111B"/>
    <w:rsid w:val="008611DC"/>
    <w:rsid w:val="0086160F"/>
    <w:rsid w:val="00861955"/>
    <w:rsid w:val="008620F5"/>
    <w:rsid w:val="008624E3"/>
    <w:rsid w:val="0086289C"/>
    <w:rsid w:val="00862CDE"/>
    <w:rsid w:val="00862F4D"/>
    <w:rsid w:val="008637E1"/>
    <w:rsid w:val="00863824"/>
    <w:rsid w:val="00864620"/>
    <w:rsid w:val="00864925"/>
    <w:rsid w:val="00865085"/>
    <w:rsid w:val="008651E4"/>
    <w:rsid w:val="00865557"/>
    <w:rsid w:val="008658EB"/>
    <w:rsid w:val="00865EEB"/>
    <w:rsid w:val="00866147"/>
    <w:rsid w:val="00866462"/>
    <w:rsid w:val="00866EF2"/>
    <w:rsid w:val="00867148"/>
    <w:rsid w:val="0086721A"/>
    <w:rsid w:val="00867731"/>
    <w:rsid w:val="00867822"/>
    <w:rsid w:val="00867975"/>
    <w:rsid w:val="00867BDF"/>
    <w:rsid w:val="0087082D"/>
    <w:rsid w:val="0087193D"/>
    <w:rsid w:val="008721E2"/>
    <w:rsid w:val="0087227B"/>
    <w:rsid w:val="008722EC"/>
    <w:rsid w:val="00872A2B"/>
    <w:rsid w:val="00872DE5"/>
    <w:rsid w:val="008733DE"/>
    <w:rsid w:val="008734C7"/>
    <w:rsid w:val="00873D2C"/>
    <w:rsid w:val="00873DEF"/>
    <w:rsid w:val="00873FC0"/>
    <w:rsid w:val="0087406B"/>
    <w:rsid w:val="008750F4"/>
    <w:rsid w:val="0087559F"/>
    <w:rsid w:val="00876421"/>
    <w:rsid w:val="00876E75"/>
    <w:rsid w:val="008777F1"/>
    <w:rsid w:val="00877B15"/>
    <w:rsid w:val="00877CCB"/>
    <w:rsid w:val="00877F59"/>
    <w:rsid w:val="00880320"/>
    <w:rsid w:val="008809DA"/>
    <w:rsid w:val="00880E62"/>
    <w:rsid w:val="00881195"/>
    <w:rsid w:val="00881203"/>
    <w:rsid w:val="00881477"/>
    <w:rsid w:val="00881485"/>
    <w:rsid w:val="00881FFC"/>
    <w:rsid w:val="008831A5"/>
    <w:rsid w:val="00883E05"/>
    <w:rsid w:val="00884BC2"/>
    <w:rsid w:val="00885515"/>
    <w:rsid w:val="008856D4"/>
    <w:rsid w:val="008861FB"/>
    <w:rsid w:val="0088632D"/>
    <w:rsid w:val="008868C2"/>
    <w:rsid w:val="00887145"/>
    <w:rsid w:val="008871C5"/>
    <w:rsid w:val="00891467"/>
    <w:rsid w:val="008914CB"/>
    <w:rsid w:val="008915CB"/>
    <w:rsid w:val="00891663"/>
    <w:rsid w:val="00891EA4"/>
    <w:rsid w:val="008924F5"/>
    <w:rsid w:val="008929EB"/>
    <w:rsid w:val="00892BDD"/>
    <w:rsid w:val="008934B2"/>
    <w:rsid w:val="00893A1D"/>
    <w:rsid w:val="00893BCF"/>
    <w:rsid w:val="00893DEF"/>
    <w:rsid w:val="0089478B"/>
    <w:rsid w:val="00894A5D"/>
    <w:rsid w:val="00894CF8"/>
    <w:rsid w:val="00894F28"/>
    <w:rsid w:val="00895B4E"/>
    <w:rsid w:val="00895C35"/>
    <w:rsid w:val="008966C7"/>
    <w:rsid w:val="00896D97"/>
    <w:rsid w:val="00897850"/>
    <w:rsid w:val="00897E53"/>
    <w:rsid w:val="008A00BF"/>
    <w:rsid w:val="008A098B"/>
    <w:rsid w:val="008A0B99"/>
    <w:rsid w:val="008A0D43"/>
    <w:rsid w:val="008A1003"/>
    <w:rsid w:val="008A10DE"/>
    <w:rsid w:val="008A2FC7"/>
    <w:rsid w:val="008A3671"/>
    <w:rsid w:val="008A45B3"/>
    <w:rsid w:val="008A49CF"/>
    <w:rsid w:val="008A6120"/>
    <w:rsid w:val="008A65D5"/>
    <w:rsid w:val="008A6B68"/>
    <w:rsid w:val="008A6B76"/>
    <w:rsid w:val="008A72E5"/>
    <w:rsid w:val="008A72EA"/>
    <w:rsid w:val="008A73CF"/>
    <w:rsid w:val="008A7666"/>
    <w:rsid w:val="008A7B95"/>
    <w:rsid w:val="008B007E"/>
    <w:rsid w:val="008B0673"/>
    <w:rsid w:val="008B09FB"/>
    <w:rsid w:val="008B1076"/>
    <w:rsid w:val="008B14F9"/>
    <w:rsid w:val="008B1AEE"/>
    <w:rsid w:val="008B2043"/>
    <w:rsid w:val="008B21B4"/>
    <w:rsid w:val="008B21BB"/>
    <w:rsid w:val="008B2DBC"/>
    <w:rsid w:val="008B3D81"/>
    <w:rsid w:val="008B44D2"/>
    <w:rsid w:val="008B4622"/>
    <w:rsid w:val="008B4A75"/>
    <w:rsid w:val="008B4FB3"/>
    <w:rsid w:val="008B5F1C"/>
    <w:rsid w:val="008B671E"/>
    <w:rsid w:val="008B6860"/>
    <w:rsid w:val="008B6E56"/>
    <w:rsid w:val="008B7D6A"/>
    <w:rsid w:val="008B7F12"/>
    <w:rsid w:val="008C0B8A"/>
    <w:rsid w:val="008C0BF7"/>
    <w:rsid w:val="008C2146"/>
    <w:rsid w:val="008C2276"/>
    <w:rsid w:val="008C23AA"/>
    <w:rsid w:val="008C2B1A"/>
    <w:rsid w:val="008C2C2F"/>
    <w:rsid w:val="008C3802"/>
    <w:rsid w:val="008C3C97"/>
    <w:rsid w:val="008C41DA"/>
    <w:rsid w:val="008C4B3C"/>
    <w:rsid w:val="008C4B48"/>
    <w:rsid w:val="008C4B81"/>
    <w:rsid w:val="008C52B9"/>
    <w:rsid w:val="008C6A81"/>
    <w:rsid w:val="008C72CF"/>
    <w:rsid w:val="008C7DBC"/>
    <w:rsid w:val="008D1970"/>
    <w:rsid w:val="008D2506"/>
    <w:rsid w:val="008D317A"/>
    <w:rsid w:val="008D3FF6"/>
    <w:rsid w:val="008D43B5"/>
    <w:rsid w:val="008D4402"/>
    <w:rsid w:val="008D4665"/>
    <w:rsid w:val="008D48BD"/>
    <w:rsid w:val="008D4959"/>
    <w:rsid w:val="008D4DDD"/>
    <w:rsid w:val="008D50F9"/>
    <w:rsid w:val="008D548F"/>
    <w:rsid w:val="008D5615"/>
    <w:rsid w:val="008D5BDA"/>
    <w:rsid w:val="008D738C"/>
    <w:rsid w:val="008D7409"/>
    <w:rsid w:val="008D7562"/>
    <w:rsid w:val="008D7968"/>
    <w:rsid w:val="008D7CA7"/>
    <w:rsid w:val="008E0923"/>
    <w:rsid w:val="008E0B7F"/>
    <w:rsid w:val="008E0C11"/>
    <w:rsid w:val="008E247D"/>
    <w:rsid w:val="008E3515"/>
    <w:rsid w:val="008E3A27"/>
    <w:rsid w:val="008E4AB5"/>
    <w:rsid w:val="008E4CE6"/>
    <w:rsid w:val="008E5759"/>
    <w:rsid w:val="008E5F4F"/>
    <w:rsid w:val="008E606C"/>
    <w:rsid w:val="008E6321"/>
    <w:rsid w:val="008E65D2"/>
    <w:rsid w:val="008E669C"/>
    <w:rsid w:val="008E7112"/>
    <w:rsid w:val="008E78AB"/>
    <w:rsid w:val="008E7C09"/>
    <w:rsid w:val="008F022A"/>
    <w:rsid w:val="008F0979"/>
    <w:rsid w:val="008F0A8C"/>
    <w:rsid w:val="008F0B99"/>
    <w:rsid w:val="008F166C"/>
    <w:rsid w:val="008F2177"/>
    <w:rsid w:val="008F284C"/>
    <w:rsid w:val="008F2BA2"/>
    <w:rsid w:val="008F2CAA"/>
    <w:rsid w:val="008F2EDF"/>
    <w:rsid w:val="008F34ED"/>
    <w:rsid w:val="008F34F1"/>
    <w:rsid w:val="008F3510"/>
    <w:rsid w:val="008F4264"/>
    <w:rsid w:val="008F4CB8"/>
    <w:rsid w:val="008F562F"/>
    <w:rsid w:val="008F5859"/>
    <w:rsid w:val="008F59DD"/>
    <w:rsid w:val="008F5D73"/>
    <w:rsid w:val="008F5DF7"/>
    <w:rsid w:val="008F6925"/>
    <w:rsid w:val="008F6C33"/>
    <w:rsid w:val="008F6DB0"/>
    <w:rsid w:val="008F7169"/>
    <w:rsid w:val="008F723F"/>
    <w:rsid w:val="008F7389"/>
    <w:rsid w:val="00900DF3"/>
    <w:rsid w:val="0090160B"/>
    <w:rsid w:val="00901875"/>
    <w:rsid w:val="0090230D"/>
    <w:rsid w:val="00902562"/>
    <w:rsid w:val="009026EE"/>
    <w:rsid w:val="0090298E"/>
    <w:rsid w:val="00903934"/>
    <w:rsid w:val="00903955"/>
    <w:rsid w:val="00903983"/>
    <w:rsid w:val="00904088"/>
    <w:rsid w:val="00904E36"/>
    <w:rsid w:val="009051FA"/>
    <w:rsid w:val="00905905"/>
    <w:rsid w:val="00905B6A"/>
    <w:rsid w:val="00906551"/>
    <w:rsid w:val="009074AD"/>
    <w:rsid w:val="009078FE"/>
    <w:rsid w:val="00907BDA"/>
    <w:rsid w:val="00907D00"/>
    <w:rsid w:val="00910951"/>
    <w:rsid w:val="009116E9"/>
    <w:rsid w:val="00911C2C"/>
    <w:rsid w:val="00911C67"/>
    <w:rsid w:val="00911DAB"/>
    <w:rsid w:val="0091206F"/>
    <w:rsid w:val="00912357"/>
    <w:rsid w:val="00913CDF"/>
    <w:rsid w:val="00913E27"/>
    <w:rsid w:val="00913F63"/>
    <w:rsid w:val="00913F82"/>
    <w:rsid w:val="009148FC"/>
    <w:rsid w:val="009152C2"/>
    <w:rsid w:val="0091598F"/>
    <w:rsid w:val="0091616A"/>
    <w:rsid w:val="0091650F"/>
    <w:rsid w:val="00916571"/>
    <w:rsid w:val="009167BA"/>
    <w:rsid w:val="009172D1"/>
    <w:rsid w:val="0091780B"/>
    <w:rsid w:val="00917C8E"/>
    <w:rsid w:val="0092052B"/>
    <w:rsid w:val="0092071F"/>
    <w:rsid w:val="00920E28"/>
    <w:rsid w:val="00921202"/>
    <w:rsid w:val="0092140A"/>
    <w:rsid w:val="0092179A"/>
    <w:rsid w:val="00921DB8"/>
    <w:rsid w:val="009222DE"/>
    <w:rsid w:val="009227C3"/>
    <w:rsid w:val="00922853"/>
    <w:rsid w:val="009229D7"/>
    <w:rsid w:val="00922CB2"/>
    <w:rsid w:val="00922CF7"/>
    <w:rsid w:val="00922E4F"/>
    <w:rsid w:val="00922FCD"/>
    <w:rsid w:val="00923154"/>
    <w:rsid w:val="0092339B"/>
    <w:rsid w:val="0092485D"/>
    <w:rsid w:val="009248F0"/>
    <w:rsid w:val="0092491C"/>
    <w:rsid w:val="00924D94"/>
    <w:rsid w:val="00925CAF"/>
    <w:rsid w:val="00925F59"/>
    <w:rsid w:val="009264F2"/>
    <w:rsid w:val="00926524"/>
    <w:rsid w:val="00926AD8"/>
    <w:rsid w:val="00926F33"/>
    <w:rsid w:val="0092709D"/>
    <w:rsid w:val="0092765A"/>
    <w:rsid w:val="00927743"/>
    <w:rsid w:val="00930414"/>
    <w:rsid w:val="00930476"/>
    <w:rsid w:val="00930587"/>
    <w:rsid w:val="0093063F"/>
    <w:rsid w:val="00930B4C"/>
    <w:rsid w:val="00931396"/>
    <w:rsid w:val="00931510"/>
    <w:rsid w:val="00931927"/>
    <w:rsid w:val="00931BAF"/>
    <w:rsid w:val="00932952"/>
    <w:rsid w:val="00932F20"/>
    <w:rsid w:val="00933E4D"/>
    <w:rsid w:val="00934E2C"/>
    <w:rsid w:val="009351E2"/>
    <w:rsid w:val="00935606"/>
    <w:rsid w:val="00935EA7"/>
    <w:rsid w:val="009362D0"/>
    <w:rsid w:val="00936514"/>
    <w:rsid w:val="009377CF"/>
    <w:rsid w:val="00937D7E"/>
    <w:rsid w:val="009401DF"/>
    <w:rsid w:val="00940298"/>
    <w:rsid w:val="00940704"/>
    <w:rsid w:val="009407BC"/>
    <w:rsid w:val="009408FF"/>
    <w:rsid w:val="00940923"/>
    <w:rsid w:val="00940B5B"/>
    <w:rsid w:val="00940EA9"/>
    <w:rsid w:val="0094125C"/>
    <w:rsid w:val="0094135B"/>
    <w:rsid w:val="00941537"/>
    <w:rsid w:val="0094174E"/>
    <w:rsid w:val="00941BCE"/>
    <w:rsid w:val="009423DD"/>
    <w:rsid w:val="009426CB"/>
    <w:rsid w:val="00942F43"/>
    <w:rsid w:val="00942F9E"/>
    <w:rsid w:val="00943CD9"/>
    <w:rsid w:val="00944038"/>
    <w:rsid w:val="0094431A"/>
    <w:rsid w:val="00944368"/>
    <w:rsid w:val="009444B4"/>
    <w:rsid w:val="009450E9"/>
    <w:rsid w:val="009452CC"/>
    <w:rsid w:val="00946473"/>
    <w:rsid w:val="009508BA"/>
    <w:rsid w:val="0095094F"/>
    <w:rsid w:val="00950B0E"/>
    <w:rsid w:val="009511E3"/>
    <w:rsid w:val="0095127E"/>
    <w:rsid w:val="00951504"/>
    <w:rsid w:val="00951615"/>
    <w:rsid w:val="009522EF"/>
    <w:rsid w:val="009524D8"/>
    <w:rsid w:val="0095259D"/>
    <w:rsid w:val="009526DE"/>
    <w:rsid w:val="00952CE5"/>
    <w:rsid w:val="00953012"/>
    <w:rsid w:val="00953496"/>
    <w:rsid w:val="00953EB0"/>
    <w:rsid w:val="009543FA"/>
    <w:rsid w:val="009544C9"/>
    <w:rsid w:val="00954B76"/>
    <w:rsid w:val="00955A97"/>
    <w:rsid w:val="00955FF9"/>
    <w:rsid w:val="009561D4"/>
    <w:rsid w:val="009561D9"/>
    <w:rsid w:val="009567DE"/>
    <w:rsid w:val="00957246"/>
    <w:rsid w:val="009573CA"/>
    <w:rsid w:val="00960AD0"/>
    <w:rsid w:val="00960BA2"/>
    <w:rsid w:val="00961BFF"/>
    <w:rsid w:val="009620F1"/>
    <w:rsid w:val="00962741"/>
    <w:rsid w:val="00962A66"/>
    <w:rsid w:val="009631C7"/>
    <w:rsid w:val="00963437"/>
    <w:rsid w:val="00963A6B"/>
    <w:rsid w:val="00964929"/>
    <w:rsid w:val="009650F1"/>
    <w:rsid w:val="00965428"/>
    <w:rsid w:val="00965CE5"/>
    <w:rsid w:val="00965D20"/>
    <w:rsid w:val="00966FFE"/>
    <w:rsid w:val="0096700B"/>
    <w:rsid w:val="00967147"/>
    <w:rsid w:val="009707AC"/>
    <w:rsid w:val="00970BE7"/>
    <w:rsid w:val="00970EF7"/>
    <w:rsid w:val="00970F8D"/>
    <w:rsid w:val="0097111F"/>
    <w:rsid w:val="0097233E"/>
    <w:rsid w:val="00972B19"/>
    <w:rsid w:val="00972DB2"/>
    <w:rsid w:val="009736A2"/>
    <w:rsid w:val="00973D72"/>
    <w:rsid w:val="00974986"/>
    <w:rsid w:val="00974B27"/>
    <w:rsid w:val="0097590E"/>
    <w:rsid w:val="00975CC6"/>
    <w:rsid w:val="00976E1E"/>
    <w:rsid w:val="009770BD"/>
    <w:rsid w:val="0097752E"/>
    <w:rsid w:val="009778AD"/>
    <w:rsid w:val="009805D1"/>
    <w:rsid w:val="0098070B"/>
    <w:rsid w:val="00980A38"/>
    <w:rsid w:val="00981390"/>
    <w:rsid w:val="009814B2"/>
    <w:rsid w:val="00981819"/>
    <w:rsid w:val="00981FF5"/>
    <w:rsid w:val="00982274"/>
    <w:rsid w:val="00982755"/>
    <w:rsid w:val="00982C6D"/>
    <w:rsid w:val="009833B8"/>
    <w:rsid w:val="009833F9"/>
    <w:rsid w:val="00983E3C"/>
    <w:rsid w:val="00984178"/>
    <w:rsid w:val="009841ED"/>
    <w:rsid w:val="00984728"/>
    <w:rsid w:val="00985CD4"/>
    <w:rsid w:val="00985D08"/>
    <w:rsid w:val="0098607C"/>
    <w:rsid w:val="00986A24"/>
    <w:rsid w:val="00986A4C"/>
    <w:rsid w:val="00986ABC"/>
    <w:rsid w:val="00987867"/>
    <w:rsid w:val="00987A3A"/>
    <w:rsid w:val="00987FD0"/>
    <w:rsid w:val="009900C0"/>
    <w:rsid w:val="00990633"/>
    <w:rsid w:val="00990862"/>
    <w:rsid w:val="00990B01"/>
    <w:rsid w:val="00990B72"/>
    <w:rsid w:val="00990EE7"/>
    <w:rsid w:val="0099147A"/>
    <w:rsid w:val="00992256"/>
    <w:rsid w:val="00993008"/>
    <w:rsid w:val="0099322C"/>
    <w:rsid w:val="00993BD9"/>
    <w:rsid w:val="00993ECF"/>
    <w:rsid w:val="0099497F"/>
    <w:rsid w:val="009953A6"/>
    <w:rsid w:val="009957BD"/>
    <w:rsid w:val="00995EEE"/>
    <w:rsid w:val="00995FEA"/>
    <w:rsid w:val="00996946"/>
    <w:rsid w:val="00996DC1"/>
    <w:rsid w:val="00997963"/>
    <w:rsid w:val="009A09EA"/>
    <w:rsid w:val="009A0A99"/>
    <w:rsid w:val="009A1218"/>
    <w:rsid w:val="009A15C5"/>
    <w:rsid w:val="009A18D5"/>
    <w:rsid w:val="009A1B87"/>
    <w:rsid w:val="009A2AA5"/>
    <w:rsid w:val="009A2B25"/>
    <w:rsid w:val="009A2BA3"/>
    <w:rsid w:val="009A3436"/>
    <w:rsid w:val="009A3E1B"/>
    <w:rsid w:val="009A4BC8"/>
    <w:rsid w:val="009A4F5A"/>
    <w:rsid w:val="009A53C3"/>
    <w:rsid w:val="009A56D1"/>
    <w:rsid w:val="009A57C4"/>
    <w:rsid w:val="009A5D46"/>
    <w:rsid w:val="009A5D8C"/>
    <w:rsid w:val="009A6DD0"/>
    <w:rsid w:val="009A73EB"/>
    <w:rsid w:val="009A751C"/>
    <w:rsid w:val="009A77EB"/>
    <w:rsid w:val="009A78AF"/>
    <w:rsid w:val="009A7C18"/>
    <w:rsid w:val="009B0F83"/>
    <w:rsid w:val="009B1051"/>
    <w:rsid w:val="009B1959"/>
    <w:rsid w:val="009B19D7"/>
    <w:rsid w:val="009B1C70"/>
    <w:rsid w:val="009B30A4"/>
    <w:rsid w:val="009B4248"/>
    <w:rsid w:val="009B503D"/>
    <w:rsid w:val="009B5736"/>
    <w:rsid w:val="009B6241"/>
    <w:rsid w:val="009B66C2"/>
    <w:rsid w:val="009B66C6"/>
    <w:rsid w:val="009B71BE"/>
    <w:rsid w:val="009B721B"/>
    <w:rsid w:val="009B7312"/>
    <w:rsid w:val="009B73D0"/>
    <w:rsid w:val="009B76C5"/>
    <w:rsid w:val="009C00CA"/>
    <w:rsid w:val="009C0349"/>
    <w:rsid w:val="009C0683"/>
    <w:rsid w:val="009C1609"/>
    <w:rsid w:val="009C1F45"/>
    <w:rsid w:val="009C1F5A"/>
    <w:rsid w:val="009C1FE5"/>
    <w:rsid w:val="009C2968"/>
    <w:rsid w:val="009C29EB"/>
    <w:rsid w:val="009C2DD6"/>
    <w:rsid w:val="009C2F76"/>
    <w:rsid w:val="009C4D25"/>
    <w:rsid w:val="009C597B"/>
    <w:rsid w:val="009C5E71"/>
    <w:rsid w:val="009C775D"/>
    <w:rsid w:val="009D0133"/>
    <w:rsid w:val="009D0282"/>
    <w:rsid w:val="009D0DB9"/>
    <w:rsid w:val="009D0FFE"/>
    <w:rsid w:val="009D163B"/>
    <w:rsid w:val="009D20EE"/>
    <w:rsid w:val="009D21B6"/>
    <w:rsid w:val="009D2528"/>
    <w:rsid w:val="009D2568"/>
    <w:rsid w:val="009D283A"/>
    <w:rsid w:val="009D2B27"/>
    <w:rsid w:val="009D2EE0"/>
    <w:rsid w:val="009D300B"/>
    <w:rsid w:val="009D3164"/>
    <w:rsid w:val="009D3CF4"/>
    <w:rsid w:val="009D3D04"/>
    <w:rsid w:val="009D3D5C"/>
    <w:rsid w:val="009D3D7A"/>
    <w:rsid w:val="009D599E"/>
    <w:rsid w:val="009D5D34"/>
    <w:rsid w:val="009D5DB4"/>
    <w:rsid w:val="009D5DCB"/>
    <w:rsid w:val="009D700D"/>
    <w:rsid w:val="009D73EA"/>
    <w:rsid w:val="009D7A19"/>
    <w:rsid w:val="009D7E5B"/>
    <w:rsid w:val="009E0355"/>
    <w:rsid w:val="009E03B4"/>
    <w:rsid w:val="009E04E9"/>
    <w:rsid w:val="009E0517"/>
    <w:rsid w:val="009E08A7"/>
    <w:rsid w:val="009E0E97"/>
    <w:rsid w:val="009E14CF"/>
    <w:rsid w:val="009E220A"/>
    <w:rsid w:val="009E2237"/>
    <w:rsid w:val="009E2246"/>
    <w:rsid w:val="009E2C4D"/>
    <w:rsid w:val="009E3327"/>
    <w:rsid w:val="009E3459"/>
    <w:rsid w:val="009E3AE1"/>
    <w:rsid w:val="009E3AEC"/>
    <w:rsid w:val="009E42C2"/>
    <w:rsid w:val="009E4DDE"/>
    <w:rsid w:val="009E567F"/>
    <w:rsid w:val="009E65CF"/>
    <w:rsid w:val="009E6F8D"/>
    <w:rsid w:val="009E7C02"/>
    <w:rsid w:val="009F0928"/>
    <w:rsid w:val="009F0ABF"/>
    <w:rsid w:val="009F0CA9"/>
    <w:rsid w:val="009F0DB0"/>
    <w:rsid w:val="009F1503"/>
    <w:rsid w:val="009F24D8"/>
    <w:rsid w:val="009F250D"/>
    <w:rsid w:val="009F2CAE"/>
    <w:rsid w:val="009F30BA"/>
    <w:rsid w:val="009F34BC"/>
    <w:rsid w:val="009F3E51"/>
    <w:rsid w:val="009F45E3"/>
    <w:rsid w:val="009F46E0"/>
    <w:rsid w:val="009F5090"/>
    <w:rsid w:val="009F551D"/>
    <w:rsid w:val="009F633B"/>
    <w:rsid w:val="009F66B0"/>
    <w:rsid w:val="009F7818"/>
    <w:rsid w:val="009F7858"/>
    <w:rsid w:val="009F7ACA"/>
    <w:rsid w:val="009F7B3A"/>
    <w:rsid w:val="009F7DA2"/>
    <w:rsid w:val="00A004BA"/>
    <w:rsid w:val="00A00A01"/>
    <w:rsid w:val="00A00B6D"/>
    <w:rsid w:val="00A00D1B"/>
    <w:rsid w:val="00A017BA"/>
    <w:rsid w:val="00A024E9"/>
    <w:rsid w:val="00A03A18"/>
    <w:rsid w:val="00A0470C"/>
    <w:rsid w:val="00A04F02"/>
    <w:rsid w:val="00A05559"/>
    <w:rsid w:val="00A06BDA"/>
    <w:rsid w:val="00A07283"/>
    <w:rsid w:val="00A1057F"/>
    <w:rsid w:val="00A1058A"/>
    <w:rsid w:val="00A11894"/>
    <w:rsid w:val="00A119FE"/>
    <w:rsid w:val="00A12BDA"/>
    <w:rsid w:val="00A13459"/>
    <w:rsid w:val="00A13957"/>
    <w:rsid w:val="00A13A5A"/>
    <w:rsid w:val="00A13F76"/>
    <w:rsid w:val="00A144BA"/>
    <w:rsid w:val="00A152BF"/>
    <w:rsid w:val="00A15622"/>
    <w:rsid w:val="00A15BE9"/>
    <w:rsid w:val="00A1608E"/>
    <w:rsid w:val="00A161AC"/>
    <w:rsid w:val="00A163C7"/>
    <w:rsid w:val="00A168C3"/>
    <w:rsid w:val="00A17003"/>
    <w:rsid w:val="00A17340"/>
    <w:rsid w:val="00A17727"/>
    <w:rsid w:val="00A17AC0"/>
    <w:rsid w:val="00A21717"/>
    <w:rsid w:val="00A21963"/>
    <w:rsid w:val="00A21DA8"/>
    <w:rsid w:val="00A22259"/>
    <w:rsid w:val="00A22A3C"/>
    <w:rsid w:val="00A22F44"/>
    <w:rsid w:val="00A2312B"/>
    <w:rsid w:val="00A239ED"/>
    <w:rsid w:val="00A23AA5"/>
    <w:rsid w:val="00A23E52"/>
    <w:rsid w:val="00A23EF1"/>
    <w:rsid w:val="00A25254"/>
    <w:rsid w:val="00A25449"/>
    <w:rsid w:val="00A25643"/>
    <w:rsid w:val="00A25C4B"/>
    <w:rsid w:val="00A25C9A"/>
    <w:rsid w:val="00A25D15"/>
    <w:rsid w:val="00A25D37"/>
    <w:rsid w:val="00A260A2"/>
    <w:rsid w:val="00A26310"/>
    <w:rsid w:val="00A265DD"/>
    <w:rsid w:val="00A272AC"/>
    <w:rsid w:val="00A274D2"/>
    <w:rsid w:val="00A275F9"/>
    <w:rsid w:val="00A3080F"/>
    <w:rsid w:val="00A30B1C"/>
    <w:rsid w:val="00A310F3"/>
    <w:rsid w:val="00A31106"/>
    <w:rsid w:val="00A31584"/>
    <w:rsid w:val="00A31F3C"/>
    <w:rsid w:val="00A32351"/>
    <w:rsid w:val="00A3242B"/>
    <w:rsid w:val="00A33572"/>
    <w:rsid w:val="00A335DA"/>
    <w:rsid w:val="00A335E9"/>
    <w:rsid w:val="00A33715"/>
    <w:rsid w:val="00A33E85"/>
    <w:rsid w:val="00A3408E"/>
    <w:rsid w:val="00A34676"/>
    <w:rsid w:val="00A34E33"/>
    <w:rsid w:val="00A34F6B"/>
    <w:rsid w:val="00A356F1"/>
    <w:rsid w:val="00A356F5"/>
    <w:rsid w:val="00A35E24"/>
    <w:rsid w:val="00A362BB"/>
    <w:rsid w:val="00A37F7E"/>
    <w:rsid w:val="00A400DC"/>
    <w:rsid w:val="00A404BD"/>
    <w:rsid w:val="00A408C7"/>
    <w:rsid w:val="00A40C54"/>
    <w:rsid w:val="00A41CC3"/>
    <w:rsid w:val="00A4224D"/>
    <w:rsid w:val="00A42A7E"/>
    <w:rsid w:val="00A42AFE"/>
    <w:rsid w:val="00A42BFB"/>
    <w:rsid w:val="00A43145"/>
    <w:rsid w:val="00A43163"/>
    <w:rsid w:val="00A433A9"/>
    <w:rsid w:val="00A43672"/>
    <w:rsid w:val="00A43E22"/>
    <w:rsid w:val="00A43F5C"/>
    <w:rsid w:val="00A44042"/>
    <w:rsid w:val="00A440FC"/>
    <w:rsid w:val="00A44BBB"/>
    <w:rsid w:val="00A44BEA"/>
    <w:rsid w:val="00A45371"/>
    <w:rsid w:val="00A45ACD"/>
    <w:rsid w:val="00A466E2"/>
    <w:rsid w:val="00A46FC2"/>
    <w:rsid w:val="00A47485"/>
    <w:rsid w:val="00A4771D"/>
    <w:rsid w:val="00A47775"/>
    <w:rsid w:val="00A479E7"/>
    <w:rsid w:val="00A47A83"/>
    <w:rsid w:val="00A50831"/>
    <w:rsid w:val="00A50A96"/>
    <w:rsid w:val="00A50F83"/>
    <w:rsid w:val="00A51208"/>
    <w:rsid w:val="00A5143E"/>
    <w:rsid w:val="00A51A4A"/>
    <w:rsid w:val="00A51BE7"/>
    <w:rsid w:val="00A5279F"/>
    <w:rsid w:val="00A53219"/>
    <w:rsid w:val="00A5365B"/>
    <w:rsid w:val="00A5400E"/>
    <w:rsid w:val="00A54173"/>
    <w:rsid w:val="00A54292"/>
    <w:rsid w:val="00A549E2"/>
    <w:rsid w:val="00A54DF5"/>
    <w:rsid w:val="00A54E49"/>
    <w:rsid w:val="00A555C6"/>
    <w:rsid w:val="00A558CE"/>
    <w:rsid w:val="00A564DF"/>
    <w:rsid w:val="00A56804"/>
    <w:rsid w:val="00A56A88"/>
    <w:rsid w:val="00A56C3B"/>
    <w:rsid w:val="00A56D30"/>
    <w:rsid w:val="00A56F69"/>
    <w:rsid w:val="00A601FC"/>
    <w:rsid w:val="00A61FA5"/>
    <w:rsid w:val="00A62BE9"/>
    <w:rsid w:val="00A6332E"/>
    <w:rsid w:val="00A6368B"/>
    <w:rsid w:val="00A63775"/>
    <w:rsid w:val="00A63B93"/>
    <w:rsid w:val="00A63D22"/>
    <w:rsid w:val="00A64D6B"/>
    <w:rsid w:val="00A6516C"/>
    <w:rsid w:val="00A653CA"/>
    <w:rsid w:val="00A65620"/>
    <w:rsid w:val="00A65CDB"/>
    <w:rsid w:val="00A661D2"/>
    <w:rsid w:val="00A6645A"/>
    <w:rsid w:val="00A6687D"/>
    <w:rsid w:val="00A66A29"/>
    <w:rsid w:val="00A670CB"/>
    <w:rsid w:val="00A671E2"/>
    <w:rsid w:val="00A676F3"/>
    <w:rsid w:val="00A6782C"/>
    <w:rsid w:val="00A67FE2"/>
    <w:rsid w:val="00A7015A"/>
    <w:rsid w:val="00A70404"/>
    <w:rsid w:val="00A706AB"/>
    <w:rsid w:val="00A7168F"/>
    <w:rsid w:val="00A72304"/>
    <w:rsid w:val="00A723BC"/>
    <w:rsid w:val="00A7283C"/>
    <w:rsid w:val="00A73CD7"/>
    <w:rsid w:val="00A742D5"/>
    <w:rsid w:val="00A757C6"/>
    <w:rsid w:val="00A75DF6"/>
    <w:rsid w:val="00A76615"/>
    <w:rsid w:val="00A7675F"/>
    <w:rsid w:val="00A76BDD"/>
    <w:rsid w:val="00A76C85"/>
    <w:rsid w:val="00A76EFF"/>
    <w:rsid w:val="00A77A40"/>
    <w:rsid w:val="00A77B37"/>
    <w:rsid w:val="00A77BEB"/>
    <w:rsid w:val="00A77C88"/>
    <w:rsid w:val="00A80127"/>
    <w:rsid w:val="00A803F2"/>
    <w:rsid w:val="00A80A9F"/>
    <w:rsid w:val="00A82EA5"/>
    <w:rsid w:val="00A8348D"/>
    <w:rsid w:val="00A83623"/>
    <w:rsid w:val="00A83768"/>
    <w:rsid w:val="00A83C93"/>
    <w:rsid w:val="00A8453F"/>
    <w:rsid w:val="00A8531D"/>
    <w:rsid w:val="00A8540F"/>
    <w:rsid w:val="00A85603"/>
    <w:rsid w:val="00A85B1F"/>
    <w:rsid w:val="00A85B63"/>
    <w:rsid w:val="00A85C60"/>
    <w:rsid w:val="00A85D1C"/>
    <w:rsid w:val="00A85D8E"/>
    <w:rsid w:val="00A85DEB"/>
    <w:rsid w:val="00A866E5"/>
    <w:rsid w:val="00A866EF"/>
    <w:rsid w:val="00A869FA"/>
    <w:rsid w:val="00A86B15"/>
    <w:rsid w:val="00A86BA7"/>
    <w:rsid w:val="00A86CB6"/>
    <w:rsid w:val="00A871CC"/>
    <w:rsid w:val="00A8785C"/>
    <w:rsid w:val="00A87938"/>
    <w:rsid w:val="00A879C2"/>
    <w:rsid w:val="00A90472"/>
    <w:rsid w:val="00A90B3B"/>
    <w:rsid w:val="00A93BE6"/>
    <w:rsid w:val="00A93DC7"/>
    <w:rsid w:val="00A94DF1"/>
    <w:rsid w:val="00A94F9C"/>
    <w:rsid w:val="00A95289"/>
    <w:rsid w:val="00A953DE"/>
    <w:rsid w:val="00A95728"/>
    <w:rsid w:val="00A9729E"/>
    <w:rsid w:val="00A972F0"/>
    <w:rsid w:val="00A97343"/>
    <w:rsid w:val="00A976B8"/>
    <w:rsid w:val="00A97985"/>
    <w:rsid w:val="00A97D66"/>
    <w:rsid w:val="00AA0D40"/>
    <w:rsid w:val="00AA1BAA"/>
    <w:rsid w:val="00AA1CF0"/>
    <w:rsid w:val="00AA2846"/>
    <w:rsid w:val="00AA2896"/>
    <w:rsid w:val="00AA2B42"/>
    <w:rsid w:val="00AA2B6B"/>
    <w:rsid w:val="00AA332B"/>
    <w:rsid w:val="00AA38E3"/>
    <w:rsid w:val="00AA3A07"/>
    <w:rsid w:val="00AA3A2A"/>
    <w:rsid w:val="00AA3C66"/>
    <w:rsid w:val="00AA3CEE"/>
    <w:rsid w:val="00AA436C"/>
    <w:rsid w:val="00AA4634"/>
    <w:rsid w:val="00AA534B"/>
    <w:rsid w:val="00AA5662"/>
    <w:rsid w:val="00AA5DB3"/>
    <w:rsid w:val="00AA64AD"/>
    <w:rsid w:val="00AA7892"/>
    <w:rsid w:val="00AB042B"/>
    <w:rsid w:val="00AB04AE"/>
    <w:rsid w:val="00AB0AD5"/>
    <w:rsid w:val="00AB0B5C"/>
    <w:rsid w:val="00AB0BDF"/>
    <w:rsid w:val="00AB1101"/>
    <w:rsid w:val="00AB121E"/>
    <w:rsid w:val="00AB1476"/>
    <w:rsid w:val="00AB14B9"/>
    <w:rsid w:val="00AB1923"/>
    <w:rsid w:val="00AB248E"/>
    <w:rsid w:val="00AB2D52"/>
    <w:rsid w:val="00AB2D85"/>
    <w:rsid w:val="00AB2D8D"/>
    <w:rsid w:val="00AB2DBB"/>
    <w:rsid w:val="00AB2FAE"/>
    <w:rsid w:val="00AB3187"/>
    <w:rsid w:val="00AB3FC1"/>
    <w:rsid w:val="00AB4002"/>
    <w:rsid w:val="00AB46FB"/>
    <w:rsid w:val="00AB47C8"/>
    <w:rsid w:val="00AB48A9"/>
    <w:rsid w:val="00AB4972"/>
    <w:rsid w:val="00AB4A1A"/>
    <w:rsid w:val="00AB5072"/>
    <w:rsid w:val="00AB54C6"/>
    <w:rsid w:val="00AB54CC"/>
    <w:rsid w:val="00AB5BC5"/>
    <w:rsid w:val="00AB6945"/>
    <w:rsid w:val="00AB6E45"/>
    <w:rsid w:val="00AB71B4"/>
    <w:rsid w:val="00AC255B"/>
    <w:rsid w:val="00AC29A6"/>
    <w:rsid w:val="00AC2FAC"/>
    <w:rsid w:val="00AC3A2B"/>
    <w:rsid w:val="00AC3D86"/>
    <w:rsid w:val="00AC444D"/>
    <w:rsid w:val="00AC4724"/>
    <w:rsid w:val="00AC4CEF"/>
    <w:rsid w:val="00AC4F48"/>
    <w:rsid w:val="00AC539D"/>
    <w:rsid w:val="00AC592D"/>
    <w:rsid w:val="00AC5930"/>
    <w:rsid w:val="00AC5A95"/>
    <w:rsid w:val="00AC5D96"/>
    <w:rsid w:val="00AC6E61"/>
    <w:rsid w:val="00AC7055"/>
    <w:rsid w:val="00AC7EC4"/>
    <w:rsid w:val="00AD01D7"/>
    <w:rsid w:val="00AD0652"/>
    <w:rsid w:val="00AD08CC"/>
    <w:rsid w:val="00AD0C2F"/>
    <w:rsid w:val="00AD0D00"/>
    <w:rsid w:val="00AD1BC0"/>
    <w:rsid w:val="00AD279A"/>
    <w:rsid w:val="00AD2BAB"/>
    <w:rsid w:val="00AD3159"/>
    <w:rsid w:val="00AD42F5"/>
    <w:rsid w:val="00AD4F1B"/>
    <w:rsid w:val="00AD52E2"/>
    <w:rsid w:val="00AD5D4B"/>
    <w:rsid w:val="00AD601E"/>
    <w:rsid w:val="00AD6E52"/>
    <w:rsid w:val="00AD7309"/>
    <w:rsid w:val="00AD7B78"/>
    <w:rsid w:val="00AE0601"/>
    <w:rsid w:val="00AE0C9D"/>
    <w:rsid w:val="00AE0D71"/>
    <w:rsid w:val="00AE15E9"/>
    <w:rsid w:val="00AE27BE"/>
    <w:rsid w:val="00AE29F4"/>
    <w:rsid w:val="00AE3275"/>
    <w:rsid w:val="00AE3295"/>
    <w:rsid w:val="00AE4775"/>
    <w:rsid w:val="00AE532B"/>
    <w:rsid w:val="00AE5681"/>
    <w:rsid w:val="00AE5E7A"/>
    <w:rsid w:val="00AE63FE"/>
    <w:rsid w:val="00AE6928"/>
    <w:rsid w:val="00AE7084"/>
    <w:rsid w:val="00AE7C04"/>
    <w:rsid w:val="00AE7F36"/>
    <w:rsid w:val="00AF0675"/>
    <w:rsid w:val="00AF0B9E"/>
    <w:rsid w:val="00AF154E"/>
    <w:rsid w:val="00AF20E7"/>
    <w:rsid w:val="00AF2383"/>
    <w:rsid w:val="00AF274E"/>
    <w:rsid w:val="00AF2D89"/>
    <w:rsid w:val="00AF3407"/>
    <w:rsid w:val="00AF3410"/>
    <w:rsid w:val="00AF3C8A"/>
    <w:rsid w:val="00AF3C9A"/>
    <w:rsid w:val="00AF5846"/>
    <w:rsid w:val="00AF5B7D"/>
    <w:rsid w:val="00AF5F81"/>
    <w:rsid w:val="00AF6051"/>
    <w:rsid w:val="00AF6118"/>
    <w:rsid w:val="00AF654A"/>
    <w:rsid w:val="00AF68E1"/>
    <w:rsid w:val="00AF69B5"/>
    <w:rsid w:val="00AF6AEE"/>
    <w:rsid w:val="00AF72E3"/>
    <w:rsid w:val="00AF7BB0"/>
    <w:rsid w:val="00B0003F"/>
    <w:rsid w:val="00B000F5"/>
    <w:rsid w:val="00B00FE6"/>
    <w:rsid w:val="00B01016"/>
    <w:rsid w:val="00B0124F"/>
    <w:rsid w:val="00B016C1"/>
    <w:rsid w:val="00B0228D"/>
    <w:rsid w:val="00B026E0"/>
    <w:rsid w:val="00B04200"/>
    <w:rsid w:val="00B04213"/>
    <w:rsid w:val="00B04397"/>
    <w:rsid w:val="00B04436"/>
    <w:rsid w:val="00B05001"/>
    <w:rsid w:val="00B052A3"/>
    <w:rsid w:val="00B05C0C"/>
    <w:rsid w:val="00B071CA"/>
    <w:rsid w:val="00B0721A"/>
    <w:rsid w:val="00B0756C"/>
    <w:rsid w:val="00B07742"/>
    <w:rsid w:val="00B07753"/>
    <w:rsid w:val="00B07960"/>
    <w:rsid w:val="00B11160"/>
    <w:rsid w:val="00B116C5"/>
    <w:rsid w:val="00B11EFF"/>
    <w:rsid w:val="00B12778"/>
    <w:rsid w:val="00B12A5C"/>
    <w:rsid w:val="00B12AF2"/>
    <w:rsid w:val="00B139BA"/>
    <w:rsid w:val="00B144E4"/>
    <w:rsid w:val="00B14EAC"/>
    <w:rsid w:val="00B150C6"/>
    <w:rsid w:val="00B152C1"/>
    <w:rsid w:val="00B1675C"/>
    <w:rsid w:val="00B17173"/>
    <w:rsid w:val="00B17683"/>
    <w:rsid w:val="00B20FC5"/>
    <w:rsid w:val="00B212F2"/>
    <w:rsid w:val="00B217A7"/>
    <w:rsid w:val="00B2187D"/>
    <w:rsid w:val="00B21BBD"/>
    <w:rsid w:val="00B22EB4"/>
    <w:rsid w:val="00B2351E"/>
    <w:rsid w:val="00B2398E"/>
    <w:rsid w:val="00B2416B"/>
    <w:rsid w:val="00B242FD"/>
    <w:rsid w:val="00B24C51"/>
    <w:rsid w:val="00B24D72"/>
    <w:rsid w:val="00B25473"/>
    <w:rsid w:val="00B255CC"/>
    <w:rsid w:val="00B25D09"/>
    <w:rsid w:val="00B266A3"/>
    <w:rsid w:val="00B26DB8"/>
    <w:rsid w:val="00B271FB"/>
    <w:rsid w:val="00B27B94"/>
    <w:rsid w:val="00B30073"/>
    <w:rsid w:val="00B31D8B"/>
    <w:rsid w:val="00B32124"/>
    <w:rsid w:val="00B338FC"/>
    <w:rsid w:val="00B34278"/>
    <w:rsid w:val="00B34B50"/>
    <w:rsid w:val="00B362A4"/>
    <w:rsid w:val="00B36DD6"/>
    <w:rsid w:val="00B36E36"/>
    <w:rsid w:val="00B36FA4"/>
    <w:rsid w:val="00B3720B"/>
    <w:rsid w:val="00B37D05"/>
    <w:rsid w:val="00B37D51"/>
    <w:rsid w:val="00B400A7"/>
    <w:rsid w:val="00B40CB7"/>
    <w:rsid w:val="00B4164A"/>
    <w:rsid w:val="00B41833"/>
    <w:rsid w:val="00B4187E"/>
    <w:rsid w:val="00B41B0C"/>
    <w:rsid w:val="00B42FA2"/>
    <w:rsid w:val="00B43BC2"/>
    <w:rsid w:val="00B43C93"/>
    <w:rsid w:val="00B44607"/>
    <w:rsid w:val="00B44C6F"/>
    <w:rsid w:val="00B44FC4"/>
    <w:rsid w:val="00B46184"/>
    <w:rsid w:val="00B4652E"/>
    <w:rsid w:val="00B4698E"/>
    <w:rsid w:val="00B517AE"/>
    <w:rsid w:val="00B51B58"/>
    <w:rsid w:val="00B51CA4"/>
    <w:rsid w:val="00B51DA9"/>
    <w:rsid w:val="00B51F27"/>
    <w:rsid w:val="00B52BEC"/>
    <w:rsid w:val="00B53087"/>
    <w:rsid w:val="00B532DB"/>
    <w:rsid w:val="00B536B4"/>
    <w:rsid w:val="00B540F7"/>
    <w:rsid w:val="00B546E6"/>
    <w:rsid w:val="00B54D21"/>
    <w:rsid w:val="00B54D63"/>
    <w:rsid w:val="00B556BD"/>
    <w:rsid w:val="00B558AC"/>
    <w:rsid w:val="00B56357"/>
    <w:rsid w:val="00B5675A"/>
    <w:rsid w:val="00B571B8"/>
    <w:rsid w:val="00B57BA3"/>
    <w:rsid w:val="00B6042B"/>
    <w:rsid w:val="00B60C62"/>
    <w:rsid w:val="00B60FBF"/>
    <w:rsid w:val="00B612D4"/>
    <w:rsid w:val="00B61766"/>
    <w:rsid w:val="00B623E0"/>
    <w:rsid w:val="00B624EF"/>
    <w:rsid w:val="00B62853"/>
    <w:rsid w:val="00B62F44"/>
    <w:rsid w:val="00B62FA4"/>
    <w:rsid w:val="00B63562"/>
    <w:rsid w:val="00B635CD"/>
    <w:rsid w:val="00B6494A"/>
    <w:rsid w:val="00B64CF8"/>
    <w:rsid w:val="00B655A7"/>
    <w:rsid w:val="00B6590A"/>
    <w:rsid w:val="00B659B0"/>
    <w:rsid w:val="00B65DA0"/>
    <w:rsid w:val="00B66D52"/>
    <w:rsid w:val="00B6722F"/>
    <w:rsid w:val="00B672D4"/>
    <w:rsid w:val="00B6733D"/>
    <w:rsid w:val="00B67611"/>
    <w:rsid w:val="00B676B9"/>
    <w:rsid w:val="00B67BD5"/>
    <w:rsid w:val="00B67E10"/>
    <w:rsid w:val="00B70CC2"/>
    <w:rsid w:val="00B71EB0"/>
    <w:rsid w:val="00B7200D"/>
    <w:rsid w:val="00B72471"/>
    <w:rsid w:val="00B72DDE"/>
    <w:rsid w:val="00B72F72"/>
    <w:rsid w:val="00B7321F"/>
    <w:rsid w:val="00B73C6C"/>
    <w:rsid w:val="00B74219"/>
    <w:rsid w:val="00B742F3"/>
    <w:rsid w:val="00B74588"/>
    <w:rsid w:val="00B74D56"/>
    <w:rsid w:val="00B750A4"/>
    <w:rsid w:val="00B75821"/>
    <w:rsid w:val="00B75CD0"/>
    <w:rsid w:val="00B76727"/>
    <w:rsid w:val="00B76907"/>
    <w:rsid w:val="00B76989"/>
    <w:rsid w:val="00B769AA"/>
    <w:rsid w:val="00B76BD3"/>
    <w:rsid w:val="00B76D0E"/>
    <w:rsid w:val="00B77059"/>
    <w:rsid w:val="00B777D3"/>
    <w:rsid w:val="00B77814"/>
    <w:rsid w:val="00B77CD1"/>
    <w:rsid w:val="00B807DA"/>
    <w:rsid w:val="00B80D62"/>
    <w:rsid w:val="00B81848"/>
    <w:rsid w:val="00B81930"/>
    <w:rsid w:val="00B828D7"/>
    <w:rsid w:val="00B82A83"/>
    <w:rsid w:val="00B83F97"/>
    <w:rsid w:val="00B8410E"/>
    <w:rsid w:val="00B845E2"/>
    <w:rsid w:val="00B8491E"/>
    <w:rsid w:val="00B84ECF"/>
    <w:rsid w:val="00B8502D"/>
    <w:rsid w:val="00B8541A"/>
    <w:rsid w:val="00B86379"/>
    <w:rsid w:val="00B86790"/>
    <w:rsid w:val="00B86DA7"/>
    <w:rsid w:val="00B86E66"/>
    <w:rsid w:val="00B8753D"/>
    <w:rsid w:val="00B87674"/>
    <w:rsid w:val="00B8780D"/>
    <w:rsid w:val="00B87CEF"/>
    <w:rsid w:val="00B90237"/>
    <w:rsid w:val="00B90C99"/>
    <w:rsid w:val="00B91259"/>
    <w:rsid w:val="00B912C1"/>
    <w:rsid w:val="00B91391"/>
    <w:rsid w:val="00B916C8"/>
    <w:rsid w:val="00B91BC5"/>
    <w:rsid w:val="00B91DC0"/>
    <w:rsid w:val="00B91DD3"/>
    <w:rsid w:val="00B922AA"/>
    <w:rsid w:val="00B9275E"/>
    <w:rsid w:val="00B92D9D"/>
    <w:rsid w:val="00B93540"/>
    <w:rsid w:val="00B935A0"/>
    <w:rsid w:val="00B9450B"/>
    <w:rsid w:val="00B9460F"/>
    <w:rsid w:val="00B956B7"/>
    <w:rsid w:val="00B95725"/>
    <w:rsid w:val="00B95C30"/>
    <w:rsid w:val="00B967E7"/>
    <w:rsid w:val="00BA0C7B"/>
    <w:rsid w:val="00BA10A3"/>
    <w:rsid w:val="00BA1705"/>
    <w:rsid w:val="00BA1DCC"/>
    <w:rsid w:val="00BA1FFE"/>
    <w:rsid w:val="00BA34B2"/>
    <w:rsid w:val="00BA4314"/>
    <w:rsid w:val="00BA4610"/>
    <w:rsid w:val="00BA48CD"/>
    <w:rsid w:val="00BA48F0"/>
    <w:rsid w:val="00BA4BEE"/>
    <w:rsid w:val="00BA546B"/>
    <w:rsid w:val="00BA54B5"/>
    <w:rsid w:val="00BA72B6"/>
    <w:rsid w:val="00BA7767"/>
    <w:rsid w:val="00BA7DD2"/>
    <w:rsid w:val="00BB0435"/>
    <w:rsid w:val="00BB0B23"/>
    <w:rsid w:val="00BB1284"/>
    <w:rsid w:val="00BB15F1"/>
    <w:rsid w:val="00BB1E94"/>
    <w:rsid w:val="00BB1F4E"/>
    <w:rsid w:val="00BB2304"/>
    <w:rsid w:val="00BB2BEF"/>
    <w:rsid w:val="00BB2CAA"/>
    <w:rsid w:val="00BB2F47"/>
    <w:rsid w:val="00BB316B"/>
    <w:rsid w:val="00BB32B3"/>
    <w:rsid w:val="00BB37BF"/>
    <w:rsid w:val="00BB58B4"/>
    <w:rsid w:val="00BB5DE1"/>
    <w:rsid w:val="00BB5F07"/>
    <w:rsid w:val="00BB658C"/>
    <w:rsid w:val="00BB6E5D"/>
    <w:rsid w:val="00BB7120"/>
    <w:rsid w:val="00BB7CE6"/>
    <w:rsid w:val="00BC14B9"/>
    <w:rsid w:val="00BC16F9"/>
    <w:rsid w:val="00BC1805"/>
    <w:rsid w:val="00BC2B65"/>
    <w:rsid w:val="00BC2B74"/>
    <w:rsid w:val="00BC37FD"/>
    <w:rsid w:val="00BC3A37"/>
    <w:rsid w:val="00BC3A9E"/>
    <w:rsid w:val="00BC3AA0"/>
    <w:rsid w:val="00BC47A8"/>
    <w:rsid w:val="00BC4EBA"/>
    <w:rsid w:val="00BC4F7E"/>
    <w:rsid w:val="00BC57ED"/>
    <w:rsid w:val="00BC61B0"/>
    <w:rsid w:val="00BC6554"/>
    <w:rsid w:val="00BC6E38"/>
    <w:rsid w:val="00BC6F76"/>
    <w:rsid w:val="00BC741B"/>
    <w:rsid w:val="00BC7ABE"/>
    <w:rsid w:val="00BC7C6B"/>
    <w:rsid w:val="00BD01C9"/>
    <w:rsid w:val="00BD1265"/>
    <w:rsid w:val="00BD1858"/>
    <w:rsid w:val="00BD18B1"/>
    <w:rsid w:val="00BD2B88"/>
    <w:rsid w:val="00BD314B"/>
    <w:rsid w:val="00BD32A4"/>
    <w:rsid w:val="00BD3829"/>
    <w:rsid w:val="00BD3E0A"/>
    <w:rsid w:val="00BD3E44"/>
    <w:rsid w:val="00BD4642"/>
    <w:rsid w:val="00BD5435"/>
    <w:rsid w:val="00BD58BD"/>
    <w:rsid w:val="00BD6DA4"/>
    <w:rsid w:val="00BD6E87"/>
    <w:rsid w:val="00BD6F04"/>
    <w:rsid w:val="00BD7124"/>
    <w:rsid w:val="00BD72BB"/>
    <w:rsid w:val="00BD75F0"/>
    <w:rsid w:val="00BD7D58"/>
    <w:rsid w:val="00BE0BBC"/>
    <w:rsid w:val="00BE170E"/>
    <w:rsid w:val="00BE22C1"/>
    <w:rsid w:val="00BE250D"/>
    <w:rsid w:val="00BE298F"/>
    <w:rsid w:val="00BE2C1B"/>
    <w:rsid w:val="00BE2D8E"/>
    <w:rsid w:val="00BE32D1"/>
    <w:rsid w:val="00BE3826"/>
    <w:rsid w:val="00BE599B"/>
    <w:rsid w:val="00BE5D2B"/>
    <w:rsid w:val="00BE5EFC"/>
    <w:rsid w:val="00BE679A"/>
    <w:rsid w:val="00BE6A52"/>
    <w:rsid w:val="00BE6A54"/>
    <w:rsid w:val="00BE6EB8"/>
    <w:rsid w:val="00BE7390"/>
    <w:rsid w:val="00BE788A"/>
    <w:rsid w:val="00BE79C8"/>
    <w:rsid w:val="00BE7E09"/>
    <w:rsid w:val="00BF0440"/>
    <w:rsid w:val="00BF0958"/>
    <w:rsid w:val="00BF11B6"/>
    <w:rsid w:val="00BF11DB"/>
    <w:rsid w:val="00BF11EA"/>
    <w:rsid w:val="00BF161E"/>
    <w:rsid w:val="00BF258A"/>
    <w:rsid w:val="00BF27D7"/>
    <w:rsid w:val="00BF2BF1"/>
    <w:rsid w:val="00BF2D46"/>
    <w:rsid w:val="00BF2F5B"/>
    <w:rsid w:val="00BF453B"/>
    <w:rsid w:val="00BF53B0"/>
    <w:rsid w:val="00BF5540"/>
    <w:rsid w:val="00BF560C"/>
    <w:rsid w:val="00BF60E8"/>
    <w:rsid w:val="00BF6B3F"/>
    <w:rsid w:val="00BF6F7C"/>
    <w:rsid w:val="00BF6FE6"/>
    <w:rsid w:val="00BF784B"/>
    <w:rsid w:val="00C00656"/>
    <w:rsid w:val="00C007BE"/>
    <w:rsid w:val="00C012A9"/>
    <w:rsid w:val="00C013BD"/>
    <w:rsid w:val="00C0186C"/>
    <w:rsid w:val="00C01CFE"/>
    <w:rsid w:val="00C02549"/>
    <w:rsid w:val="00C02629"/>
    <w:rsid w:val="00C0266C"/>
    <w:rsid w:val="00C0284F"/>
    <w:rsid w:val="00C036BB"/>
    <w:rsid w:val="00C03BD7"/>
    <w:rsid w:val="00C04B09"/>
    <w:rsid w:val="00C04B93"/>
    <w:rsid w:val="00C04D27"/>
    <w:rsid w:val="00C04D73"/>
    <w:rsid w:val="00C05195"/>
    <w:rsid w:val="00C051BF"/>
    <w:rsid w:val="00C06109"/>
    <w:rsid w:val="00C0702A"/>
    <w:rsid w:val="00C070D3"/>
    <w:rsid w:val="00C071D5"/>
    <w:rsid w:val="00C07AE2"/>
    <w:rsid w:val="00C07E7D"/>
    <w:rsid w:val="00C10349"/>
    <w:rsid w:val="00C10398"/>
    <w:rsid w:val="00C1050E"/>
    <w:rsid w:val="00C10B24"/>
    <w:rsid w:val="00C11C87"/>
    <w:rsid w:val="00C120CC"/>
    <w:rsid w:val="00C123D4"/>
    <w:rsid w:val="00C12972"/>
    <w:rsid w:val="00C12BC8"/>
    <w:rsid w:val="00C14004"/>
    <w:rsid w:val="00C14094"/>
    <w:rsid w:val="00C14511"/>
    <w:rsid w:val="00C14BF4"/>
    <w:rsid w:val="00C153B9"/>
    <w:rsid w:val="00C15C28"/>
    <w:rsid w:val="00C15E9C"/>
    <w:rsid w:val="00C15F11"/>
    <w:rsid w:val="00C16435"/>
    <w:rsid w:val="00C16D9D"/>
    <w:rsid w:val="00C1706B"/>
    <w:rsid w:val="00C17B54"/>
    <w:rsid w:val="00C17D86"/>
    <w:rsid w:val="00C17FCA"/>
    <w:rsid w:val="00C209FC"/>
    <w:rsid w:val="00C212EB"/>
    <w:rsid w:val="00C2156D"/>
    <w:rsid w:val="00C217E7"/>
    <w:rsid w:val="00C222FC"/>
    <w:rsid w:val="00C22426"/>
    <w:rsid w:val="00C227AB"/>
    <w:rsid w:val="00C238C8"/>
    <w:rsid w:val="00C239F1"/>
    <w:rsid w:val="00C23FED"/>
    <w:rsid w:val="00C26818"/>
    <w:rsid w:val="00C269BD"/>
    <w:rsid w:val="00C27052"/>
    <w:rsid w:val="00C278A4"/>
    <w:rsid w:val="00C278F9"/>
    <w:rsid w:val="00C3099A"/>
    <w:rsid w:val="00C31072"/>
    <w:rsid w:val="00C31996"/>
    <w:rsid w:val="00C31BAF"/>
    <w:rsid w:val="00C3333E"/>
    <w:rsid w:val="00C3360E"/>
    <w:rsid w:val="00C33CB5"/>
    <w:rsid w:val="00C34170"/>
    <w:rsid w:val="00C34ED8"/>
    <w:rsid w:val="00C3501D"/>
    <w:rsid w:val="00C3574C"/>
    <w:rsid w:val="00C35824"/>
    <w:rsid w:val="00C3584C"/>
    <w:rsid w:val="00C35E2A"/>
    <w:rsid w:val="00C35EDC"/>
    <w:rsid w:val="00C36004"/>
    <w:rsid w:val="00C369B2"/>
    <w:rsid w:val="00C36DF3"/>
    <w:rsid w:val="00C374D3"/>
    <w:rsid w:val="00C40291"/>
    <w:rsid w:val="00C40460"/>
    <w:rsid w:val="00C40547"/>
    <w:rsid w:val="00C40644"/>
    <w:rsid w:val="00C41265"/>
    <w:rsid w:val="00C422DA"/>
    <w:rsid w:val="00C434D6"/>
    <w:rsid w:val="00C43FB0"/>
    <w:rsid w:val="00C441CD"/>
    <w:rsid w:val="00C443A7"/>
    <w:rsid w:val="00C4465C"/>
    <w:rsid w:val="00C458CD"/>
    <w:rsid w:val="00C45B21"/>
    <w:rsid w:val="00C474F9"/>
    <w:rsid w:val="00C47513"/>
    <w:rsid w:val="00C47616"/>
    <w:rsid w:val="00C47674"/>
    <w:rsid w:val="00C47938"/>
    <w:rsid w:val="00C500A3"/>
    <w:rsid w:val="00C501E8"/>
    <w:rsid w:val="00C50C64"/>
    <w:rsid w:val="00C50E19"/>
    <w:rsid w:val="00C51186"/>
    <w:rsid w:val="00C516DF"/>
    <w:rsid w:val="00C52218"/>
    <w:rsid w:val="00C52B12"/>
    <w:rsid w:val="00C52B68"/>
    <w:rsid w:val="00C52D85"/>
    <w:rsid w:val="00C5332A"/>
    <w:rsid w:val="00C53492"/>
    <w:rsid w:val="00C5365A"/>
    <w:rsid w:val="00C536C7"/>
    <w:rsid w:val="00C53725"/>
    <w:rsid w:val="00C53AD4"/>
    <w:rsid w:val="00C54005"/>
    <w:rsid w:val="00C54C25"/>
    <w:rsid w:val="00C54D5D"/>
    <w:rsid w:val="00C55284"/>
    <w:rsid w:val="00C56084"/>
    <w:rsid w:val="00C567A2"/>
    <w:rsid w:val="00C56DD8"/>
    <w:rsid w:val="00C5753D"/>
    <w:rsid w:val="00C57C50"/>
    <w:rsid w:val="00C57C64"/>
    <w:rsid w:val="00C602EB"/>
    <w:rsid w:val="00C61829"/>
    <w:rsid w:val="00C6260D"/>
    <w:rsid w:val="00C62F88"/>
    <w:rsid w:val="00C639E9"/>
    <w:rsid w:val="00C649F9"/>
    <w:rsid w:val="00C64C51"/>
    <w:rsid w:val="00C65E97"/>
    <w:rsid w:val="00C6606C"/>
    <w:rsid w:val="00C67622"/>
    <w:rsid w:val="00C676D9"/>
    <w:rsid w:val="00C67C0F"/>
    <w:rsid w:val="00C67C68"/>
    <w:rsid w:val="00C67FD1"/>
    <w:rsid w:val="00C701A3"/>
    <w:rsid w:val="00C704C9"/>
    <w:rsid w:val="00C70534"/>
    <w:rsid w:val="00C7085F"/>
    <w:rsid w:val="00C70B55"/>
    <w:rsid w:val="00C71B17"/>
    <w:rsid w:val="00C72218"/>
    <w:rsid w:val="00C72293"/>
    <w:rsid w:val="00C7247B"/>
    <w:rsid w:val="00C7253D"/>
    <w:rsid w:val="00C72597"/>
    <w:rsid w:val="00C725B4"/>
    <w:rsid w:val="00C72C56"/>
    <w:rsid w:val="00C7308D"/>
    <w:rsid w:val="00C738A7"/>
    <w:rsid w:val="00C7397D"/>
    <w:rsid w:val="00C73D13"/>
    <w:rsid w:val="00C740B2"/>
    <w:rsid w:val="00C747B3"/>
    <w:rsid w:val="00C74F10"/>
    <w:rsid w:val="00C75552"/>
    <w:rsid w:val="00C75C7F"/>
    <w:rsid w:val="00C7612D"/>
    <w:rsid w:val="00C76CFB"/>
    <w:rsid w:val="00C77436"/>
    <w:rsid w:val="00C77517"/>
    <w:rsid w:val="00C7756A"/>
    <w:rsid w:val="00C7779D"/>
    <w:rsid w:val="00C80BD8"/>
    <w:rsid w:val="00C81817"/>
    <w:rsid w:val="00C8186A"/>
    <w:rsid w:val="00C81EBB"/>
    <w:rsid w:val="00C826C7"/>
    <w:rsid w:val="00C82BA4"/>
    <w:rsid w:val="00C82F86"/>
    <w:rsid w:val="00C8394B"/>
    <w:rsid w:val="00C83F52"/>
    <w:rsid w:val="00C840DC"/>
    <w:rsid w:val="00C84645"/>
    <w:rsid w:val="00C84841"/>
    <w:rsid w:val="00C84A77"/>
    <w:rsid w:val="00C84C05"/>
    <w:rsid w:val="00C85146"/>
    <w:rsid w:val="00C855A5"/>
    <w:rsid w:val="00C8592C"/>
    <w:rsid w:val="00C859FB"/>
    <w:rsid w:val="00C85FEA"/>
    <w:rsid w:val="00C86125"/>
    <w:rsid w:val="00C86E3F"/>
    <w:rsid w:val="00C871C4"/>
    <w:rsid w:val="00C8725D"/>
    <w:rsid w:val="00C87419"/>
    <w:rsid w:val="00C877BE"/>
    <w:rsid w:val="00C902D6"/>
    <w:rsid w:val="00C9094C"/>
    <w:rsid w:val="00C90975"/>
    <w:rsid w:val="00C90AC0"/>
    <w:rsid w:val="00C90E73"/>
    <w:rsid w:val="00C91D67"/>
    <w:rsid w:val="00C923A9"/>
    <w:rsid w:val="00C92AAE"/>
    <w:rsid w:val="00C92C8F"/>
    <w:rsid w:val="00C9354E"/>
    <w:rsid w:val="00C93603"/>
    <w:rsid w:val="00C94AE1"/>
    <w:rsid w:val="00C94B62"/>
    <w:rsid w:val="00C952D3"/>
    <w:rsid w:val="00C95D85"/>
    <w:rsid w:val="00C95E0C"/>
    <w:rsid w:val="00C96C7E"/>
    <w:rsid w:val="00C96F35"/>
    <w:rsid w:val="00C975AF"/>
    <w:rsid w:val="00CA0299"/>
    <w:rsid w:val="00CA046C"/>
    <w:rsid w:val="00CA049A"/>
    <w:rsid w:val="00CA057C"/>
    <w:rsid w:val="00CA08B4"/>
    <w:rsid w:val="00CA1177"/>
    <w:rsid w:val="00CA127B"/>
    <w:rsid w:val="00CA1458"/>
    <w:rsid w:val="00CA1D69"/>
    <w:rsid w:val="00CA1FC5"/>
    <w:rsid w:val="00CA29DC"/>
    <w:rsid w:val="00CA34D3"/>
    <w:rsid w:val="00CA378A"/>
    <w:rsid w:val="00CA39BA"/>
    <w:rsid w:val="00CA3A91"/>
    <w:rsid w:val="00CA3BAC"/>
    <w:rsid w:val="00CA3EDA"/>
    <w:rsid w:val="00CA4DF8"/>
    <w:rsid w:val="00CA538C"/>
    <w:rsid w:val="00CA62C7"/>
    <w:rsid w:val="00CA63FA"/>
    <w:rsid w:val="00CA674A"/>
    <w:rsid w:val="00CA6A1E"/>
    <w:rsid w:val="00CA729B"/>
    <w:rsid w:val="00CA7652"/>
    <w:rsid w:val="00CA795E"/>
    <w:rsid w:val="00CA7FA4"/>
    <w:rsid w:val="00CB00DF"/>
    <w:rsid w:val="00CB0677"/>
    <w:rsid w:val="00CB0A95"/>
    <w:rsid w:val="00CB141D"/>
    <w:rsid w:val="00CB154A"/>
    <w:rsid w:val="00CB1FB5"/>
    <w:rsid w:val="00CB2133"/>
    <w:rsid w:val="00CB244A"/>
    <w:rsid w:val="00CB2B66"/>
    <w:rsid w:val="00CB2DE3"/>
    <w:rsid w:val="00CB3BE3"/>
    <w:rsid w:val="00CB4E9C"/>
    <w:rsid w:val="00CB5251"/>
    <w:rsid w:val="00CB5A7B"/>
    <w:rsid w:val="00CB5E51"/>
    <w:rsid w:val="00CB5ECB"/>
    <w:rsid w:val="00CB6352"/>
    <w:rsid w:val="00CB6407"/>
    <w:rsid w:val="00CB65E1"/>
    <w:rsid w:val="00CB6AA4"/>
    <w:rsid w:val="00CB7180"/>
    <w:rsid w:val="00CB758E"/>
    <w:rsid w:val="00CB7CD6"/>
    <w:rsid w:val="00CB7F51"/>
    <w:rsid w:val="00CC0954"/>
    <w:rsid w:val="00CC0EFB"/>
    <w:rsid w:val="00CC0F5E"/>
    <w:rsid w:val="00CC110F"/>
    <w:rsid w:val="00CC236B"/>
    <w:rsid w:val="00CC243A"/>
    <w:rsid w:val="00CC2B3B"/>
    <w:rsid w:val="00CC336D"/>
    <w:rsid w:val="00CC370C"/>
    <w:rsid w:val="00CC37A6"/>
    <w:rsid w:val="00CC41A2"/>
    <w:rsid w:val="00CC48D5"/>
    <w:rsid w:val="00CC51AE"/>
    <w:rsid w:val="00CC6D8B"/>
    <w:rsid w:val="00CC79D4"/>
    <w:rsid w:val="00CC7A25"/>
    <w:rsid w:val="00CD0041"/>
    <w:rsid w:val="00CD07B8"/>
    <w:rsid w:val="00CD0820"/>
    <w:rsid w:val="00CD0854"/>
    <w:rsid w:val="00CD0C85"/>
    <w:rsid w:val="00CD0F20"/>
    <w:rsid w:val="00CD130E"/>
    <w:rsid w:val="00CD1766"/>
    <w:rsid w:val="00CD27E9"/>
    <w:rsid w:val="00CD30C4"/>
    <w:rsid w:val="00CD33B5"/>
    <w:rsid w:val="00CD385C"/>
    <w:rsid w:val="00CD3B07"/>
    <w:rsid w:val="00CD5370"/>
    <w:rsid w:val="00CD561D"/>
    <w:rsid w:val="00CD56A4"/>
    <w:rsid w:val="00CD5CB4"/>
    <w:rsid w:val="00CD5DE2"/>
    <w:rsid w:val="00CD5DF3"/>
    <w:rsid w:val="00CD64E9"/>
    <w:rsid w:val="00CD6E94"/>
    <w:rsid w:val="00CD7228"/>
    <w:rsid w:val="00CE0929"/>
    <w:rsid w:val="00CE12AA"/>
    <w:rsid w:val="00CE17F8"/>
    <w:rsid w:val="00CE2355"/>
    <w:rsid w:val="00CE2602"/>
    <w:rsid w:val="00CE27AA"/>
    <w:rsid w:val="00CE290B"/>
    <w:rsid w:val="00CE302B"/>
    <w:rsid w:val="00CE3233"/>
    <w:rsid w:val="00CE3755"/>
    <w:rsid w:val="00CE40C3"/>
    <w:rsid w:val="00CE4118"/>
    <w:rsid w:val="00CE493C"/>
    <w:rsid w:val="00CE5275"/>
    <w:rsid w:val="00CE55F9"/>
    <w:rsid w:val="00CE6480"/>
    <w:rsid w:val="00CE6492"/>
    <w:rsid w:val="00CE687D"/>
    <w:rsid w:val="00CE6B0C"/>
    <w:rsid w:val="00CE793E"/>
    <w:rsid w:val="00CE7CAC"/>
    <w:rsid w:val="00CE7F6B"/>
    <w:rsid w:val="00CF0675"/>
    <w:rsid w:val="00CF067D"/>
    <w:rsid w:val="00CF1372"/>
    <w:rsid w:val="00CF1779"/>
    <w:rsid w:val="00CF1A5F"/>
    <w:rsid w:val="00CF1AE9"/>
    <w:rsid w:val="00CF2120"/>
    <w:rsid w:val="00CF30FE"/>
    <w:rsid w:val="00CF3BF8"/>
    <w:rsid w:val="00CF41FA"/>
    <w:rsid w:val="00CF4487"/>
    <w:rsid w:val="00CF53D2"/>
    <w:rsid w:val="00CF54B3"/>
    <w:rsid w:val="00CF5B0D"/>
    <w:rsid w:val="00CF5FCF"/>
    <w:rsid w:val="00CF6387"/>
    <w:rsid w:val="00CF6EB0"/>
    <w:rsid w:val="00CF73C3"/>
    <w:rsid w:val="00CF7D39"/>
    <w:rsid w:val="00D00174"/>
    <w:rsid w:val="00D007FB"/>
    <w:rsid w:val="00D01197"/>
    <w:rsid w:val="00D014BC"/>
    <w:rsid w:val="00D01944"/>
    <w:rsid w:val="00D022F8"/>
    <w:rsid w:val="00D028DD"/>
    <w:rsid w:val="00D029F6"/>
    <w:rsid w:val="00D02A86"/>
    <w:rsid w:val="00D0322E"/>
    <w:rsid w:val="00D03CE3"/>
    <w:rsid w:val="00D03DA6"/>
    <w:rsid w:val="00D0491D"/>
    <w:rsid w:val="00D04B87"/>
    <w:rsid w:val="00D0566A"/>
    <w:rsid w:val="00D056E5"/>
    <w:rsid w:val="00D05754"/>
    <w:rsid w:val="00D05FE5"/>
    <w:rsid w:val="00D06A4F"/>
    <w:rsid w:val="00D06C3C"/>
    <w:rsid w:val="00D078E1"/>
    <w:rsid w:val="00D07D18"/>
    <w:rsid w:val="00D07DD4"/>
    <w:rsid w:val="00D11376"/>
    <w:rsid w:val="00D115A7"/>
    <w:rsid w:val="00D11612"/>
    <w:rsid w:val="00D11814"/>
    <w:rsid w:val="00D11941"/>
    <w:rsid w:val="00D11C28"/>
    <w:rsid w:val="00D12219"/>
    <w:rsid w:val="00D1237A"/>
    <w:rsid w:val="00D12701"/>
    <w:rsid w:val="00D12737"/>
    <w:rsid w:val="00D12DBF"/>
    <w:rsid w:val="00D13423"/>
    <w:rsid w:val="00D13662"/>
    <w:rsid w:val="00D1403A"/>
    <w:rsid w:val="00D14A01"/>
    <w:rsid w:val="00D1542C"/>
    <w:rsid w:val="00D15676"/>
    <w:rsid w:val="00D15797"/>
    <w:rsid w:val="00D1654F"/>
    <w:rsid w:val="00D16DB1"/>
    <w:rsid w:val="00D16E7A"/>
    <w:rsid w:val="00D177D2"/>
    <w:rsid w:val="00D17F46"/>
    <w:rsid w:val="00D20F60"/>
    <w:rsid w:val="00D21AAB"/>
    <w:rsid w:val="00D220D4"/>
    <w:rsid w:val="00D222BD"/>
    <w:rsid w:val="00D225E1"/>
    <w:rsid w:val="00D22652"/>
    <w:rsid w:val="00D22CAF"/>
    <w:rsid w:val="00D2328B"/>
    <w:rsid w:val="00D235F2"/>
    <w:rsid w:val="00D236E5"/>
    <w:rsid w:val="00D23953"/>
    <w:rsid w:val="00D240D4"/>
    <w:rsid w:val="00D24B9F"/>
    <w:rsid w:val="00D25641"/>
    <w:rsid w:val="00D25C28"/>
    <w:rsid w:val="00D26791"/>
    <w:rsid w:val="00D276A5"/>
    <w:rsid w:val="00D30426"/>
    <w:rsid w:val="00D305A1"/>
    <w:rsid w:val="00D3094B"/>
    <w:rsid w:val="00D30FB4"/>
    <w:rsid w:val="00D311F1"/>
    <w:rsid w:val="00D31CBF"/>
    <w:rsid w:val="00D31F8F"/>
    <w:rsid w:val="00D32106"/>
    <w:rsid w:val="00D323A5"/>
    <w:rsid w:val="00D32405"/>
    <w:rsid w:val="00D327F1"/>
    <w:rsid w:val="00D328E5"/>
    <w:rsid w:val="00D32DEA"/>
    <w:rsid w:val="00D332F3"/>
    <w:rsid w:val="00D3379E"/>
    <w:rsid w:val="00D33B9C"/>
    <w:rsid w:val="00D33E9E"/>
    <w:rsid w:val="00D34251"/>
    <w:rsid w:val="00D3485C"/>
    <w:rsid w:val="00D36E5E"/>
    <w:rsid w:val="00D3768B"/>
    <w:rsid w:val="00D37AE7"/>
    <w:rsid w:val="00D37FD7"/>
    <w:rsid w:val="00D401A4"/>
    <w:rsid w:val="00D40597"/>
    <w:rsid w:val="00D41353"/>
    <w:rsid w:val="00D414AA"/>
    <w:rsid w:val="00D4173A"/>
    <w:rsid w:val="00D41B4B"/>
    <w:rsid w:val="00D41F19"/>
    <w:rsid w:val="00D41F93"/>
    <w:rsid w:val="00D42106"/>
    <w:rsid w:val="00D4214D"/>
    <w:rsid w:val="00D42B4F"/>
    <w:rsid w:val="00D42B94"/>
    <w:rsid w:val="00D42BC4"/>
    <w:rsid w:val="00D4308B"/>
    <w:rsid w:val="00D43095"/>
    <w:rsid w:val="00D432BC"/>
    <w:rsid w:val="00D43461"/>
    <w:rsid w:val="00D436A4"/>
    <w:rsid w:val="00D436F5"/>
    <w:rsid w:val="00D43DD0"/>
    <w:rsid w:val="00D44199"/>
    <w:rsid w:val="00D4423D"/>
    <w:rsid w:val="00D442FA"/>
    <w:rsid w:val="00D446ED"/>
    <w:rsid w:val="00D44F57"/>
    <w:rsid w:val="00D45418"/>
    <w:rsid w:val="00D46087"/>
    <w:rsid w:val="00D46A25"/>
    <w:rsid w:val="00D47F19"/>
    <w:rsid w:val="00D50788"/>
    <w:rsid w:val="00D50BA2"/>
    <w:rsid w:val="00D50C9B"/>
    <w:rsid w:val="00D5153E"/>
    <w:rsid w:val="00D519DB"/>
    <w:rsid w:val="00D52A3C"/>
    <w:rsid w:val="00D52E94"/>
    <w:rsid w:val="00D5565A"/>
    <w:rsid w:val="00D55800"/>
    <w:rsid w:val="00D55807"/>
    <w:rsid w:val="00D55830"/>
    <w:rsid w:val="00D55C14"/>
    <w:rsid w:val="00D55FE8"/>
    <w:rsid w:val="00D562AD"/>
    <w:rsid w:val="00D569BB"/>
    <w:rsid w:val="00D572A1"/>
    <w:rsid w:val="00D573E3"/>
    <w:rsid w:val="00D57C04"/>
    <w:rsid w:val="00D57E52"/>
    <w:rsid w:val="00D6120D"/>
    <w:rsid w:val="00D6140C"/>
    <w:rsid w:val="00D61417"/>
    <w:rsid w:val="00D61A62"/>
    <w:rsid w:val="00D61B80"/>
    <w:rsid w:val="00D61FD8"/>
    <w:rsid w:val="00D62A42"/>
    <w:rsid w:val="00D62CBA"/>
    <w:rsid w:val="00D6304B"/>
    <w:rsid w:val="00D63B88"/>
    <w:rsid w:val="00D6405D"/>
    <w:rsid w:val="00D643BE"/>
    <w:rsid w:val="00D64700"/>
    <w:rsid w:val="00D653A0"/>
    <w:rsid w:val="00D6565C"/>
    <w:rsid w:val="00D664FB"/>
    <w:rsid w:val="00D6742F"/>
    <w:rsid w:val="00D6763D"/>
    <w:rsid w:val="00D67FF3"/>
    <w:rsid w:val="00D7094D"/>
    <w:rsid w:val="00D71A7F"/>
    <w:rsid w:val="00D71BD0"/>
    <w:rsid w:val="00D72860"/>
    <w:rsid w:val="00D73154"/>
    <w:rsid w:val="00D73550"/>
    <w:rsid w:val="00D73A73"/>
    <w:rsid w:val="00D74028"/>
    <w:rsid w:val="00D74079"/>
    <w:rsid w:val="00D7412C"/>
    <w:rsid w:val="00D74978"/>
    <w:rsid w:val="00D74A11"/>
    <w:rsid w:val="00D751D0"/>
    <w:rsid w:val="00D75CEC"/>
    <w:rsid w:val="00D76748"/>
    <w:rsid w:val="00D770F1"/>
    <w:rsid w:val="00D77110"/>
    <w:rsid w:val="00D77124"/>
    <w:rsid w:val="00D775B8"/>
    <w:rsid w:val="00D7789B"/>
    <w:rsid w:val="00D77D69"/>
    <w:rsid w:val="00D77E6D"/>
    <w:rsid w:val="00D80846"/>
    <w:rsid w:val="00D80EAA"/>
    <w:rsid w:val="00D80F94"/>
    <w:rsid w:val="00D817BD"/>
    <w:rsid w:val="00D81D71"/>
    <w:rsid w:val="00D83304"/>
    <w:rsid w:val="00D83539"/>
    <w:rsid w:val="00D83F3E"/>
    <w:rsid w:val="00D8445E"/>
    <w:rsid w:val="00D844F0"/>
    <w:rsid w:val="00D8465A"/>
    <w:rsid w:val="00D84F93"/>
    <w:rsid w:val="00D8549B"/>
    <w:rsid w:val="00D8648B"/>
    <w:rsid w:val="00D8712E"/>
    <w:rsid w:val="00D87497"/>
    <w:rsid w:val="00D87633"/>
    <w:rsid w:val="00D9009A"/>
    <w:rsid w:val="00D90811"/>
    <w:rsid w:val="00D90ACC"/>
    <w:rsid w:val="00D90F02"/>
    <w:rsid w:val="00D90FDE"/>
    <w:rsid w:val="00D91555"/>
    <w:rsid w:val="00D91940"/>
    <w:rsid w:val="00D91F5D"/>
    <w:rsid w:val="00D9252C"/>
    <w:rsid w:val="00D92663"/>
    <w:rsid w:val="00D92BAC"/>
    <w:rsid w:val="00D92E62"/>
    <w:rsid w:val="00D93EE7"/>
    <w:rsid w:val="00D949DB"/>
    <w:rsid w:val="00D94A47"/>
    <w:rsid w:val="00D94C1C"/>
    <w:rsid w:val="00D95184"/>
    <w:rsid w:val="00D951D4"/>
    <w:rsid w:val="00D95BF1"/>
    <w:rsid w:val="00D95D49"/>
    <w:rsid w:val="00D96199"/>
    <w:rsid w:val="00D9717A"/>
    <w:rsid w:val="00D974A0"/>
    <w:rsid w:val="00D97D7B"/>
    <w:rsid w:val="00D97F0D"/>
    <w:rsid w:val="00DA11FE"/>
    <w:rsid w:val="00DA142D"/>
    <w:rsid w:val="00DA14A9"/>
    <w:rsid w:val="00DA232E"/>
    <w:rsid w:val="00DA23A7"/>
    <w:rsid w:val="00DA2B75"/>
    <w:rsid w:val="00DA2BD6"/>
    <w:rsid w:val="00DA2DC8"/>
    <w:rsid w:val="00DA313D"/>
    <w:rsid w:val="00DA331B"/>
    <w:rsid w:val="00DA339F"/>
    <w:rsid w:val="00DA3B6D"/>
    <w:rsid w:val="00DA468B"/>
    <w:rsid w:val="00DA4832"/>
    <w:rsid w:val="00DA532A"/>
    <w:rsid w:val="00DA5A94"/>
    <w:rsid w:val="00DA5DAF"/>
    <w:rsid w:val="00DA6231"/>
    <w:rsid w:val="00DA6828"/>
    <w:rsid w:val="00DA6B50"/>
    <w:rsid w:val="00DA747B"/>
    <w:rsid w:val="00DA7750"/>
    <w:rsid w:val="00DA77CC"/>
    <w:rsid w:val="00DA7A45"/>
    <w:rsid w:val="00DA7BF8"/>
    <w:rsid w:val="00DB0B0E"/>
    <w:rsid w:val="00DB0B80"/>
    <w:rsid w:val="00DB0C5A"/>
    <w:rsid w:val="00DB0C74"/>
    <w:rsid w:val="00DB190B"/>
    <w:rsid w:val="00DB1B00"/>
    <w:rsid w:val="00DB1BE4"/>
    <w:rsid w:val="00DB1E2E"/>
    <w:rsid w:val="00DB2799"/>
    <w:rsid w:val="00DB31CB"/>
    <w:rsid w:val="00DB3626"/>
    <w:rsid w:val="00DB3E10"/>
    <w:rsid w:val="00DB3E39"/>
    <w:rsid w:val="00DB42F8"/>
    <w:rsid w:val="00DB4305"/>
    <w:rsid w:val="00DB4BB4"/>
    <w:rsid w:val="00DB4E88"/>
    <w:rsid w:val="00DB5AB0"/>
    <w:rsid w:val="00DB61FE"/>
    <w:rsid w:val="00DB640C"/>
    <w:rsid w:val="00DB7081"/>
    <w:rsid w:val="00DB7899"/>
    <w:rsid w:val="00DB7931"/>
    <w:rsid w:val="00DB7A67"/>
    <w:rsid w:val="00DB7DD5"/>
    <w:rsid w:val="00DB7E3D"/>
    <w:rsid w:val="00DC051D"/>
    <w:rsid w:val="00DC0836"/>
    <w:rsid w:val="00DC0CBB"/>
    <w:rsid w:val="00DC1B2F"/>
    <w:rsid w:val="00DC20A5"/>
    <w:rsid w:val="00DC218C"/>
    <w:rsid w:val="00DC3123"/>
    <w:rsid w:val="00DC3853"/>
    <w:rsid w:val="00DC3BD9"/>
    <w:rsid w:val="00DC3D29"/>
    <w:rsid w:val="00DC4589"/>
    <w:rsid w:val="00DC58DA"/>
    <w:rsid w:val="00DC62C3"/>
    <w:rsid w:val="00DC6BCA"/>
    <w:rsid w:val="00DC791A"/>
    <w:rsid w:val="00DD066D"/>
    <w:rsid w:val="00DD06D0"/>
    <w:rsid w:val="00DD0A6D"/>
    <w:rsid w:val="00DD0AF1"/>
    <w:rsid w:val="00DD10CF"/>
    <w:rsid w:val="00DD1113"/>
    <w:rsid w:val="00DD1158"/>
    <w:rsid w:val="00DD1810"/>
    <w:rsid w:val="00DD1B97"/>
    <w:rsid w:val="00DD1B98"/>
    <w:rsid w:val="00DD2C32"/>
    <w:rsid w:val="00DD3CB2"/>
    <w:rsid w:val="00DD44A3"/>
    <w:rsid w:val="00DD4F51"/>
    <w:rsid w:val="00DD5261"/>
    <w:rsid w:val="00DD6B9E"/>
    <w:rsid w:val="00DD6C53"/>
    <w:rsid w:val="00DD7AC3"/>
    <w:rsid w:val="00DD7F5F"/>
    <w:rsid w:val="00DE0367"/>
    <w:rsid w:val="00DE0B79"/>
    <w:rsid w:val="00DE0D6B"/>
    <w:rsid w:val="00DE0FDD"/>
    <w:rsid w:val="00DE1314"/>
    <w:rsid w:val="00DE1521"/>
    <w:rsid w:val="00DE1765"/>
    <w:rsid w:val="00DE1820"/>
    <w:rsid w:val="00DE199C"/>
    <w:rsid w:val="00DE1D14"/>
    <w:rsid w:val="00DE1D5B"/>
    <w:rsid w:val="00DE252D"/>
    <w:rsid w:val="00DE2AE5"/>
    <w:rsid w:val="00DE2E3B"/>
    <w:rsid w:val="00DE32A0"/>
    <w:rsid w:val="00DE341A"/>
    <w:rsid w:val="00DE38D9"/>
    <w:rsid w:val="00DE4451"/>
    <w:rsid w:val="00DE4B19"/>
    <w:rsid w:val="00DE4D65"/>
    <w:rsid w:val="00DE532E"/>
    <w:rsid w:val="00DE57EA"/>
    <w:rsid w:val="00DE592E"/>
    <w:rsid w:val="00DE5D54"/>
    <w:rsid w:val="00DE6173"/>
    <w:rsid w:val="00DE68D5"/>
    <w:rsid w:val="00DE691C"/>
    <w:rsid w:val="00DE7389"/>
    <w:rsid w:val="00DE7C10"/>
    <w:rsid w:val="00DF0884"/>
    <w:rsid w:val="00DF15DF"/>
    <w:rsid w:val="00DF1DF7"/>
    <w:rsid w:val="00DF2065"/>
    <w:rsid w:val="00DF229C"/>
    <w:rsid w:val="00DF23E0"/>
    <w:rsid w:val="00DF2703"/>
    <w:rsid w:val="00DF274C"/>
    <w:rsid w:val="00DF2898"/>
    <w:rsid w:val="00DF393B"/>
    <w:rsid w:val="00DF3A79"/>
    <w:rsid w:val="00DF4128"/>
    <w:rsid w:val="00DF4B35"/>
    <w:rsid w:val="00DF5B77"/>
    <w:rsid w:val="00DF6EF5"/>
    <w:rsid w:val="00DF7CFF"/>
    <w:rsid w:val="00DF7EB0"/>
    <w:rsid w:val="00E0045D"/>
    <w:rsid w:val="00E00532"/>
    <w:rsid w:val="00E00A7E"/>
    <w:rsid w:val="00E01383"/>
    <w:rsid w:val="00E013E8"/>
    <w:rsid w:val="00E013EA"/>
    <w:rsid w:val="00E0175C"/>
    <w:rsid w:val="00E01E60"/>
    <w:rsid w:val="00E02347"/>
    <w:rsid w:val="00E0263E"/>
    <w:rsid w:val="00E028D2"/>
    <w:rsid w:val="00E02A42"/>
    <w:rsid w:val="00E02E18"/>
    <w:rsid w:val="00E03489"/>
    <w:rsid w:val="00E0437B"/>
    <w:rsid w:val="00E052C4"/>
    <w:rsid w:val="00E05EDB"/>
    <w:rsid w:val="00E05F5D"/>
    <w:rsid w:val="00E06E0A"/>
    <w:rsid w:val="00E106BD"/>
    <w:rsid w:val="00E106EB"/>
    <w:rsid w:val="00E10BFA"/>
    <w:rsid w:val="00E11DAB"/>
    <w:rsid w:val="00E12721"/>
    <w:rsid w:val="00E12F33"/>
    <w:rsid w:val="00E1331F"/>
    <w:rsid w:val="00E1391D"/>
    <w:rsid w:val="00E14287"/>
    <w:rsid w:val="00E1429B"/>
    <w:rsid w:val="00E1461F"/>
    <w:rsid w:val="00E15A05"/>
    <w:rsid w:val="00E15F0C"/>
    <w:rsid w:val="00E16013"/>
    <w:rsid w:val="00E16A2E"/>
    <w:rsid w:val="00E16F5A"/>
    <w:rsid w:val="00E1764A"/>
    <w:rsid w:val="00E178D7"/>
    <w:rsid w:val="00E17E1A"/>
    <w:rsid w:val="00E20CB7"/>
    <w:rsid w:val="00E22081"/>
    <w:rsid w:val="00E221ED"/>
    <w:rsid w:val="00E225A4"/>
    <w:rsid w:val="00E22BBF"/>
    <w:rsid w:val="00E234F1"/>
    <w:rsid w:val="00E2351E"/>
    <w:rsid w:val="00E23A38"/>
    <w:rsid w:val="00E23C2E"/>
    <w:rsid w:val="00E23DF9"/>
    <w:rsid w:val="00E240C2"/>
    <w:rsid w:val="00E2443B"/>
    <w:rsid w:val="00E2464A"/>
    <w:rsid w:val="00E24BE0"/>
    <w:rsid w:val="00E24D0E"/>
    <w:rsid w:val="00E24EE7"/>
    <w:rsid w:val="00E25458"/>
    <w:rsid w:val="00E25983"/>
    <w:rsid w:val="00E25F08"/>
    <w:rsid w:val="00E2615D"/>
    <w:rsid w:val="00E26C82"/>
    <w:rsid w:val="00E26DB9"/>
    <w:rsid w:val="00E2796D"/>
    <w:rsid w:val="00E301A1"/>
    <w:rsid w:val="00E3039C"/>
    <w:rsid w:val="00E306E9"/>
    <w:rsid w:val="00E3093F"/>
    <w:rsid w:val="00E30B78"/>
    <w:rsid w:val="00E31B8B"/>
    <w:rsid w:val="00E31F7A"/>
    <w:rsid w:val="00E32377"/>
    <w:rsid w:val="00E32B49"/>
    <w:rsid w:val="00E340B9"/>
    <w:rsid w:val="00E34890"/>
    <w:rsid w:val="00E34E6F"/>
    <w:rsid w:val="00E34F5C"/>
    <w:rsid w:val="00E3636B"/>
    <w:rsid w:val="00E36CA6"/>
    <w:rsid w:val="00E36E50"/>
    <w:rsid w:val="00E37473"/>
    <w:rsid w:val="00E378AC"/>
    <w:rsid w:val="00E402BF"/>
    <w:rsid w:val="00E40978"/>
    <w:rsid w:val="00E40C53"/>
    <w:rsid w:val="00E40DC4"/>
    <w:rsid w:val="00E414C1"/>
    <w:rsid w:val="00E415CC"/>
    <w:rsid w:val="00E41636"/>
    <w:rsid w:val="00E41951"/>
    <w:rsid w:val="00E42692"/>
    <w:rsid w:val="00E43A5C"/>
    <w:rsid w:val="00E43D5D"/>
    <w:rsid w:val="00E44CAA"/>
    <w:rsid w:val="00E44EE7"/>
    <w:rsid w:val="00E45CD9"/>
    <w:rsid w:val="00E45FBB"/>
    <w:rsid w:val="00E46204"/>
    <w:rsid w:val="00E46B1F"/>
    <w:rsid w:val="00E46E9F"/>
    <w:rsid w:val="00E46EE4"/>
    <w:rsid w:val="00E47543"/>
    <w:rsid w:val="00E477BB"/>
    <w:rsid w:val="00E506B9"/>
    <w:rsid w:val="00E50E02"/>
    <w:rsid w:val="00E513D5"/>
    <w:rsid w:val="00E51475"/>
    <w:rsid w:val="00E514A1"/>
    <w:rsid w:val="00E51E13"/>
    <w:rsid w:val="00E51E4D"/>
    <w:rsid w:val="00E52F70"/>
    <w:rsid w:val="00E5414C"/>
    <w:rsid w:val="00E54F24"/>
    <w:rsid w:val="00E555CA"/>
    <w:rsid w:val="00E5572D"/>
    <w:rsid w:val="00E55ABB"/>
    <w:rsid w:val="00E55BB7"/>
    <w:rsid w:val="00E56067"/>
    <w:rsid w:val="00E562A6"/>
    <w:rsid w:val="00E563DA"/>
    <w:rsid w:val="00E57151"/>
    <w:rsid w:val="00E5780C"/>
    <w:rsid w:val="00E57B4D"/>
    <w:rsid w:val="00E60181"/>
    <w:rsid w:val="00E6020D"/>
    <w:rsid w:val="00E60467"/>
    <w:rsid w:val="00E60D08"/>
    <w:rsid w:val="00E60D5D"/>
    <w:rsid w:val="00E61EF5"/>
    <w:rsid w:val="00E62742"/>
    <w:rsid w:val="00E627F0"/>
    <w:rsid w:val="00E637AD"/>
    <w:rsid w:val="00E63862"/>
    <w:rsid w:val="00E63B94"/>
    <w:rsid w:val="00E63E2F"/>
    <w:rsid w:val="00E644DC"/>
    <w:rsid w:val="00E65103"/>
    <w:rsid w:val="00E6608B"/>
    <w:rsid w:val="00E6685C"/>
    <w:rsid w:val="00E66D8D"/>
    <w:rsid w:val="00E702A1"/>
    <w:rsid w:val="00E70572"/>
    <w:rsid w:val="00E707FE"/>
    <w:rsid w:val="00E70EA9"/>
    <w:rsid w:val="00E7218A"/>
    <w:rsid w:val="00E72814"/>
    <w:rsid w:val="00E728C8"/>
    <w:rsid w:val="00E73612"/>
    <w:rsid w:val="00E7459D"/>
    <w:rsid w:val="00E747D6"/>
    <w:rsid w:val="00E7528C"/>
    <w:rsid w:val="00E76070"/>
    <w:rsid w:val="00E762AA"/>
    <w:rsid w:val="00E76DB5"/>
    <w:rsid w:val="00E802BB"/>
    <w:rsid w:val="00E803DD"/>
    <w:rsid w:val="00E806AE"/>
    <w:rsid w:val="00E8092D"/>
    <w:rsid w:val="00E80C54"/>
    <w:rsid w:val="00E81402"/>
    <w:rsid w:val="00E81B2E"/>
    <w:rsid w:val="00E820F8"/>
    <w:rsid w:val="00E82BB6"/>
    <w:rsid w:val="00E82FAE"/>
    <w:rsid w:val="00E831B5"/>
    <w:rsid w:val="00E8370C"/>
    <w:rsid w:val="00E83775"/>
    <w:rsid w:val="00E83B40"/>
    <w:rsid w:val="00E83CCA"/>
    <w:rsid w:val="00E83F15"/>
    <w:rsid w:val="00E84137"/>
    <w:rsid w:val="00E842F9"/>
    <w:rsid w:val="00E843F3"/>
    <w:rsid w:val="00E853EB"/>
    <w:rsid w:val="00E85453"/>
    <w:rsid w:val="00E855BF"/>
    <w:rsid w:val="00E857B4"/>
    <w:rsid w:val="00E85970"/>
    <w:rsid w:val="00E86166"/>
    <w:rsid w:val="00E86658"/>
    <w:rsid w:val="00E86A6A"/>
    <w:rsid w:val="00E86BC9"/>
    <w:rsid w:val="00E86CB0"/>
    <w:rsid w:val="00E902AA"/>
    <w:rsid w:val="00E90525"/>
    <w:rsid w:val="00E90F8B"/>
    <w:rsid w:val="00E921C3"/>
    <w:rsid w:val="00E92BE7"/>
    <w:rsid w:val="00E9334A"/>
    <w:rsid w:val="00E93543"/>
    <w:rsid w:val="00E9454C"/>
    <w:rsid w:val="00E9495D"/>
    <w:rsid w:val="00E955B4"/>
    <w:rsid w:val="00E95F28"/>
    <w:rsid w:val="00E9603E"/>
    <w:rsid w:val="00E97133"/>
    <w:rsid w:val="00E97A10"/>
    <w:rsid w:val="00EA0A92"/>
    <w:rsid w:val="00EA0F52"/>
    <w:rsid w:val="00EA144C"/>
    <w:rsid w:val="00EA15C2"/>
    <w:rsid w:val="00EA1799"/>
    <w:rsid w:val="00EA2056"/>
    <w:rsid w:val="00EA247A"/>
    <w:rsid w:val="00EA24F7"/>
    <w:rsid w:val="00EA255A"/>
    <w:rsid w:val="00EA2B8A"/>
    <w:rsid w:val="00EA2ECC"/>
    <w:rsid w:val="00EA36F0"/>
    <w:rsid w:val="00EA3A10"/>
    <w:rsid w:val="00EA4C5C"/>
    <w:rsid w:val="00EA5ABF"/>
    <w:rsid w:val="00EA5B89"/>
    <w:rsid w:val="00EA5D4E"/>
    <w:rsid w:val="00EA6562"/>
    <w:rsid w:val="00EA6FB2"/>
    <w:rsid w:val="00EA7022"/>
    <w:rsid w:val="00EA7D43"/>
    <w:rsid w:val="00EB065F"/>
    <w:rsid w:val="00EB0B7D"/>
    <w:rsid w:val="00EB17DD"/>
    <w:rsid w:val="00EB1E69"/>
    <w:rsid w:val="00EB1F38"/>
    <w:rsid w:val="00EB2955"/>
    <w:rsid w:val="00EB2B6B"/>
    <w:rsid w:val="00EB2C31"/>
    <w:rsid w:val="00EB3724"/>
    <w:rsid w:val="00EB3C62"/>
    <w:rsid w:val="00EB3E1D"/>
    <w:rsid w:val="00EB434B"/>
    <w:rsid w:val="00EB4A64"/>
    <w:rsid w:val="00EB4ACE"/>
    <w:rsid w:val="00EB5277"/>
    <w:rsid w:val="00EB63DA"/>
    <w:rsid w:val="00EB65B6"/>
    <w:rsid w:val="00EB745A"/>
    <w:rsid w:val="00EB750F"/>
    <w:rsid w:val="00EC05B0"/>
    <w:rsid w:val="00EC09C9"/>
    <w:rsid w:val="00EC0BE8"/>
    <w:rsid w:val="00EC118B"/>
    <w:rsid w:val="00EC1946"/>
    <w:rsid w:val="00EC1AC3"/>
    <w:rsid w:val="00EC1DBC"/>
    <w:rsid w:val="00EC23B8"/>
    <w:rsid w:val="00EC2770"/>
    <w:rsid w:val="00EC2CCD"/>
    <w:rsid w:val="00EC3538"/>
    <w:rsid w:val="00EC48E3"/>
    <w:rsid w:val="00EC49A5"/>
    <w:rsid w:val="00EC4A69"/>
    <w:rsid w:val="00EC51CB"/>
    <w:rsid w:val="00EC52EF"/>
    <w:rsid w:val="00EC5564"/>
    <w:rsid w:val="00EC55AD"/>
    <w:rsid w:val="00EC5AE4"/>
    <w:rsid w:val="00EC5B47"/>
    <w:rsid w:val="00EC6466"/>
    <w:rsid w:val="00EC672E"/>
    <w:rsid w:val="00EC6843"/>
    <w:rsid w:val="00EC700F"/>
    <w:rsid w:val="00EC7FCC"/>
    <w:rsid w:val="00ED0B45"/>
    <w:rsid w:val="00ED14AC"/>
    <w:rsid w:val="00ED1AE1"/>
    <w:rsid w:val="00ED2575"/>
    <w:rsid w:val="00ED2E1D"/>
    <w:rsid w:val="00ED3073"/>
    <w:rsid w:val="00ED34C2"/>
    <w:rsid w:val="00ED3F7F"/>
    <w:rsid w:val="00ED7024"/>
    <w:rsid w:val="00ED77A9"/>
    <w:rsid w:val="00ED7871"/>
    <w:rsid w:val="00ED7E51"/>
    <w:rsid w:val="00ED7F31"/>
    <w:rsid w:val="00EE03CF"/>
    <w:rsid w:val="00EE0CE2"/>
    <w:rsid w:val="00EE1051"/>
    <w:rsid w:val="00EE10FE"/>
    <w:rsid w:val="00EE1A22"/>
    <w:rsid w:val="00EE2031"/>
    <w:rsid w:val="00EE273F"/>
    <w:rsid w:val="00EE2B6C"/>
    <w:rsid w:val="00EE3617"/>
    <w:rsid w:val="00EE4124"/>
    <w:rsid w:val="00EE42A0"/>
    <w:rsid w:val="00EE439D"/>
    <w:rsid w:val="00EE4666"/>
    <w:rsid w:val="00EE4C4D"/>
    <w:rsid w:val="00EE50FA"/>
    <w:rsid w:val="00EE53CB"/>
    <w:rsid w:val="00EE5974"/>
    <w:rsid w:val="00EE6022"/>
    <w:rsid w:val="00EE671B"/>
    <w:rsid w:val="00EE7034"/>
    <w:rsid w:val="00EE7120"/>
    <w:rsid w:val="00EE79AB"/>
    <w:rsid w:val="00EF00D1"/>
    <w:rsid w:val="00EF1A2D"/>
    <w:rsid w:val="00EF33E7"/>
    <w:rsid w:val="00EF38A2"/>
    <w:rsid w:val="00EF4026"/>
    <w:rsid w:val="00EF418D"/>
    <w:rsid w:val="00EF54EC"/>
    <w:rsid w:val="00EF55DE"/>
    <w:rsid w:val="00EF588E"/>
    <w:rsid w:val="00EF620B"/>
    <w:rsid w:val="00EF65A2"/>
    <w:rsid w:val="00EF68B5"/>
    <w:rsid w:val="00EF69C4"/>
    <w:rsid w:val="00EF69DA"/>
    <w:rsid w:val="00EF6BA9"/>
    <w:rsid w:val="00EF6C94"/>
    <w:rsid w:val="00EF71C5"/>
    <w:rsid w:val="00EF72CC"/>
    <w:rsid w:val="00EF799C"/>
    <w:rsid w:val="00EF7F35"/>
    <w:rsid w:val="00F00AEE"/>
    <w:rsid w:val="00F00CD8"/>
    <w:rsid w:val="00F00D6D"/>
    <w:rsid w:val="00F00E90"/>
    <w:rsid w:val="00F01034"/>
    <w:rsid w:val="00F013B2"/>
    <w:rsid w:val="00F01434"/>
    <w:rsid w:val="00F0190F"/>
    <w:rsid w:val="00F01E85"/>
    <w:rsid w:val="00F01FB1"/>
    <w:rsid w:val="00F02071"/>
    <w:rsid w:val="00F02110"/>
    <w:rsid w:val="00F0248F"/>
    <w:rsid w:val="00F02B55"/>
    <w:rsid w:val="00F03A64"/>
    <w:rsid w:val="00F0451A"/>
    <w:rsid w:val="00F04E31"/>
    <w:rsid w:val="00F0512B"/>
    <w:rsid w:val="00F056D6"/>
    <w:rsid w:val="00F05C1E"/>
    <w:rsid w:val="00F05E6F"/>
    <w:rsid w:val="00F06083"/>
    <w:rsid w:val="00F060AA"/>
    <w:rsid w:val="00F060EE"/>
    <w:rsid w:val="00F0660B"/>
    <w:rsid w:val="00F06A0A"/>
    <w:rsid w:val="00F06C16"/>
    <w:rsid w:val="00F06D19"/>
    <w:rsid w:val="00F06FF7"/>
    <w:rsid w:val="00F07440"/>
    <w:rsid w:val="00F074A3"/>
    <w:rsid w:val="00F0762C"/>
    <w:rsid w:val="00F07883"/>
    <w:rsid w:val="00F07E94"/>
    <w:rsid w:val="00F10B5E"/>
    <w:rsid w:val="00F10C38"/>
    <w:rsid w:val="00F11136"/>
    <w:rsid w:val="00F11830"/>
    <w:rsid w:val="00F11C22"/>
    <w:rsid w:val="00F11C78"/>
    <w:rsid w:val="00F12133"/>
    <w:rsid w:val="00F12708"/>
    <w:rsid w:val="00F12A78"/>
    <w:rsid w:val="00F12BCC"/>
    <w:rsid w:val="00F134C9"/>
    <w:rsid w:val="00F1386F"/>
    <w:rsid w:val="00F13E63"/>
    <w:rsid w:val="00F1424E"/>
    <w:rsid w:val="00F14694"/>
    <w:rsid w:val="00F15110"/>
    <w:rsid w:val="00F15759"/>
    <w:rsid w:val="00F15819"/>
    <w:rsid w:val="00F159E2"/>
    <w:rsid w:val="00F15BD1"/>
    <w:rsid w:val="00F1616C"/>
    <w:rsid w:val="00F163C2"/>
    <w:rsid w:val="00F1653E"/>
    <w:rsid w:val="00F16E42"/>
    <w:rsid w:val="00F17B02"/>
    <w:rsid w:val="00F17EED"/>
    <w:rsid w:val="00F20307"/>
    <w:rsid w:val="00F228C1"/>
    <w:rsid w:val="00F22A45"/>
    <w:rsid w:val="00F22CD8"/>
    <w:rsid w:val="00F23790"/>
    <w:rsid w:val="00F2443C"/>
    <w:rsid w:val="00F24DD4"/>
    <w:rsid w:val="00F25879"/>
    <w:rsid w:val="00F25923"/>
    <w:rsid w:val="00F25C07"/>
    <w:rsid w:val="00F25CC3"/>
    <w:rsid w:val="00F25F16"/>
    <w:rsid w:val="00F26222"/>
    <w:rsid w:val="00F2693C"/>
    <w:rsid w:val="00F271CA"/>
    <w:rsid w:val="00F2742B"/>
    <w:rsid w:val="00F275FD"/>
    <w:rsid w:val="00F300A1"/>
    <w:rsid w:val="00F30225"/>
    <w:rsid w:val="00F30487"/>
    <w:rsid w:val="00F304E3"/>
    <w:rsid w:val="00F30CCE"/>
    <w:rsid w:val="00F312AE"/>
    <w:rsid w:val="00F313CB"/>
    <w:rsid w:val="00F31AE9"/>
    <w:rsid w:val="00F31D88"/>
    <w:rsid w:val="00F32C7A"/>
    <w:rsid w:val="00F32FB6"/>
    <w:rsid w:val="00F33355"/>
    <w:rsid w:val="00F3364C"/>
    <w:rsid w:val="00F33E7D"/>
    <w:rsid w:val="00F34171"/>
    <w:rsid w:val="00F342BD"/>
    <w:rsid w:val="00F351E5"/>
    <w:rsid w:val="00F35D1C"/>
    <w:rsid w:val="00F36D3D"/>
    <w:rsid w:val="00F37208"/>
    <w:rsid w:val="00F401D0"/>
    <w:rsid w:val="00F40758"/>
    <w:rsid w:val="00F40872"/>
    <w:rsid w:val="00F40DF4"/>
    <w:rsid w:val="00F40FC6"/>
    <w:rsid w:val="00F41829"/>
    <w:rsid w:val="00F4192F"/>
    <w:rsid w:val="00F41B0E"/>
    <w:rsid w:val="00F41D6F"/>
    <w:rsid w:val="00F41D7A"/>
    <w:rsid w:val="00F41DA5"/>
    <w:rsid w:val="00F4217F"/>
    <w:rsid w:val="00F42329"/>
    <w:rsid w:val="00F4288C"/>
    <w:rsid w:val="00F42904"/>
    <w:rsid w:val="00F431ED"/>
    <w:rsid w:val="00F43883"/>
    <w:rsid w:val="00F43E36"/>
    <w:rsid w:val="00F43EDD"/>
    <w:rsid w:val="00F43FB9"/>
    <w:rsid w:val="00F4414F"/>
    <w:rsid w:val="00F448EE"/>
    <w:rsid w:val="00F44BB4"/>
    <w:rsid w:val="00F456C8"/>
    <w:rsid w:val="00F45B87"/>
    <w:rsid w:val="00F4653E"/>
    <w:rsid w:val="00F4669C"/>
    <w:rsid w:val="00F469CB"/>
    <w:rsid w:val="00F46DD7"/>
    <w:rsid w:val="00F47374"/>
    <w:rsid w:val="00F477B4"/>
    <w:rsid w:val="00F47FCD"/>
    <w:rsid w:val="00F501E8"/>
    <w:rsid w:val="00F504CD"/>
    <w:rsid w:val="00F507E8"/>
    <w:rsid w:val="00F50908"/>
    <w:rsid w:val="00F50979"/>
    <w:rsid w:val="00F51209"/>
    <w:rsid w:val="00F513CD"/>
    <w:rsid w:val="00F518DC"/>
    <w:rsid w:val="00F51CC8"/>
    <w:rsid w:val="00F520A6"/>
    <w:rsid w:val="00F52F4D"/>
    <w:rsid w:val="00F54418"/>
    <w:rsid w:val="00F55C43"/>
    <w:rsid w:val="00F5617C"/>
    <w:rsid w:val="00F56B3D"/>
    <w:rsid w:val="00F57358"/>
    <w:rsid w:val="00F573B0"/>
    <w:rsid w:val="00F573E5"/>
    <w:rsid w:val="00F57733"/>
    <w:rsid w:val="00F57EFB"/>
    <w:rsid w:val="00F57F02"/>
    <w:rsid w:val="00F600A4"/>
    <w:rsid w:val="00F600DB"/>
    <w:rsid w:val="00F60457"/>
    <w:rsid w:val="00F6051F"/>
    <w:rsid w:val="00F6081A"/>
    <w:rsid w:val="00F60B6A"/>
    <w:rsid w:val="00F61EFE"/>
    <w:rsid w:val="00F62179"/>
    <w:rsid w:val="00F62860"/>
    <w:rsid w:val="00F6296F"/>
    <w:rsid w:val="00F62ECA"/>
    <w:rsid w:val="00F62F42"/>
    <w:rsid w:val="00F63400"/>
    <w:rsid w:val="00F637F0"/>
    <w:rsid w:val="00F63FDF"/>
    <w:rsid w:val="00F64146"/>
    <w:rsid w:val="00F64511"/>
    <w:rsid w:val="00F64514"/>
    <w:rsid w:val="00F64C5F"/>
    <w:rsid w:val="00F65784"/>
    <w:rsid w:val="00F657C7"/>
    <w:rsid w:val="00F65820"/>
    <w:rsid w:val="00F65A1C"/>
    <w:rsid w:val="00F660B3"/>
    <w:rsid w:val="00F662C6"/>
    <w:rsid w:val="00F6651B"/>
    <w:rsid w:val="00F6661D"/>
    <w:rsid w:val="00F66941"/>
    <w:rsid w:val="00F669C8"/>
    <w:rsid w:val="00F66A34"/>
    <w:rsid w:val="00F66F50"/>
    <w:rsid w:val="00F67400"/>
    <w:rsid w:val="00F67EFC"/>
    <w:rsid w:val="00F704D1"/>
    <w:rsid w:val="00F70DE0"/>
    <w:rsid w:val="00F7189D"/>
    <w:rsid w:val="00F72327"/>
    <w:rsid w:val="00F729D6"/>
    <w:rsid w:val="00F72B3E"/>
    <w:rsid w:val="00F72DA4"/>
    <w:rsid w:val="00F72EDE"/>
    <w:rsid w:val="00F73490"/>
    <w:rsid w:val="00F7358E"/>
    <w:rsid w:val="00F736FE"/>
    <w:rsid w:val="00F73A62"/>
    <w:rsid w:val="00F73C20"/>
    <w:rsid w:val="00F75046"/>
    <w:rsid w:val="00F755E2"/>
    <w:rsid w:val="00F75FFA"/>
    <w:rsid w:val="00F76AE9"/>
    <w:rsid w:val="00F76D24"/>
    <w:rsid w:val="00F77222"/>
    <w:rsid w:val="00F773E1"/>
    <w:rsid w:val="00F774BF"/>
    <w:rsid w:val="00F800E3"/>
    <w:rsid w:val="00F811A6"/>
    <w:rsid w:val="00F81EFD"/>
    <w:rsid w:val="00F82971"/>
    <w:rsid w:val="00F82C38"/>
    <w:rsid w:val="00F82D72"/>
    <w:rsid w:val="00F83B47"/>
    <w:rsid w:val="00F84154"/>
    <w:rsid w:val="00F84889"/>
    <w:rsid w:val="00F84A8E"/>
    <w:rsid w:val="00F850B2"/>
    <w:rsid w:val="00F850CF"/>
    <w:rsid w:val="00F8537B"/>
    <w:rsid w:val="00F855AD"/>
    <w:rsid w:val="00F8599C"/>
    <w:rsid w:val="00F85B83"/>
    <w:rsid w:val="00F85D99"/>
    <w:rsid w:val="00F871C2"/>
    <w:rsid w:val="00F876F8"/>
    <w:rsid w:val="00F906A1"/>
    <w:rsid w:val="00F90BD8"/>
    <w:rsid w:val="00F91818"/>
    <w:rsid w:val="00F91AB2"/>
    <w:rsid w:val="00F91D6E"/>
    <w:rsid w:val="00F92079"/>
    <w:rsid w:val="00F92A6B"/>
    <w:rsid w:val="00F933FE"/>
    <w:rsid w:val="00F934B5"/>
    <w:rsid w:val="00F93E75"/>
    <w:rsid w:val="00F948E6"/>
    <w:rsid w:val="00F94D47"/>
    <w:rsid w:val="00F960F6"/>
    <w:rsid w:val="00F9611C"/>
    <w:rsid w:val="00F9654F"/>
    <w:rsid w:val="00F969BC"/>
    <w:rsid w:val="00F96C5D"/>
    <w:rsid w:val="00F96DFC"/>
    <w:rsid w:val="00F970F5"/>
    <w:rsid w:val="00F97236"/>
    <w:rsid w:val="00F97A7B"/>
    <w:rsid w:val="00F97BC0"/>
    <w:rsid w:val="00F97C91"/>
    <w:rsid w:val="00FA0C58"/>
    <w:rsid w:val="00FA1547"/>
    <w:rsid w:val="00FA1595"/>
    <w:rsid w:val="00FA2861"/>
    <w:rsid w:val="00FA33F9"/>
    <w:rsid w:val="00FA3574"/>
    <w:rsid w:val="00FA4440"/>
    <w:rsid w:val="00FA4666"/>
    <w:rsid w:val="00FA5326"/>
    <w:rsid w:val="00FA5A26"/>
    <w:rsid w:val="00FA5A82"/>
    <w:rsid w:val="00FA5D5E"/>
    <w:rsid w:val="00FA6247"/>
    <w:rsid w:val="00FA6357"/>
    <w:rsid w:val="00FA69E1"/>
    <w:rsid w:val="00FA6FB8"/>
    <w:rsid w:val="00FA7305"/>
    <w:rsid w:val="00FA7768"/>
    <w:rsid w:val="00FB0F4C"/>
    <w:rsid w:val="00FB1157"/>
    <w:rsid w:val="00FB1A43"/>
    <w:rsid w:val="00FB23E5"/>
    <w:rsid w:val="00FB2BD6"/>
    <w:rsid w:val="00FB2BFA"/>
    <w:rsid w:val="00FB2D9B"/>
    <w:rsid w:val="00FB2DCB"/>
    <w:rsid w:val="00FB338B"/>
    <w:rsid w:val="00FB3CBE"/>
    <w:rsid w:val="00FB4AE5"/>
    <w:rsid w:val="00FB4B97"/>
    <w:rsid w:val="00FB4C00"/>
    <w:rsid w:val="00FB521C"/>
    <w:rsid w:val="00FB66DE"/>
    <w:rsid w:val="00FB6A2C"/>
    <w:rsid w:val="00FB6FEB"/>
    <w:rsid w:val="00FC0206"/>
    <w:rsid w:val="00FC04B1"/>
    <w:rsid w:val="00FC0569"/>
    <w:rsid w:val="00FC0F46"/>
    <w:rsid w:val="00FC13A7"/>
    <w:rsid w:val="00FC152E"/>
    <w:rsid w:val="00FC1F0C"/>
    <w:rsid w:val="00FC2758"/>
    <w:rsid w:val="00FC3A2C"/>
    <w:rsid w:val="00FC4E89"/>
    <w:rsid w:val="00FC572D"/>
    <w:rsid w:val="00FC5B17"/>
    <w:rsid w:val="00FC64E8"/>
    <w:rsid w:val="00FC6E9D"/>
    <w:rsid w:val="00FC6F74"/>
    <w:rsid w:val="00FC72C2"/>
    <w:rsid w:val="00FD006F"/>
    <w:rsid w:val="00FD0A10"/>
    <w:rsid w:val="00FD0DD8"/>
    <w:rsid w:val="00FD11A7"/>
    <w:rsid w:val="00FD24F8"/>
    <w:rsid w:val="00FD2A11"/>
    <w:rsid w:val="00FD2A3C"/>
    <w:rsid w:val="00FD2D7F"/>
    <w:rsid w:val="00FD315D"/>
    <w:rsid w:val="00FD3E0C"/>
    <w:rsid w:val="00FD3F97"/>
    <w:rsid w:val="00FD4A20"/>
    <w:rsid w:val="00FD5734"/>
    <w:rsid w:val="00FD5E64"/>
    <w:rsid w:val="00FD61BC"/>
    <w:rsid w:val="00FD632F"/>
    <w:rsid w:val="00FD6363"/>
    <w:rsid w:val="00FD740D"/>
    <w:rsid w:val="00FD7760"/>
    <w:rsid w:val="00FD7AFE"/>
    <w:rsid w:val="00FD7BD7"/>
    <w:rsid w:val="00FE0D29"/>
    <w:rsid w:val="00FE14DA"/>
    <w:rsid w:val="00FE1BE5"/>
    <w:rsid w:val="00FE1C40"/>
    <w:rsid w:val="00FE1CBE"/>
    <w:rsid w:val="00FE20B2"/>
    <w:rsid w:val="00FE334F"/>
    <w:rsid w:val="00FE3C2F"/>
    <w:rsid w:val="00FE476D"/>
    <w:rsid w:val="00FE5818"/>
    <w:rsid w:val="00FE5DF6"/>
    <w:rsid w:val="00FE5EF1"/>
    <w:rsid w:val="00FE6798"/>
    <w:rsid w:val="00FE7452"/>
    <w:rsid w:val="00FE791C"/>
    <w:rsid w:val="00FE7AB2"/>
    <w:rsid w:val="00FF00BE"/>
    <w:rsid w:val="00FF0594"/>
    <w:rsid w:val="00FF0773"/>
    <w:rsid w:val="00FF1033"/>
    <w:rsid w:val="00FF1BDC"/>
    <w:rsid w:val="00FF2FC1"/>
    <w:rsid w:val="00FF31EC"/>
    <w:rsid w:val="00FF34EC"/>
    <w:rsid w:val="00FF354B"/>
    <w:rsid w:val="00FF359B"/>
    <w:rsid w:val="00FF3C47"/>
    <w:rsid w:val="00FF3C67"/>
    <w:rsid w:val="00FF3D03"/>
    <w:rsid w:val="00FF558F"/>
    <w:rsid w:val="00FF5651"/>
    <w:rsid w:val="00FF62CC"/>
    <w:rsid w:val="00FF653D"/>
    <w:rsid w:val="00FF6738"/>
    <w:rsid w:val="00FF67A0"/>
    <w:rsid w:val="00FF6B7C"/>
    <w:rsid w:val="00FF6EA5"/>
    <w:rsid w:val="00FF7A1D"/>
    <w:rsid w:val="00FF7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8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3386"/>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657DC9"/>
    <w:pPr>
      <w:keepNext/>
      <w:spacing w:before="24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657DC9"/>
    <w:pPr>
      <w:keepNext/>
      <w:spacing w:before="24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657DC9"/>
    <w:pPr>
      <w:keepNext/>
      <w:spacing w:before="240"/>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657DC9"/>
    <w:pPr>
      <w:keepNext/>
      <w:spacing w:before="240"/>
      <w:outlineLvl w:val="3"/>
    </w:pPr>
    <w:rPr>
      <w:rFonts w:ascii="Calibri" w:eastAsia="SimSun" w:hAnsi="Calibri" w:cs="Times New Roman"/>
      <w:b/>
      <w:bCs/>
      <w:sz w:val="28"/>
      <w:szCs w:val="28"/>
      <w:lang w:eastAsia="zh-CN"/>
    </w:rPr>
  </w:style>
  <w:style w:type="paragraph" w:styleId="Heading5">
    <w:name w:val="heading 5"/>
    <w:basedOn w:val="Normal"/>
    <w:next w:val="Normal"/>
    <w:link w:val="Heading5Char"/>
    <w:qFormat/>
    <w:rsid w:val="00657DC9"/>
    <w:pPr>
      <w:spacing w:before="240"/>
      <w:outlineLvl w:val="4"/>
    </w:pPr>
    <w:rPr>
      <w:rFonts w:ascii="Calibri" w:eastAsia="SimSun" w:hAnsi="Calibri" w:cs="Times New Roman"/>
      <w:b/>
      <w:bCs/>
      <w:i/>
      <w:iCs/>
      <w:sz w:val="26"/>
      <w:szCs w:val="26"/>
      <w:lang w:eastAsia="zh-CN"/>
    </w:rPr>
  </w:style>
  <w:style w:type="paragraph" w:styleId="Heading6">
    <w:name w:val="heading 6"/>
    <w:basedOn w:val="Normal"/>
    <w:next w:val="Normal"/>
    <w:link w:val="Heading6Char"/>
    <w:qFormat/>
    <w:rsid w:val="00657DC9"/>
    <w:pPr>
      <w:spacing w:before="240"/>
      <w:outlineLvl w:val="5"/>
    </w:pPr>
    <w:rPr>
      <w:rFonts w:ascii="Calibri" w:eastAsia="SimSun" w:hAnsi="Calibri" w:cs="Times New Roman"/>
      <w:b/>
      <w:bCs/>
      <w:szCs w:val="22"/>
      <w:lang w:eastAsia="zh-CN"/>
    </w:rPr>
  </w:style>
  <w:style w:type="paragraph" w:styleId="Heading7">
    <w:name w:val="heading 7"/>
    <w:basedOn w:val="Normal"/>
    <w:next w:val="Normal"/>
    <w:link w:val="Heading7Char"/>
    <w:qFormat/>
    <w:rsid w:val="00657DC9"/>
    <w:pPr>
      <w:spacing w:before="240"/>
      <w:outlineLvl w:val="6"/>
    </w:pPr>
    <w:rPr>
      <w:rFonts w:ascii="Calibri" w:eastAsia="SimSun" w:hAnsi="Calibri" w:cs="Times New Roman"/>
      <w:sz w:val="16"/>
      <w:szCs w:val="22"/>
      <w:lang w:eastAsia="zh-CN"/>
    </w:rPr>
  </w:style>
  <w:style w:type="paragraph" w:styleId="Heading8">
    <w:name w:val="heading 8"/>
    <w:basedOn w:val="Normal"/>
    <w:next w:val="Normal"/>
    <w:link w:val="Heading8Char"/>
    <w:qFormat/>
    <w:rsid w:val="00657DC9"/>
    <w:pPr>
      <w:spacing w:before="240"/>
      <w:outlineLvl w:val="7"/>
    </w:pPr>
    <w:rPr>
      <w:rFonts w:ascii="Calibri" w:eastAsia="SimSun" w:hAnsi="Calibri" w:cs="Times New Roman"/>
      <w:i/>
      <w:iCs/>
      <w:sz w:val="16"/>
      <w:szCs w:val="22"/>
      <w:lang w:eastAsia="zh-CN"/>
    </w:rPr>
  </w:style>
  <w:style w:type="paragraph" w:styleId="Heading9">
    <w:name w:val="heading 9"/>
    <w:basedOn w:val="Normal"/>
    <w:next w:val="Normal"/>
    <w:link w:val="Heading9Char"/>
    <w:qFormat/>
    <w:rsid w:val="00657DC9"/>
    <w:pPr>
      <w:spacing w:before="240"/>
      <w:outlineLvl w:val="8"/>
    </w:pPr>
    <w:rPr>
      <w:rFonts w:ascii="Arial" w:eastAsia="SimSun" w:hAnsi="Arial" w:cs="Arial"/>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63386"/>
    <w:pPr>
      <w:tabs>
        <w:tab w:val="center" w:pos="4153"/>
        <w:tab w:val="right" w:pos="8306"/>
      </w:tabs>
    </w:pPr>
    <w:rPr>
      <w:sz w:val="22"/>
      <w:szCs w:val="24"/>
    </w:rPr>
  </w:style>
  <w:style w:type="numbering" w:styleId="111111">
    <w:name w:val="Outline List 2"/>
    <w:basedOn w:val="NoList"/>
    <w:rsid w:val="009A56D1"/>
    <w:pPr>
      <w:numPr>
        <w:numId w:val="2"/>
      </w:numPr>
    </w:pPr>
  </w:style>
  <w:style w:type="numbering" w:styleId="1ai">
    <w:name w:val="Outline List 1"/>
    <w:basedOn w:val="NoList"/>
    <w:rsid w:val="009A56D1"/>
    <w:pPr>
      <w:numPr>
        <w:numId w:val="3"/>
      </w:numPr>
    </w:pPr>
  </w:style>
  <w:style w:type="numbering" w:styleId="ArticleSection">
    <w:name w:val="Outline List 3"/>
    <w:basedOn w:val="NoList"/>
    <w:rsid w:val="009A56D1"/>
    <w:pPr>
      <w:numPr>
        <w:numId w:val="1"/>
      </w:numPr>
    </w:pPr>
  </w:style>
  <w:style w:type="paragraph" w:styleId="BlockText">
    <w:name w:val="Block Text"/>
    <w:basedOn w:val="Normal"/>
    <w:rsid w:val="009A56D1"/>
    <w:pPr>
      <w:spacing w:after="120"/>
      <w:ind w:left="1440" w:right="1440"/>
    </w:pPr>
  </w:style>
  <w:style w:type="paragraph" w:styleId="BodyText">
    <w:name w:val="Body Text"/>
    <w:basedOn w:val="Normal"/>
    <w:link w:val="BodyTextChar"/>
    <w:rsid w:val="009A56D1"/>
    <w:pPr>
      <w:spacing w:after="120"/>
    </w:pPr>
  </w:style>
  <w:style w:type="paragraph" w:styleId="BodyText2">
    <w:name w:val="Body Text 2"/>
    <w:basedOn w:val="Normal"/>
    <w:link w:val="BodyText2Char"/>
    <w:rsid w:val="009A56D1"/>
    <w:pPr>
      <w:spacing w:after="120" w:line="480" w:lineRule="auto"/>
    </w:pPr>
  </w:style>
  <w:style w:type="paragraph" w:styleId="BodyText3">
    <w:name w:val="Body Text 3"/>
    <w:basedOn w:val="Normal"/>
    <w:link w:val="BodyText3Char"/>
    <w:rsid w:val="009A56D1"/>
    <w:pPr>
      <w:spacing w:after="120"/>
    </w:pPr>
    <w:rPr>
      <w:szCs w:val="16"/>
    </w:rPr>
  </w:style>
  <w:style w:type="paragraph" w:styleId="BodyTextFirstIndent">
    <w:name w:val="Body Text First Indent"/>
    <w:basedOn w:val="BodyText"/>
    <w:link w:val="BodyTextFirstIndentChar"/>
    <w:rsid w:val="009A56D1"/>
    <w:pPr>
      <w:ind w:firstLine="210"/>
    </w:pPr>
  </w:style>
  <w:style w:type="paragraph" w:styleId="BodyTextIndent">
    <w:name w:val="Body Text Indent"/>
    <w:basedOn w:val="Normal"/>
    <w:link w:val="BodyTextIndentChar"/>
    <w:rsid w:val="009A56D1"/>
    <w:pPr>
      <w:spacing w:after="120"/>
      <w:ind w:left="283"/>
    </w:pPr>
  </w:style>
  <w:style w:type="paragraph" w:styleId="BodyTextFirstIndent2">
    <w:name w:val="Body Text First Indent 2"/>
    <w:basedOn w:val="BodyTextIndent"/>
    <w:link w:val="BodyTextFirstIndent2Char"/>
    <w:rsid w:val="009A56D1"/>
    <w:pPr>
      <w:ind w:firstLine="210"/>
    </w:pPr>
  </w:style>
  <w:style w:type="paragraph" w:styleId="BodyTextIndent2">
    <w:name w:val="Body Text Indent 2"/>
    <w:basedOn w:val="Normal"/>
    <w:link w:val="BodyTextIndent2Char"/>
    <w:rsid w:val="009A56D1"/>
    <w:pPr>
      <w:spacing w:after="120" w:line="480" w:lineRule="auto"/>
      <w:ind w:left="283"/>
    </w:pPr>
  </w:style>
  <w:style w:type="paragraph" w:styleId="BodyTextIndent3">
    <w:name w:val="Body Text Indent 3"/>
    <w:basedOn w:val="Normal"/>
    <w:link w:val="BodyTextIndent3Char"/>
    <w:rsid w:val="009A56D1"/>
    <w:pPr>
      <w:spacing w:after="120"/>
      <w:ind w:left="283"/>
    </w:pPr>
    <w:rPr>
      <w:szCs w:val="16"/>
    </w:rPr>
  </w:style>
  <w:style w:type="paragraph" w:styleId="Closing">
    <w:name w:val="Closing"/>
    <w:basedOn w:val="Normal"/>
    <w:link w:val="ClosingChar"/>
    <w:rsid w:val="009A56D1"/>
    <w:pPr>
      <w:ind w:left="4252"/>
    </w:pPr>
  </w:style>
  <w:style w:type="paragraph" w:styleId="Date">
    <w:name w:val="Date"/>
    <w:basedOn w:val="Normal"/>
    <w:next w:val="Normal"/>
    <w:link w:val="DateChar"/>
    <w:rsid w:val="009A56D1"/>
  </w:style>
  <w:style w:type="paragraph" w:styleId="E-mailSignature">
    <w:name w:val="E-mail Signature"/>
    <w:basedOn w:val="Normal"/>
    <w:link w:val="E-mailSignatureChar"/>
    <w:rsid w:val="009A56D1"/>
  </w:style>
  <w:style w:type="character" w:styleId="Emphasis">
    <w:name w:val="Emphasis"/>
    <w:basedOn w:val="DefaultParagraphFont"/>
    <w:qFormat/>
    <w:rsid w:val="00657DC9"/>
    <w:rPr>
      <w:i/>
      <w:iCs/>
    </w:rPr>
  </w:style>
  <w:style w:type="paragraph" w:styleId="EnvelopeAddress">
    <w:name w:val="envelope address"/>
    <w:basedOn w:val="Normal"/>
    <w:rsid w:val="009A56D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A56D1"/>
    <w:rPr>
      <w:rFonts w:ascii="Arial" w:hAnsi="Arial" w:cs="Arial"/>
      <w:sz w:val="20"/>
    </w:rPr>
  </w:style>
  <w:style w:type="character" w:styleId="FollowedHyperlink">
    <w:name w:val="FollowedHyperlink"/>
    <w:basedOn w:val="DefaultParagraphFont"/>
    <w:rsid w:val="009A56D1"/>
    <w:rPr>
      <w:color w:val="800080"/>
      <w:u w:val="single"/>
    </w:rPr>
  </w:style>
  <w:style w:type="paragraph" w:styleId="Header">
    <w:name w:val="header"/>
    <w:basedOn w:val="OPCParaBase"/>
    <w:link w:val="HeaderChar"/>
    <w:unhideWhenUsed/>
    <w:rsid w:val="00463386"/>
    <w:pPr>
      <w:keepNext/>
      <w:keepLines/>
      <w:tabs>
        <w:tab w:val="center" w:pos="4150"/>
        <w:tab w:val="right" w:pos="8307"/>
      </w:tabs>
      <w:spacing w:line="160" w:lineRule="exact"/>
    </w:pPr>
    <w:rPr>
      <w:sz w:val="16"/>
    </w:rPr>
  </w:style>
  <w:style w:type="character" w:styleId="HTMLAcronym">
    <w:name w:val="HTML Acronym"/>
    <w:basedOn w:val="DefaultParagraphFont"/>
    <w:rsid w:val="009A56D1"/>
  </w:style>
  <w:style w:type="paragraph" w:styleId="HTMLAddress">
    <w:name w:val="HTML Address"/>
    <w:basedOn w:val="Normal"/>
    <w:link w:val="HTMLAddressChar"/>
    <w:rsid w:val="009A56D1"/>
    <w:rPr>
      <w:i/>
      <w:iCs/>
    </w:rPr>
  </w:style>
  <w:style w:type="character" w:styleId="HTMLCite">
    <w:name w:val="HTML Cite"/>
    <w:basedOn w:val="DefaultParagraphFont"/>
    <w:rsid w:val="009A56D1"/>
    <w:rPr>
      <w:i/>
      <w:iCs/>
    </w:rPr>
  </w:style>
  <w:style w:type="character" w:styleId="HTMLCode">
    <w:name w:val="HTML Code"/>
    <w:basedOn w:val="DefaultParagraphFont"/>
    <w:rsid w:val="009A56D1"/>
    <w:rPr>
      <w:rFonts w:ascii="Courier New" w:hAnsi="Courier New" w:cs="Courier New"/>
      <w:sz w:val="20"/>
      <w:szCs w:val="20"/>
    </w:rPr>
  </w:style>
  <w:style w:type="character" w:styleId="HTMLDefinition">
    <w:name w:val="HTML Definition"/>
    <w:basedOn w:val="DefaultParagraphFont"/>
    <w:rsid w:val="009A56D1"/>
    <w:rPr>
      <w:i/>
      <w:iCs/>
    </w:rPr>
  </w:style>
  <w:style w:type="character" w:styleId="HTMLKeyboard">
    <w:name w:val="HTML Keyboard"/>
    <w:basedOn w:val="DefaultParagraphFont"/>
    <w:rsid w:val="009A56D1"/>
    <w:rPr>
      <w:rFonts w:ascii="Courier New" w:hAnsi="Courier New" w:cs="Courier New"/>
      <w:sz w:val="20"/>
      <w:szCs w:val="20"/>
    </w:rPr>
  </w:style>
  <w:style w:type="paragraph" w:styleId="HTMLPreformatted">
    <w:name w:val="HTML Preformatted"/>
    <w:basedOn w:val="Normal"/>
    <w:link w:val="HTMLPreformattedChar"/>
    <w:rsid w:val="009A56D1"/>
    <w:rPr>
      <w:rFonts w:ascii="Courier New" w:hAnsi="Courier New" w:cs="Courier New"/>
      <w:sz w:val="20"/>
    </w:rPr>
  </w:style>
  <w:style w:type="character" w:styleId="HTMLSample">
    <w:name w:val="HTML Sample"/>
    <w:basedOn w:val="DefaultParagraphFont"/>
    <w:rsid w:val="009A56D1"/>
    <w:rPr>
      <w:rFonts w:ascii="Courier New" w:hAnsi="Courier New" w:cs="Courier New"/>
    </w:rPr>
  </w:style>
  <w:style w:type="character" w:styleId="HTMLTypewriter">
    <w:name w:val="HTML Typewriter"/>
    <w:basedOn w:val="DefaultParagraphFont"/>
    <w:rsid w:val="009A56D1"/>
    <w:rPr>
      <w:rFonts w:ascii="Courier New" w:hAnsi="Courier New" w:cs="Courier New"/>
      <w:sz w:val="20"/>
      <w:szCs w:val="20"/>
    </w:rPr>
  </w:style>
  <w:style w:type="character" w:styleId="HTMLVariable">
    <w:name w:val="HTML Variable"/>
    <w:basedOn w:val="DefaultParagraphFont"/>
    <w:rsid w:val="009A56D1"/>
    <w:rPr>
      <w:i/>
      <w:iCs/>
    </w:rPr>
  </w:style>
  <w:style w:type="character" w:styleId="Hyperlink">
    <w:name w:val="Hyperlink"/>
    <w:basedOn w:val="DefaultParagraphFont"/>
    <w:rsid w:val="009A56D1"/>
    <w:rPr>
      <w:color w:val="0000FF"/>
      <w:u w:val="single"/>
    </w:rPr>
  </w:style>
  <w:style w:type="character" w:styleId="LineNumber">
    <w:name w:val="line number"/>
    <w:basedOn w:val="OPCCharBase"/>
    <w:uiPriority w:val="99"/>
    <w:unhideWhenUsed/>
    <w:rsid w:val="00463386"/>
    <w:rPr>
      <w:sz w:val="16"/>
    </w:rPr>
  </w:style>
  <w:style w:type="paragraph" w:styleId="List">
    <w:name w:val="List"/>
    <w:basedOn w:val="Normal"/>
    <w:rsid w:val="009A56D1"/>
    <w:pPr>
      <w:ind w:left="283" w:hanging="283"/>
    </w:pPr>
  </w:style>
  <w:style w:type="paragraph" w:styleId="List2">
    <w:name w:val="List 2"/>
    <w:basedOn w:val="Normal"/>
    <w:rsid w:val="009A56D1"/>
    <w:pPr>
      <w:ind w:left="566" w:hanging="283"/>
    </w:pPr>
  </w:style>
  <w:style w:type="paragraph" w:styleId="List3">
    <w:name w:val="List 3"/>
    <w:basedOn w:val="Normal"/>
    <w:rsid w:val="009A56D1"/>
    <w:pPr>
      <w:ind w:left="849" w:hanging="283"/>
    </w:pPr>
  </w:style>
  <w:style w:type="paragraph" w:styleId="List4">
    <w:name w:val="List 4"/>
    <w:basedOn w:val="Normal"/>
    <w:rsid w:val="009A56D1"/>
    <w:pPr>
      <w:ind w:left="1132" w:hanging="283"/>
    </w:pPr>
  </w:style>
  <w:style w:type="paragraph" w:styleId="List5">
    <w:name w:val="List 5"/>
    <w:basedOn w:val="Normal"/>
    <w:rsid w:val="009A56D1"/>
    <w:pPr>
      <w:ind w:left="1415" w:hanging="283"/>
    </w:pPr>
  </w:style>
  <w:style w:type="paragraph" w:styleId="ListBullet">
    <w:name w:val="List Bullet"/>
    <w:basedOn w:val="Normal"/>
    <w:autoRedefine/>
    <w:rsid w:val="009A56D1"/>
    <w:pPr>
      <w:tabs>
        <w:tab w:val="num" w:pos="360"/>
      </w:tabs>
      <w:ind w:left="360" w:hanging="360"/>
    </w:pPr>
  </w:style>
  <w:style w:type="paragraph" w:styleId="ListBullet2">
    <w:name w:val="List Bullet 2"/>
    <w:basedOn w:val="Normal"/>
    <w:autoRedefine/>
    <w:rsid w:val="009A56D1"/>
    <w:pPr>
      <w:tabs>
        <w:tab w:val="num" w:pos="643"/>
      </w:tabs>
      <w:ind w:left="643" w:hanging="360"/>
    </w:pPr>
  </w:style>
  <w:style w:type="paragraph" w:styleId="ListBullet3">
    <w:name w:val="List Bullet 3"/>
    <w:basedOn w:val="Normal"/>
    <w:autoRedefine/>
    <w:rsid w:val="009A56D1"/>
    <w:pPr>
      <w:tabs>
        <w:tab w:val="num" w:pos="926"/>
      </w:tabs>
      <w:ind w:left="926" w:hanging="360"/>
    </w:pPr>
  </w:style>
  <w:style w:type="paragraph" w:styleId="ListBullet4">
    <w:name w:val="List Bullet 4"/>
    <w:basedOn w:val="Normal"/>
    <w:autoRedefine/>
    <w:rsid w:val="009A56D1"/>
    <w:pPr>
      <w:tabs>
        <w:tab w:val="num" w:pos="1209"/>
      </w:tabs>
      <w:ind w:left="1209" w:hanging="360"/>
    </w:pPr>
  </w:style>
  <w:style w:type="paragraph" w:styleId="ListBullet5">
    <w:name w:val="List Bullet 5"/>
    <w:basedOn w:val="Normal"/>
    <w:autoRedefine/>
    <w:rsid w:val="009A56D1"/>
    <w:pPr>
      <w:tabs>
        <w:tab w:val="num" w:pos="1492"/>
      </w:tabs>
      <w:ind w:left="1492" w:hanging="360"/>
    </w:pPr>
  </w:style>
  <w:style w:type="paragraph" w:styleId="ListContinue">
    <w:name w:val="List Continue"/>
    <w:basedOn w:val="Normal"/>
    <w:rsid w:val="009A56D1"/>
    <w:pPr>
      <w:spacing w:after="120"/>
      <w:ind w:left="283"/>
    </w:pPr>
  </w:style>
  <w:style w:type="paragraph" w:styleId="ListContinue2">
    <w:name w:val="List Continue 2"/>
    <w:basedOn w:val="Normal"/>
    <w:rsid w:val="009A56D1"/>
    <w:pPr>
      <w:spacing w:after="120"/>
      <w:ind w:left="566"/>
    </w:pPr>
  </w:style>
  <w:style w:type="paragraph" w:styleId="ListContinue3">
    <w:name w:val="List Continue 3"/>
    <w:basedOn w:val="Normal"/>
    <w:rsid w:val="009A56D1"/>
    <w:pPr>
      <w:spacing w:after="120"/>
      <w:ind w:left="849"/>
    </w:pPr>
  </w:style>
  <w:style w:type="paragraph" w:styleId="ListContinue4">
    <w:name w:val="List Continue 4"/>
    <w:basedOn w:val="Normal"/>
    <w:rsid w:val="009A56D1"/>
    <w:pPr>
      <w:spacing w:after="120"/>
      <w:ind w:left="1132"/>
    </w:pPr>
  </w:style>
  <w:style w:type="paragraph" w:styleId="ListContinue5">
    <w:name w:val="List Continue 5"/>
    <w:basedOn w:val="Normal"/>
    <w:rsid w:val="009A56D1"/>
    <w:pPr>
      <w:spacing w:after="120"/>
      <w:ind w:left="1415"/>
    </w:pPr>
  </w:style>
  <w:style w:type="paragraph" w:styleId="ListNumber">
    <w:name w:val="List Number"/>
    <w:basedOn w:val="Normal"/>
    <w:rsid w:val="009A56D1"/>
    <w:pPr>
      <w:tabs>
        <w:tab w:val="num" w:pos="360"/>
      </w:tabs>
      <w:ind w:left="360" w:hanging="360"/>
    </w:pPr>
  </w:style>
  <w:style w:type="paragraph" w:styleId="ListNumber2">
    <w:name w:val="List Number 2"/>
    <w:basedOn w:val="Normal"/>
    <w:link w:val="ListNumber2Char"/>
    <w:rsid w:val="009A56D1"/>
    <w:pPr>
      <w:tabs>
        <w:tab w:val="num" w:pos="643"/>
      </w:tabs>
      <w:ind w:left="643" w:hanging="360"/>
    </w:pPr>
  </w:style>
  <w:style w:type="paragraph" w:styleId="ListNumber3">
    <w:name w:val="List Number 3"/>
    <w:basedOn w:val="Normal"/>
    <w:rsid w:val="009A56D1"/>
    <w:pPr>
      <w:tabs>
        <w:tab w:val="num" w:pos="926"/>
      </w:tabs>
      <w:ind w:left="926" w:hanging="360"/>
    </w:pPr>
  </w:style>
  <w:style w:type="paragraph" w:styleId="ListNumber4">
    <w:name w:val="List Number 4"/>
    <w:basedOn w:val="Normal"/>
    <w:rsid w:val="009A56D1"/>
    <w:pPr>
      <w:tabs>
        <w:tab w:val="num" w:pos="1209"/>
      </w:tabs>
      <w:ind w:left="1209" w:hanging="360"/>
    </w:pPr>
  </w:style>
  <w:style w:type="paragraph" w:styleId="ListNumber5">
    <w:name w:val="List Number 5"/>
    <w:basedOn w:val="Normal"/>
    <w:rsid w:val="009A56D1"/>
    <w:pPr>
      <w:tabs>
        <w:tab w:val="num" w:pos="1492"/>
      </w:tabs>
      <w:ind w:left="1492" w:hanging="360"/>
    </w:pPr>
  </w:style>
  <w:style w:type="paragraph" w:styleId="MessageHeader">
    <w:name w:val="Message Header"/>
    <w:basedOn w:val="Normal"/>
    <w:link w:val="MessageHeaderChar"/>
    <w:rsid w:val="009A56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9A56D1"/>
  </w:style>
  <w:style w:type="paragraph" w:styleId="NormalIndent">
    <w:name w:val="Normal Indent"/>
    <w:basedOn w:val="Normal"/>
    <w:rsid w:val="009A56D1"/>
    <w:pPr>
      <w:ind w:left="720"/>
    </w:pPr>
  </w:style>
  <w:style w:type="character" w:styleId="PageNumber">
    <w:name w:val="page number"/>
    <w:basedOn w:val="DefaultParagraphFont"/>
    <w:rsid w:val="00295F4A"/>
  </w:style>
  <w:style w:type="paragraph" w:styleId="PlainText">
    <w:name w:val="Plain Text"/>
    <w:basedOn w:val="Normal"/>
    <w:link w:val="PlainTextChar"/>
    <w:rsid w:val="009A56D1"/>
    <w:rPr>
      <w:rFonts w:ascii="Courier New" w:hAnsi="Courier New" w:cs="Courier New"/>
      <w:sz w:val="20"/>
    </w:rPr>
  </w:style>
  <w:style w:type="paragraph" w:styleId="Salutation">
    <w:name w:val="Salutation"/>
    <w:basedOn w:val="Normal"/>
    <w:next w:val="Normal"/>
    <w:link w:val="SalutationChar"/>
    <w:rsid w:val="009A56D1"/>
  </w:style>
  <w:style w:type="paragraph" w:styleId="Signature">
    <w:name w:val="Signature"/>
    <w:basedOn w:val="Normal"/>
    <w:link w:val="SignatureChar"/>
    <w:rsid w:val="009A56D1"/>
    <w:pPr>
      <w:ind w:left="4252"/>
    </w:pPr>
  </w:style>
  <w:style w:type="character" w:styleId="Strong">
    <w:name w:val="Strong"/>
    <w:basedOn w:val="DefaultParagraphFont"/>
    <w:qFormat/>
    <w:rsid w:val="00657DC9"/>
    <w:rPr>
      <w:b/>
      <w:bCs/>
    </w:rPr>
  </w:style>
  <w:style w:type="paragraph" w:styleId="Subtitle">
    <w:name w:val="Subtitle"/>
    <w:basedOn w:val="Normal"/>
    <w:link w:val="SubtitleChar"/>
    <w:qFormat/>
    <w:rsid w:val="00657DC9"/>
    <w:pPr>
      <w:jc w:val="center"/>
      <w:outlineLvl w:val="1"/>
    </w:pPr>
    <w:rPr>
      <w:rFonts w:ascii="Arial" w:hAnsi="Arial" w:cs="Arial"/>
    </w:rPr>
  </w:style>
  <w:style w:type="table" w:styleId="Table3Deffects1">
    <w:name w:val="Table 3D effects 1"/>
    <w:basedOn w:val="TableNormal"/>
    <w:rsid w:val="009A56D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56D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56D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56D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56D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56D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56D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56D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56D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56D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56D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56D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56D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56D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56D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A56D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56D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Summary box"/>
    <w:basedOn w:val="TableNormal"/>
    <w:uiPriority w:val="59"/>
    <w:rsid w:val="0046338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56D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A56D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56D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56D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56D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56D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56D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56D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56D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56D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56D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56D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56D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56D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56D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56D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56D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56D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56D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A5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A56D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56D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56D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657DC9"/>
    <w:pPr>
      <w:spacing w:before="480"/>
    </w:pPr>
    <w:rPr>
      <w:rFonts w:ascii="Arial" w:hAnsi="Arial" w:cs="Arial"/>
      <w:b/>
      <w:bCs/>
      <w:sz w:val="40"/>
      <w:szCs w:val="40"/>
    </w:rPr>
  </w:style>
  <w:style w:type="paragraph" w:styleId="BalloonText">
    <w:name w:val="Balloon Text"/>
    <w:basedOn w:val="Normal"/>
    <w:link w:val="BalloonTextChar"/>
    <w:uiPriority w:val="99"/>
    <w:unhideWhenUsed/>
    <w:rsid w:val="00463386"/>
    <w:pPr>
      <w:spacing w:line="240" w:lineRule="auto"/>
    </w:pPr>
    <w:rPr>
      <w:rFonts w:ascii="Tahoma" w:hAnsi="Tahoma" w:cs="Tahoma"/>
      <w:sz w:val="16"/>
      <w:szCs w:val="16"/>
    </w:rPr>
  </w:style>
  <w:style w:type="paragraph" w:styleId="Caption">
    <w:name w:val="caption"/>
    <w:basedOn w:val="Normal"/>
    <w:next w:val="Normal"/>
    <w:qFormat/>
    <w:rsid w:val="00657DC9"/>
    <w:pPr>
      <w:spacing w:before="120" w:after="120"/>
    </w:pPr>
    <w:rPr>
      <w:b/>
      <w:bCs/>
      <w:sz w:val="20"/>
    </w:rPr>
  </w:style>
  <w:style w:type="character" w:customStyle="1" w:styleId="CharAmSchNo">
    <w:name w:val="CharAmSchNo"/>
    <w:basedOn w:val="OPCCharBase"/>
    <w:uiPriority w:val="1"/>
    <w:qFormat/>
    <w:rsid w:val="00463386"/>
  </w:style>
  <w:style w:type="character" w:customStyle="1" w:styleId="CharAmSchText">
    <w:name w:val="CharAmSchText"/>
    <w:basedOn w:val="OPCCharBase"/>
    <w:uiPriority w:val="1"/>
    <w:qFormat/>
    <w:rsid w:val="00463386"/>
  </w:style>
  <w:style w:type="character" w:customStyle="1" w:styleId="CharChapNo">
    <w:name w:val="CharChapNo"/>
    <w:basedOn w:val="OPCCharBase"/>
    <w:qFormat/>
    <w:rsid w:val="00463386"/>
  </w:style>
  <w:style w:type="character" w:customStyle="1" w:styleId="CharChapText">
    <w:name w:val="CharChapText"/>
    <w:basedOn w:val="OPCCharBase"/>
    <w:qFormat/>
    <w:rsid w:val="00463386"/>
  </w:style>
  <w:style w:type="character" w:customStyle="1" w:styleId="CharDivNo">
    <w:name w:val="CharDivNo"/>
    <w:basedOn w:val="OPCCharBase"/>
    <w:qFormat/>
    <w:rsid w:val="00463386"/>
  </w:style>
  <w:style w:type="character" w:customStyle="1" w:styleId="CharDivText">
    <w:name w:val="CharDivText"/>
    <w:basedOn w:val="OPCCharBase"/>
    <w:qFormat/>
    <w:rsid w:val="00463386"/>
  </w:style>
  <w:style w:type="character" w:customStyle="1" w:styleId="CharPartNo">
    <w:name w:val="CharPartNo"/>
    <w:basedOn w:val="OPCCharBase"/>
    <w:qFormat/>
    <w:rsid w:val="00463386"/>
  </w:style>
  <w:style w:type="character" w:customStyle="1" w:styleId="CharPartText">
    <w:name w:val="CharPartText"/>
    <w:basedOn w:val="OPCCharBase"/>
    <w:qFormat/>
    <w:rsid w:val="00463386"/>
  </w:style>
  <w:style w:type="character" w:customStyle="1" w:styleId="OPCCharBase">
    <w:name w:val="OPCCharBase"/>
    <w:uiPriority w:val="1"/>
    <w:qFormat/>
    <w:rsid w:val="00463386"/>
  </w:style>
  <w:style w:type="paragraph" w:customStyle="1" w:styleId="OPCParaBase">
    <w:name w:val="OPCParaBase"/>
    <w:qFormat/>
    <w:rsid w:val="00463386"/>
    <w:pPr>
      <w:spacing w:line="260" w:lineRule="atLeast"/>
    </w:pPr>
    <w:rPr>
      <w:sz w:val="22"/>
    </w:rPr>
  </w:style>
  <w:style w:type="character" w:customStyle="1" w:styleId="CharSectno">
    <w:name w:val="CharSectno"/>
    <w:basedOn w:val="OPCCharBase"/>
    <w:qFormat/>
    <w:rsid w:val="00463386"/>
  </w:style>
  <w:style w:type="character" w:styleId="CommentReference">
    <w:name w:val="annotation reference"/>
    <w:basedOn w:val="DefaultParagraphFont"/>
    <w:rsid w:val="009A56D1"/>
    <w:rPr>
      <w:sz w:val="16"/>
      <w:szCs w:val="16"/>
    </w:rPr>
  </w:style>
  <w:style w:type="paragraph" w:styleId="CommentText">
    <w:name w:val="annotation text"/>
    <w:basedOn w:val="Normal"/>
    <w:link w:val="CommentTextChar"/>
    <w:rsid w:val="009A56D1"/>
    <w:rPr>
      <w:sz w:val="20"/>
    </w:rPr>
  </w:style>
  <w:style w:type="paragraph" w:styleId="CommentSubject">
    <w:name w:val="annotation subject"/>
    <w:basedOn w:val="CommentText"/>
    <w:next w:val="CommentText"/>
    <w:link w:val="CommentSubjectChar"/>
    <w:rsid w:val="009A56D1"/>
    <w:rPr>
      <w:b/>
      <w:bCs/>
    </w:rPr>
  </w:style>
  <w:style w:type="paragraph" w:styleId="DocumentMap">
    <w:name w:val="Document Map"/>
    <w:basedOn w:val="Normal"/>
    <w:link w:val="DocumentMapChar"/>
    <w:rsid w:val="009A56D1"/>
    <w:pPr>
      <w:shd w:val="clear" w:color="auto" w:fill="000080"/>
    </w:pPr>
    <w:rPr>
      <w:rFonts w:ascii="Tahoma" w:hAnsi="Tahoma" w:cs="Tahoma"/>
    </w:rPr>
  </w:style>
  <w:style w:type="character" w:styleId="EndnoteReference">
    <w:name w:val="endnote reference"/>
    <w:basedOn w:val="DefaultParagraphFont"/>
    <w:rsid w:val="009A56D1"/>
    <w:rPr>
      <w:vertAlign w:val="superscript"/>
    </w:rPr>
  </w:style>
  <w:style w:type="paragraph" w:styleId="EndnoteText">
    <w:name w:val="endnote text"/>
    <w:basedOn w:val="Normal"/>
    <w:link w:val="EndnoteTextChar"/>
    <w:rsid w:val="009A56D1"/>
    <w:rPr>
      <w:sz w:val="20"/>
    </w:rPr>
  </w:style>
  <w:style w:type="character" w:styleId="FootnoteReference">
    <w:name w:val="footnote reference"/>
    <w:basedOn w:val="DefaultParagraphFont"/>
    <w:rsid w:val="009A56D1"/>
    <w:rPr>
      <w:rFonts w:ascii="Times New Roman" w:hAnsi="Times New Roman"/>
      <w:sz w:val="20"/>
      <w:vertAlign w:val="superscript"/>
    </w:rPr>
  </w:style>
  <w:style w:type="paragraph" w:styleId="FootnoteText">
    <w:name w:val="footnote text"/>
    <w:basedOn w:val="Normal"/>
    <w:link w:val="FootnoteTextChar"/>
    <w:rsid w:val="009A56D1"/>
    <w:rPr>
      <w:sz w:val="20"/>
    </w:rPr>
  </w:style>
  <w:style w:type="paragraph" w:customStyle="1" w:styleId="Formula">
    <w:name w:val="Formula"/>
    <w:basedOn w:val="OPCParaBase"/>
    <w:rsid w:val="00463386"/>
    <w:pPr>
      <w:spacing w:line="240" w:lineRule="auto"/>
      <w:ind w:left="1134"/>
    </w:pPr>
    <w:rPr>
      <w:sz w:val="20"/>
    </w:rPr>
  </w:style>
  <w:style w:type="paragraph" w:styleId="Index1">
    <w:name w:val="index 1"/>
    <w:basedOn w:val="Normal"/>
    <w:next w:val="Normal"/>
    <w:autoRedefine/>
    <w:rsid w:val="009A56D1"/>
    <w:pPr>
      <w:ind w:left="240" w:hanging="240"/>
    </w:pPr>
  </w:style>
  <w:style w:type="paragraph" w:styleId="Index2">
    <w:name w:val="index 2"/>
    <w:basedOn w:val="Normal"/>
    <w:next w:val="Normal"/>
    <w:autoRedefine/>
    <w:rsid w:val="009A56D1"/>
    <w:pPr>
      <w:ind w:left="480" w:hanging="240"/>
    </w:pPr>
  </w:style>
  <w:style w:type="paragraph" w:styleId="Index3">
    <w:name w:val="index 3"/>
    <w:basedOn w:val="Normal"/>
    <w:next w:val="Normal"/>
    <w:autoRedefine/>
    <w:rsid w:val="009A56D1"/>
    <w:pPr>
      <w:ind w:left="720" w:hanging="240"/>
    </w:pPr>
  </w:style>
  <w:style w:type="paragraph" w:styleId="Index4">
    <w:name w:val="index 4"/>
    <w:basedOn w:val="Normal"/>
    <w:next w:val="Normal"/>
    <w:autoRedefine/>
    <w:rsid w:val="009A56D1"/>
    <w:pPr>
      <w:ind w:left="960" w:hanging="240"/>
    </w:pPr>
  </w:style>
  <w:style w:type="paragraph" w:styleId="Index5">
    <w:name w:val="index 5"/>
    <w:basedOn w:val="Normal"/>
    <w:next w:val="Normal"/>
    <w:autoRedefine/>
    <w:rsid w:val="009A56D1"/>
    <w:pPr>
      <w:ind w:left="1200" w:hanging="240"/>
    </w:pPr>
  </w:style>
  <w:style w:type="paragraph" w:styleId="Index6">
    <w:name w:val="index 6"/>
    <w:basedOn w:val="Normal"/>
    <w:next w:val="Normal"/>
    <w:autoRedefine/>
    <w:rsid w:val="009A56D1"/>
    <w:pPr>
      <w:ind w:left="1440" w:hanging="240"/>
    </w:pPr>
  </w:style>
  <w:style w:type="paragraph" w:styleId="Index7">
    <w:name w:val="index 7"/>
    <w:basedOn w:val="Normal"/>
    <w:next w:val="Normal"/>
    <w:autoRedefine/>
    <w:rsid w:val="009A56D1"/>
    <w:pPr>
      <w:ind w:left="1680" w:hanging="240"/>
    </w:pPr>
  </w:style>
  <w:style w:type="paragraph" w:styleId="Index8">
    <w:name w:val="index 8"/>
    <w:basedOn w:val="Normal"/>
    <w:next w:val="Normal"/>
    <w:autoRedefine/>
    <w:rsid w:val="009A56D1"/>
    <w:pPr>
      <w:ind w:left="1920" w:hanging="240"/>
    </w:pPr>
  </w:style>
  <w:style w:type="paragraph" w:styleId="Index9">
    <w:name w:val="index 9"/>
    <w:basedOn w:val="Normal"/>
    <w:next w:val="Normal"/>
    <w:autoRedefine/>
    <w:rsid w:val="009A56D1"/>
    <w:pPr>
      <w:ind w:left="2160" w:hanging="240"/>
    </w:pPr>
  </w:style>
  <w:style w:type="paragraph" w:styleId="IndexHeading">
    <w:name w:val="index heading"/>
    <w:basedOn w:val="Normal"/>
    <w:next w:val="Index1"/>
    <w:rsid w:val="009A56D1"/>
    <w:rPr>
      <w:rFonts w:ascii="Arial" w:hAnsi="Arial" w:cs="Arial"/>
      <w:b/>
      <w:bCs/>
    </w:rPr>
  </w:style>
  <w:style w:type="paragraph" w:styleId="MacroText">
    <w:name w:val="macro"/>
    <w:link w:val="MacroTextChar"/>
    <w:rsid w:val="009A5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ageBreak">
    <w:name w:val="PageBreak"/>
    <w:aliases w:val="pb"/>
    <w:basedOn w:val="OPCParaBase"/>
    <w:rsid w:val="00463386"/>
    <w:pPr>
      <w:spacing w:line="240" w:lineRule="auto"/>
    </w:pPr>
    <w:rPr>
      <w:sz w:val="20"/>
    </w:rPr>
  </w:style>
  <w:style w:type="paragraph" w:customStyle="1" w:styleId="Penalty">
    <w:name w:val="Penalty"/>
    <w:basedOn w:val="OPCParaBase"/>
    <w:rsid w:val="00463386"/>
    <w:pPr>
      <w:tabs>
        <w:tab w:val="left" w:pos="2977"/>
      </w:tabs>
      <w:spacing w:before="180" w:line="240" w:lineRule="auto"/>
      <w:ind w:left="1985" w:hanging="851"/>
    </w:pPr>
  </w:style>
  <w:style w:type="paragraph" w:customStyle="1" w:styleId="ShortT">
    <w:name w:val="ShortT"/>
    <w:basedOn w:val="OPCParaBase"/>
    <w:next w:val="Normal"/>
    <w:qFormat/>
    <w:rsid w:val="00463386"/>
    <w:pPr>
      <w:spacing w:line="240" w:lineRule="auto"/>
    </w:pPr>
    <w:rPr>
      <w:b/>
      <w:sz w:val="40"/>
    </w:rPr>
  </w:style>
  <w:style w:type="paragraph" w:customStyle="1" w:styleId="ActHead1">
    <w:name w:val="ActHead 1"/>
    <w:aliases w:val="c"/>
    <w:basedOn w:val="OPCParaBase"/>
    <w:next w:val="Normal"/>
    <w:qFormat/>
    <w:rsid w:val="00463386"/>
    <w:pPr>
      <w:keepNext/>
      <w:keepLines/>
      <w:spacing w:line="240" w:lineRule="auto"/>
      <w:ind w:left="1134" w:hanging="1134"/>
      <w:outlineLvl w:val="0"/>
    </w:pPr>
    <w:rPr>
      <w:b/>
      <w:kern w:val="28"/>
      <w:sz w:val="36"/>
    </w:rPr>
  </w:style>
  <w:style w:type="paragraph" w:styleId="TableofAuthorities">
    <w:name w:val="table of authorities"/>
    <w:basedOn w:val="Normal"/>
    <w:next w:val="Normal"/>
    <w:rsid w:val="009A56D1"/>
    <w:pPr>
      <w:ind w:left="240" w:hanging="240"/>
    </w:pPr>
  </w:style>
  <w:style w:type="paragraph" w:styleId="TableofFigures">
    <w:name w:val="table of figures"/>
    <w:basedOn w:val="Normal"/>
    <w:next w:val="Normal"/>
    <w:rsid w:val="009A56D1"/>
    <w:pPr>
      <w:ind w:left="480" w:hanging="480"/>
    </w:pPr>
  </w:style>
  <w:style w:type="paragraph" w:customStyle="1" w:styleId="ActHead2">
    <w:name w:val="ActHead 2"/>
    <w:aliases w:val="p"/>
    <w:basedOn w:val="OPCParaBase"/>
    <w:next w:val="ActHead3"/>
    <w:qFormat/>
    <w:rsid w:val="00463386"/>
    <w:pPr>
      <w:keepNext/>
      <w:keepLines/>
      <w:spacing w:before="280" w:line="240" w:lineRule="auto"/>
      <w:ind w:left="1134" w:hanging="1134"/>
      <w:outlineLvl w:val="1"/>
    </w:pPr>
    <w:rPr>
      <w:b/>
      <w:kern w:val="28"/>
      <w:sz w:val="32"/>
    </w:rPr>
  </w:style>
  <w:style w:type="paragraph" w:styleId="TOAHeading">
    <w:name w:val="toa heading"/>
    <w:basedOn w:val="Normal"/>
    <w:next w:val="Normal"/>
    <w:rsid w:val="009A56D1"/>
    <w:pPr>
      <w:spacing w:before="120"/>
    </w:pPr>
    <w:rPr>
      <w:rFonts w:ascii="Arial" w:hAnsi="Arial" w:cs="Arial"/>
      <w:b/>
      <w:bCs/>
    </w:rPr>
  </w:style>
  <w:style w:type="paragraph" w:styleId="TOC1">
    <w:name w:val="toc 1"/>
    <w:basedOn w:val="OPCParaBase"/>
    <w:next w:val="Normal"/>
    <w:uiPriority w:val="39"/>
    <w:unhideWhenUsed/>
    <w:rsid w:val="00463386"/>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463386"/>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463386"/>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463386"/>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63386"/>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463386"/>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463386"/>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463386"/>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463386"/>
    <w:pPr>
      <w:keepLines/>
      <w:tabs>
        <w:tab w:val="right" w:pos="8278"/>
      </w:tabs>
      <w:spacing w:before="80" w:line="240" w:lineRule="auto"/>
      <w:ind w:left="851" w:right="567"/>
    </w:pPr>
    <w:rPr>
      <w:i/>
      <w:kern w:val="28"/>
      <w:sz w:val="20"/>
    </w:rPr>
  </w:style>
  <w:style w:type="character" w:customStyle="1" w:styleId="ListNumber2Char">
    <w:name w:val="List Number 2 Char"/>
    <w:basedOn w:val="DefaultParagraphFont"/>
    <w:link w:val="ListNumber2"/>
    <w:rsid w:val="009A56D1"/>
    <w:rPr>
      <w:rFonts w:ascii="Calibri" w:eastAsia="SimSun" w:hAnsi="Calibri"/>
      <w:sz w:val="16"/>
      <w:szCs w:val="22"/>
      <w:lang w:val="en-AU" w:eastAsia="zh-CN" w:bidi="ar-SA"/>
    </w:rPr>
  </w:style>
  <w:style w:type="paragraph" w:customStyle="1" w:styleId="paragraph">
    <w:name w:val="paragraph"/>
    <w:aliases w:val="a"/>
    <w:basedOn w:val="OPCParaBase"/>
    <w:link w:val="paragraphChar"/>
    <w:rsid w:val="00463386"/>
    <w:pPr>
      <w:tabs>
        <w:tab w:val="right" w:pos="1531"/>
      </w:tabs>
      <w:spacing w:before="40" w:line="240" w:lineRule="auto"/>
      <w:ind w:left="1644" w:hanging="1644"/>
    </w:pPr>
  </w:style>
  <w:style w:type="paragraph" w:styleId="Revision">
    <w:name w:val="Revision"/>
    <w:hidden/>
    <w:semiHidden/>
    <w:rsid w:val="009A56D1"/>
    <w:rPr>
      <w:sz w:val="24"/>
      <w:szCs w:val="24"/>
    </w:rPr>
  </w:style>
  <w:style w:type="paragraph" w:customStyle="1" w:styleId="notetext">
    <w:name w:val="note(text)"/>
    <w:aliases w:val="n"/>
    <w:basedOn w:val="OPCParaBase"/>
    <w:link w:val="notetextChar"/>
    <w:rsid w:val="00463386"/>
    <w:pPr>
      <w:spacing w:before="122" w:line="240" w:lineRule="auto"/>
      <w:ind w:left="1985" w:hanging="851"/>
    </w:pPr>
    <w:rPr>
      <w:sz w:val="18"/>
    </w:rPr>
  </w:style>
  <w:style w:type="character" w:customStyle="1" w:styleId="Heading1Char">
    <w:name w:val="Heading 1 Char"/>
    <w:basedOn w:val="DefaultParagraphFont"/>
    <w:link w:val="Heading1"/>
    <w:rsid w:val="00657DC9"/>
    <w:rPr>
      <w:rFonts w:ascii="Arial" w:eastAsia="SimSun" w:hAnsi="Arial" w:cs="Arial"/>
      <w:b/>
      <w:bCs/>
      <w:kern w:val="32"/>
      <w:sz w:val="32"/>
      <w:szCs w:val="32"/>
      <w:lang w:eastAsia="zh-CN"/>
    </w:rPr>
  </w:style>
  <w:style w:type="character" w:customStyle="1" w:styleId="Heading2Char">
    <w:name w:val="Heading 2 Char"/>
    <w:basedOn w:val="DefaultParagraphFont"/>
    <w:link w:val="Heading2"/>
    <w:rsid w:val="00657DC9"/>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657DC9"/>
    <w:rPr>
      <w:rFonts w:ascii="Arial" w:eastAsia="SimSun" w:hAnsi="Arial" w:cs="Arial"/>
      <w:b/>
      <w:bCs/>
      <w:sz w:val="26"/>
      <w:szCs w:val="26"/>
      <w:lang w:eastAsia="zh-CN"/>
    </w:rPr>
  </w:style>
  <w:style w:type="character" w:customStyle="1" w:styleId="Heading4Char">
    <w:name w:val="Heading 4 Char"/>
    <w:basedOn w:val="DefaultParagraphFont"/>
    <w:link w:val="Heading4"/>
    <w:rsid w:val="00657DC9"/>
    <w:rPr>
      <w:rFonts w:ascii="Calibri" w:eastAsia="SimSun" w:hAnsi="Calibri"/>
      <w:b/>
      <w:bCs/>
      <w:sz w:val="28"/>
      <w:szCs w:val="28"/>
      <w:lang w:eastAsia="zh-CN"/>
    </w:rPr>
  </w:style>
  <w:style w:type="character" w:customStyle="1" w:styleId="Heading5Char">
    <w:name w:val="Heading 5 Char"/>
    <w:basedOn w:val="DefaultParagraphFont"/>
    <w:link w:val="Heading5"/>
    <w:rsid w:val="00657DC9"/>
    <w:rPr>
      <w:rFonts w:ascii="Calibri" w:eastAsia="SimSun" w:hAnsi="Calibri"/>
      <w:b/>
      <w:bCs/>
      <w:i/>
      <w:iCs/>
      <w:sz w:val="26"/>
      <w:szCs w:val="26"/>
      <w:lang w:eastAsia="zh-CN"/>
    </w:rPr>
  </w:style>
  <w:style w:type="character" w:customStyle="1" w:styleId="Heading6Char">
    <w:name w:val="Heading 6 Char"/>
    <w:basedOn w:val="DefaultParagraphFont"/>
    <w:link w:val="Heading6"/>
    <w:rsid w:val="00657DC9"/>
    <w:rPr>
      <w:rFonts w:ascii="Calibri" w:eastAsia="SimSun" w:hAnsi="Calibri"/>
      <w:b/>
      <w:bCs/>
      <w:sz w:val="22"/>
      <w:szCs w:val="22"/>
      <w:lang w:eastAsia="zh-CN"/>
    </w:rPr>
  </w:style>
  <w:style w:type="character" w:customStyle="1" w:styleId="Heading7Char">
    <w:name w:val="Heading 7 Char"/>
    <w:basedOn w:val="DefaultParagraphFont"/>
    <w:link w:val="Heading7"/>
    <w:rsid w:val="00657DC9"/>
    <w:rPr>
      <w:rFonts w:ascii="Calibri" w:eastAsia="SimSun" w:hAnsi="Calibri"/>
      <w:sz w:val="16"/>
      <w:szCs w:val="22"/>
      <w:lang w:eastAsia="zh-CN"/>
    </w:rPr>
  </w:style>
  <w:style w:type="character" w:customStyle="1" w:styleId="Heading8Char">
    <w:name w:val="Heading 8 Char"/>
    <w:basedOn w:val="DefaultParagraphFont"/>
    <w:link w:val="Heading8"/>
    <w:rsid w:val="00657DC9"/>
    <w:rPr>
      <w:rFonts w:ascii="Calibri" w:eastAsia="SimSun" w:hAnsi="Calibri"/>
      <w:i/>
      <w:iCs/>
      <w:sz w:val="16"/>
      <w:szCs w:val="22"/>
      <w:lang w:eastAsia="zh-CN"/>
    </w:rPr>
  </w:style>
  <w:style w:type="character" w:customStyle="1" w:styleId="Heading9Char">
    <w:name w:val="Heading 9 Char"/>
    <w:basedOn w:val="DefaultParagraphFont"/>
    <w:link w:val="Heading9"/>
    <w:rsid w:val="00657DC9"/>
    <w:rPr>
      <w:rFonts w:ascii="Arial" w:eastAsia="SimSun" w:hAnsi="Arial" w:cs="Arial"/>
      <w:sz w:val="22"/>
      <w:szCs w:val="22"/>
      <w:lang w:eastAsia="zh-CN"/>
    </w:rPr>
  </w:style>
  <w:style w:type="character" w:customStyle="1" w:styleId="FooterChar">
    <w:name w:val="Footer Char"/>
    <w:basedOn w:val="DefaultParagraphFont"/>
    <w:link w:val="Footer"/>
    <w:rsid w:val="00463386"/>
    <w:rPr>
      <w:sz w:val="22"/>
      <w:szCs w:val="24"/>
    </w:rPr>
  </w:style>
  <w:style w:type="character" w:customStyle="1" w:styleId="BodyTextChar">
    <w:name w:val="Body Text Char"/>
    <w:basedOn w:val="DefaultParagraphFont"/>
    <w:link w:val="BodyText"/>
    <w:rsid w:val="009A56D1"/>
    <w:rPr>
      <w:rFonts w:ascii="Calibri" w:eastAsia="SimSun" w:hAnsi="Calibri"/>
      <w:sz w:val="16"/>
      <w:szCs w:val="22"/>
      <w:lang w:val="en-AU" w:eastAsia="zh-CN" w:bidi="ar-SA"/>
    </w:rPr>
  </w:style>
  <w:style w:type="character" w:customStyle="1" w:styleId="BodyText3Char">
    <w:name w:val="Body Text 3 Char"/>
    <w:basedOn w:val="DefaultParagraphFont"/>
    <w:link w:val="BodyText3"/>
    <w:rsid w:val="009A56D1"/>
    <w:rPr>
      <w:rFonts w:ascii="Calibri" w:eastAsia="SimSun" w:hAnsi="Calibri"/>
      <w:sz w:val="16"/>
      <w:szCs w:val="16"/>
      <w:lang w:val="en-AU" w:eastAsia="zh-CN" w:bidi="ar-SA"/>
    </w:rPr>
  </w:style>
  <w:style w:type="character" w:customStyle="1" w:styleId="BodyTextFirstIndentChar">
    <w:name w:val="Body Text First Indent Char"/>
    <w:basedOn w:val="BodyTextChar"/>
    <w:link w:val="BodyTextFirstIndent"/>
    <w:rsid w:val="009A56D1"/>
    <w:rPr>
      <w:rFonts w:ascii="Calibri" w:eastAsia="SimSun" w:hAnsi="Calibri"/>
      <w:sz w:val="16"/>
      <w:szCs w:val="22"/>
      <w:lang w:val="en-AU" w:eastAsia="zh-CN" w:bidi="ar-SA"/>
    </w:rPr>
  </w:style>
  <w:style w:type="character" w:customStyle="1" w:styleId="BodyText2Char">
    <w:name w:val="Body Text 2 Char"/>
    <w:basedOn w:val="DefaultParagraphFont"/>
    <w:link w:val="BodyText2"/>
    <w:rsid w:val="009A56D1"/>
    <w:rPr>
      <w:rFonts w:ascii="Calibri" w:eastAsia="SimSun" w:hAnsi="Calibri"/>
      <w:sz w:val="16"/>
      <w:szCs w:val="22"/>
      <w:lang w:val="en-AU" w:eastAsia="zh-CN" w:bidi="ar-SA"/>
    </w:rPr>
  </w:style>
  <w:style w:type="character" w:customStyle="1" w:styleId="BodyTextIndentChar">
    <w:name w:val="Body Text Indent Char"/>
    <w:basedOn w:val="DefaultParagraphFont"/>
    <w:link w:val="BodyTextIndent"/>
    <w:rsid w:val="009A56D1"/>
    <w:rPr>
      <w:rFonts w:ascii="Calibri" w:eastAsia="SimSun" w:hAnsi="Calibri"/>
      <w:sz w:val="16"/>
      <w:szCs w:val="22"/>
      <w:lang w:val="en-AU" w:eastAsia="zh-CN" w:bidi="ar-SA"/>
    </w:rPr>
  </w:style>
  <w:style w:type="character" w:customStyle="1" w:styleId="BodyTextFirstIndent2Char">
    <w:name w:val="Body Text First Indent 2 Char"/>
    <w:basedOn w:val="BodyText2Char"/>
    <w:link w:val="BodyTextFirstIndent2"/>
    <w:rsid w:val="009A56D1"/>
    <w:rPr>
      <w:rFonts w:ascii="Calibri" w:eastAsia="SimSun" w:hAnsi="Calibri"/>
      <w:sz w:val="16"/>
      <w:szCs w:val="22"/>
      <w:lang w:val="en-AU" w:eastAsia="zh-CN" w:bidi="ar-SA"/>
    </w:rPr>
  </w:style>
  <w:style w:type="character" w:customStyle="1" w:styleId="BodyTextIndent2Char">
    <w:name w:val="Body Text Indent 2 Char"/>
    <w:basedOn w:val="DefaultParagraphFont"/>
    <w:link w:val="BodyTextIndent2"/>
    <w:rsid w:val="009A56D1"/>
    <w:rPr>
      <w:rFonts w:ascii="Calibri" w:eastAsia="SimSun" w:hAnsi="Calibri"/>
      <w:sz w:val="16"/>
      <w:szCs w:val="22"/>
      <w:lang w:val="en-AU" w:eastAsia="zh-CN" w:bidi="ar-SA"/>
    </w:rPr>
  </w:style>
  <w:style w:type="character" w:customStyle="1" w:styleId="BodyTextIndent3Char">
    <w:name w:val="Body Text Indent 3 Char"/>
    <w:basedOn w:val="DefaultParagraphFont"/>
    <w:link w:val="BodyTextIndent3"/>
    <w:rsid w:val="009A56D1"/>
    <w:rPr>
      <w:rFonts w:ascii="Calibri" w:eastAsia="SimSun" w:hAnsi="Calibri"/>
      <w:sz w:val="16"/>
      <w:szCs w:val="16"/>
      <w:lang w:val="en-AU" w:eastAsia="zh-CN" w:bidi="ar-SA"/>
    </w:rPr>
  </w:style>
  <w:style w:type="character" w:customStyle="1" w:styleId="ClosingChar">
    <w:name w:val="Closing Char"/>
    <w:basedOn w:val="DefaultParagraphFont"/>
    <w:link w:val="Closing"/>
    <w:rsid w:val="009A56D1"/>
    <w:rPr>
      <w:rFonts w:ascii="Calibri" w:eastAsia="SimSun" w:hAnsi="Calibri"/>
      <w:sz w:val="16"/>
      <w:szCs w:val="22"/>
      <w:lang w:val="en-AU" w:eastAsia="zh-CN" w:bidi="ar-SA"/>
    </w:rPr>
  </w:style>
  <w:style w:type="character" w:customStyle="1" w:styleId="DateChar">
    <w:name w:val="Date Char"/>
    <w:basedOn w:val="DefaultParagraphFont"/>
    <w:link w:val="Date"/>
    <w:rsid w:val="009A56D1"/>
    <w:rPr>
      <w:rFonts w:ascii="Calibri" w:eastAsia="SimSun" w:hAnsi="Calibri"/>
      <w:sz w:val="16"/>
      <w:szCs w:val="22"/>
      <w:lang w:val="en-AU" w:eastAsia="zh-CN" w:bidi="ar-SA"/>
    </w:rPr>
  </w:style>
  <w:style w:type="character" w:customStyle="1" w:styleId="E-mailSignatureChar">
    <w:name w:val="E-mail Signature Char"/>
    <w:basedOn w:val="DefaultParagraphFont"/>
    <w:link w:val="E-mailSignature"/>
    <w:rsid w:val="009A56D1"/>
    <w:rPr>
      <w:rFonts w:ascii="Calibri" w:eastAsia="SimSun" w:hAnsi="Calibri"/>
      <w:sz w:val="16"/>
      <w:szCs w:val="22"/>
      <w:lang w:val="en-AU" w:eastAsia="zh-CN" w:bidi="ar-SA"/>
    </w:rPr>
  </w:style>
  <w:style w:type="character" w:customStyle="1" w:styleId="HeaderChar">
    <w:name w:val="Header Char"/>
    <w:basedOn w:val="DefaultParagraphFont"/>
    <w:link w:val="Header"/>
    <w:rsid w:val="00463386"/>
    <w:rPr>
      <w:sz w:val="16"/>
    </w:rPr>
  </w:style>
  <w:style w:type="character" w:customStyle="1" w:styleId="HTMLAddressChar">
    <w:name w:val="HTML Address Char"/>
    <w:basedOn w:val="DefaultParagraphFont"/>
    <w:link w:val="HTMLAddress"/>
    <w:rsid w:val="009A56D1"/>
    <w:rPr>
      <w:rFonts w:ascii="Calibri" w:eastAsia="SimSun" w:hAnsi="Calibri"/>
      <w:i/>
      <w:iCs/>
      <w:sz w:val="16"/>
      <w:szCs w:val="22"/>
      <w:lang w:val="en-AU" w:eastAsia="zh-CN" w:bidi="ar-SA"/>
    </w:rPr>
  </w:style>
  <w:style w:type="character" w:customStyle="1" w:styleId="HTMLPreformattedChar">
    <w:name w:val="HTML Preformatted Char"/>
    <w:basedOn w:val="DefaultParagraphFont"/>
    <w:link w:val="HTMLPreformatted"/>
    <w:rsid w:val="009A56D1"/>
    <w:rPr>
      <w:rFonts w:ascii="Courier New" w:eastAsia="SimSun" w:hAnsi="Courier New" w:cs="Courier New"/>
      <w:lang w:val="en-AU" w:eastAsia="zh-CN" w:bidi="ar-SA"/>
    </w:rPr>
  </w:style>
  <w:style w:type="character" w:customStyle="1" w:styleId="MessageHeaderChar">
    <w:name w:val="Message Header Char"/>
    <w:basedOn w:val="DefaultParagraphFont"/>
    <w:link w:val="MessageHeader"/>
    <w:rsid w:val="009A56D1"/>
    <w:rPr>
      <w:rFonts w:ascii="Arial" w:eastAsia="SimSun" w:hAnsi="Arial" w:cs="Arial"/>
      <w:sz w:val="16"/>
      <w:szCs w:val="22"/>
      <w:lang w:val="en-AU" w:eastAsia="zh-CN" w:bidi="ar-SA"/>
    </w:rPr>
  </w:style>
  <w:style w:type="character" w:customStyle="1" w:styleId="PlainTextChar">
    <w:name w:val="Plain Text Char"/>
    <w:basedOn w:val="DefaultParagraphFont"/>
    <w:link w:val="PlainText"/>
    <w:rsid w:val="009A56D1"/>
    <w:rPr>
      <w:rFonts w:ascii="Courier New" w:eastAsia="SimSun" w:hAnsi="Courier New" w:cs="Courier New"/>
      <w:lang w:val="en-AU" w:eastAsia="zh-CN" w:bidi="ar-SA"/>
    </w:rPr>
  </w:style>
  <w:style w:type="character" w:customStyle="1" w:styleId="SalutationChar">
    <w:name w:val="Salutation Char"/>
    <w:basedOn w:val="DefaultParagraphFont"/>
    <w:link w:val="Salutation"/>
    <w:rsid w:val="009A56D1"/>
    <w:rPr>
      <w:rFonts w:ascii="Calibri" w:eastAsia="SimSun" w:hAnsi="Calibri"/>
      <w:sz w:val="16"/>
      <w:szCs w:val="22"/>
      <w:lang w:val="en-AU" w:eastAsia="zh-CN" w:bidi="ar-SA"/>
    </w:rPr>
  </w:style>
  <w:style w:type="character" w:customStyle="1" w:styleId="SignatureChar">
    <w:name w:val="Signature Char"/>
    <w:basedOn w:val="DefaultParagraphFont"/>
    <w:link w:val="Signature"/>
    <w:rsid w:val="009A56D1"/>
    <w:rPr>
      <w:rFonts w:ascii="Calibri" w:eastAsia="SimSun" w:hAnsi="Calibri"/>
      <w:sz w:val="16"/>
      <w:szCs w:val="22"/>
      <w:lang w:val="en-AU" w:eastAsia="zh-CN" w:bidi="ar-SA"/>
    </w:rPr>
  </w:style>
  <w:style w:type="character" w:customStyle="1" w:styleId="SubtitleChar">
    <w:name w:val="Subtitle Char"/>
    <w:basedOn w:val="DefaultParagraphFont"/>
    <w:link w:val="Subtitle"/>
    <w:rsid w:val="00657DC9"/>
    <w:rPr>
      <w:rFonts w:ascii="Arial" w:eastAsia="SimSun" w:hAnsi="Arial" w:cs="Arial"/>
      <w:sz w:val="16"/>
      <w:szCs w:val="22"/>
      <w:lang w:eastAsia="zh-CN"/>
    </w:rPr>
  </w:style>
  <w:style w:type="character" w:customStyle="1" w:styleId="BalloonTextChar">
    <w:name w:val="Balloon Text Char"/>
    <w:basedOn w:val="DefaultParagraphFont"/>
    <w:link w:val="BalloonText"/>
    <w:uiPriority w:val="99"/>
    <w:rsid w:val="00463386"/>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9A56D1"/>
    <w:rPr>
      <w:rFonts w:ascii="Calibri" w:eastAsia="SimSun" w:hAnsi="Calibri"/>
      <w:lang w:val="en-AU" w:eastAsia="zh-CN" w:bidi="ar-SA"/>
    </w:rPr>
  </w:style>
  <w:style w:type="character" w:customStyle="1" w:styleId="CommentSubjectChar">
    <w:name w:val="Comment Subject Char"/>
    <w:basedOn w:val="CommentTextChar"/>
    <w:link w:val="CommentSubject"/>
    <w:rsid w:val="009A56D1"/>
    <w:rPr>
      <w:rFonts w:ascii="Calibri" w:eastAsia="SimSun" w:hAnsi="Calibri"/>
      <w:b/>
      <w:bCs/>
      <w:lang w:val="en-AU" w:eastAsia="zh-CN" w:bidi="ar-SA"/>
    </w:rPr>
  </w:style>
  <w:style w:type="character" w:customStyle="1" w:styleId="DocumentMapChar">
    <w:name w:val="Document Map Char"/>
    <w:basedOn w:val="DefaultParagraphFont"/>
    <w:link w:val="DocumentMap"/>
    <w:rsid w:val="009A56D1"/>
    <w:rPr>
      <w:rFonts w:ascii="Tahoma" w:eastAsia="SimSun" w:hAnsi="Tahoma" w:cs="Tahoma"/>
      <w:sz w:val="16"/>
      <w:szCs w:val="22"/>
      <w:lang w:val="en-AU" w:eastAsia="zh-CN" w:bidi="ar-SA"/>
    </w:rPr>
  </w:style>
  <w:style w:type="character" w:customStyle="1" w:styleId="EndnoteTextChar">
    <w:name w:val="Endnote Text Char"/>
    <w:basedOn w:val="DefaultParagraphFont"/>
    <w:link w:val="EndnoteText"/>
    <w:rsid w:val="009A56D1"/>
    <w:rPr>
      <w:rFonts w:ascii="Calibri" w:eastAsia="SimSun" w:hAnsi="Calibri"/>
      <w:lang w:val="en-AU" w:eastAsia="zh-CN" w:bidi="ar-SA"/>
    </w:rPr>
  </w:style>
  <w:style w:type="character" w:customStyle="1" w:styleId="FootnoteTextChar">
    <w:name w:val="Footnote Text Char"/>
    <w:basedOn w:val="DefaultParagraphFont"/>
    <w:link w:val="FootnoteText"/>
    <w:rsid w:val="009A56D1"/>
    <w:rPr>
      <w:rFonts w:ascii="Calibri" w:eastAsia="SimSun" w:hAnsi="Calibri"/>
      <w:lang w:val="en-AU" w:eastAsia="zh-CN" w:bidi="ar-SA"/>
    </w:rPr>
  </w:style>
  <w:style w:type="character" w:customStyle="1" w:styleId="MacroTextChar">
    <w:name w:val="Macro Text Char"/>
    <w:basedOn w:val="DefaultParagraphFont"/>
    <w:link w:val="MacroText"/>
    <w:rsid w:val="009A56D1"/>
    <w:rPr>
      <w:rFonts w:ascii="Courier New" w:hAnsi="Courier New" w:cs="Courier New"/>
      <w:lang w:val="en-AU" w:eastAsia="en-US" w:bidi="ar-SA"/>
    </w:rPr>
  </w:style>
  <w:style w:type="character" w:customStyle="1" w:styleId="TitleChar">
    <w:name w:val="Title Char"/>
    <w:basedOn w:val="DefaultParagraphFont"/>
    <w:link w:val="Title"/>
    <w:rsid w:val="00657DC9"/>
    <w:rPr>
      <w:rFonts w:ascii="Arial" w:eastAsia="SimSun" w:hAnsi="Arial" w:cs="Arial"/>
      <w:b/>
      <w:bCs/>
      <w:sz w:val="40"/>
      <w:szCs w:val="40"/>
      <w:lang w:eastAsia="zh-CN"/>
    </w:rPr>
  </w:style>
  <w:style w:type="paragraph" w:styleId="ListParagraph">
    <w:name w:val="List Paragraph"/>
    <w:basedOn w:val="Normal"/>
    <w:link w:val="ListParagraphChar"/>
    <w:uiPriority w:val="34"/>
    <w:qFormat/>
    <w:rsid w:val="00657DC9"/>
    <w:pPr>
      <w:ind w:left="720"/>
      <w:contextualSpacing/>
    </w:pPr>
  </w:style>
  <w:style w:type="table" w:customStyle="1" w:styleId="HeadingTable">
    <w:name w:val="HeadingTable"/>
    <w:basedOn w:val="TableGrid"/>
    <w:rsid w:val="009A56D1"/>
    <w:rPr>
      <w:rFonts w:ascii="Calibri" w:eastAsia="SimSun" w:hAnsi="Calibri"/>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
    <w:name w:val="Table-DrugItem"/>
    <w:basedOn w:val="TableNormal"/>
    <w:rsid w:val="009A56D1"/>
    <w:rPr>
      <w:rFonts w:ascii="Calibri" w:eastAsia="SimSun"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9A56D1"/>
    <w:rPr>
      <w:rFonts w:ascii="Calibri" w:eastAsia="SimSun" w:hAnsi="Calibri"/>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rsid w:val="009A56D1"/>
    <w:rPr>
      <w:rFonts w:ascii="Calibri" w:eastAsia="SimSun" w:hAnsi="Calibri"/>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
    <w:name w:val="Table-Item"/>
    <w:basedOn w:val="TableNormal"/>
    <w:rsid w:val="009A56D1"/>
    <w:rPr>
      <w:rFonts w:ascii="Calibri" w:eastAsia="SimSun" w:hAnsi="Calibri"/>
    </w:rPr>
    <w:tblPr/>
  </w:style>
  <w:style w:type="character" w:customStyle="1" w:styleId="paragraphChar">
    <w:name w:val="paragraph Char"/>
    <w:aliases w:val="a Char"/>
    <w:link w:val="paragraph"/>
    <w:rsid w:val="004C79BE"/>
    <w:rPr>
      <w:sz w:val="22"/>
    </w:rPr>
  </w:style>
  <w:style w:type="paragraph" w:customStyle="1" w:styleId="ActHead3">
    <w:name w:val="ActHead 3"/>
    <w:aliases w:val="d"/>
    <w:basedOn w:val="OPCParaBase"/>
    <w:next w:val="ActHead4"/>
    <w:qFormat/>
    <w:rsid w:val="0046338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6338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6338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6338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6338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6338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6338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63386"/>
  </w:style>
  <w:style w:type="paragraph" w:customStyle="1" w:styleId="Blocks">
    <w:name w:val="Blocks"/>
    <w:aliases w:val="bb"/>
    <w:basedOn w:val="OPCParaBase"/>
    <w:qFormat/>
    <w:rsid w:val="00463386"/>
    <w:pPr>
      <w:spacing w:line="240" w:lineRule="auto"/>
    </w:pPr>
    <w:rPr>
      <w:sz w:val="24"/>
    </w:rPr>
  </w:style>
  <w:style w:type="paragraph" w:customStyle="1" w:styleId="BoxText">
    <w:name w:val="BoxText"/>
    <w:aliases w:val="bt"/>
    <w:basedOn w:val="OPCParaBase"/>
    <w:qFormat/>
    <w:rsid w:val="0046338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63386"/>
    <w:rPr>
      <w:b/>
    </w:rPr>
  </w:style>
  <w:style w:type="paragraph" w:customStyle="1" w:styleId="BoxHeadItalic">
    <w:name w:val="BoxHeadItalic"/>
    <w:aliases w:val="bhi"/>
    <w:basedOn w:val="BoxText"/>
    <w:next w:val="BoxStep"/>
    <w:qFormat/>
    <w:rsid w:val="00463386"/>
    <w:rPr>
      <w:i/>
    </w:rPr>
  </w:style>
  <w:style w:type="paragraph" w:customStyle="1" w:styleId="BoxList">
    <w:name w:val="BoxList"/>
    <w:aliases w:val="bl"/>
    <w:basedOn w:val="BoxText"/>
    <w:qFormat/>
    <w:rsid w:val="00463386"/>
    <w:pPr>
      <w:ind w:left="1559" w:hanging="425"/>
    </w:pPr>
  </w:style>
  <w:style w:type="paragraph" w:customStyle="1" w:styleId="BoxNote">
    <w:name w:val="BoxNote"/>
    <w:aliases w:val="bn"/>
    <w:basedOn w:val="BoxText"/>
    <w:qFormat/>
    <w:rsid w:val="00463386"/>
    <w:pPr>
      <w:tabs>
        <w:tab w:val="left" w:pos="1985"/>
      </w:tabs>
      <w:spacing w:before="122" w:line="198" w:lineRule="exact"/>
      <w:ind w:left="2948" w:hanging="1814"/>
    </w:pPr>
    <w:rPr>
      <w:sz w:val="18"/>
    </w:rPr>
  </w:style>
  <w:style w:type="paragraph" w:customStyle="1" w:styleId="BoxPara">
    <w:name w:val="BoxPara"/>
    <w:aliases w:val="bp"/>
    <w:basedOn w:val="BoxText"/>
    <w:qFormat/>
    <w:rsid w:val="00463386"/>
    <w:pPr>
      <w:tabs>
        <w:tab w:val="right" w:pos="2268"/>
      </w:tabs>
      <w:ind w:left="2552" w:hanging="1418"/>
    </w:pPr>
  </w:style>
  <w:style w:type="paragraph" w:customStyle="1" w:styleId="BoxStep">
    <w:name w:val="BoxStep"/>
    <w:aliases w:val="bs"/>
    <w:basedOn w:val="BoxText"/>
    <w:qFormat/>
    <w:rsid w:val="00463386"/>
    <w:pPr>
      <w:ind w:left="1985" w:hanging="851"/>
    </w:pPr>
  </w:style>
  <w:style w:type="character" w:customStyle="1" w:styleId="CharAmPartNo">
    <w:name w:val="CharAmPartNo"/>
    <w:basedOn w:val="OPCCharBase"/>
    <w:uiPriority w:val="1"/>
    <w:qFormat/>
    <w:rsid w:val="00463386"/>
  </w:style>
  <w:style w:type="character" w:customStyle="1" w:styleId="CharAmPartText">
    <w:name w:val="CharAmPartText"/>
    <w:basedOn w:val="OPCCharBase"/>
    <w:uiPriority w:val="1"/>
    <w:qFormat/>
    <w:rsid w:val="00463386"/>
  </w:style>
  <w:style w:type="character" w:customStyle="1" w:styleId="CharBoldItalic">
    <w:name w:val="CharBoldItalic"/>
    <w:basedOn w:val="OPCCharBase"/>
    <w:uiPriority w:val="1"/>
    <w:qFormat/>
    <w:rsid w:val="00463386"/>
    <w:rPr>
      <w:b/>
      <w:i/>
    </w:rPr>
  </w:style>
  <w:style w:type="character" w:customStyle="1" w:styleId="CharItalic">
    <w:name w:val="CharItalic"/>
    <w:basedOn w:val="OPCCharBase"/>
    <w:uiPriority w:val="1"/>
    <w:qFormat/>
    <w:rsid w:val="00463386"/>
    <w:rPr>
      <w:i/>
    </w:rPr>
  </w:style>
  <w:style w:type="character" w:customStyle="1" w:styleId="CharSubdNo">
    <w:name w:val="CharSubdNo"/>
    <w:basedOn w:val="OPCCharBase"/>
    <w:uiPriority w:val="1"/>
    <w:qFormat/>
    <w:rsid w:val="00463386"/>
  </w:style>
  <w:style w:type="character" w:customStyle="1" w:styleId="CharSubdText">
    <w:name w:val="CharSubdText"/>
    <w:basedOn w:val="OPCCharBase"/>
    <w:uiPriority w:val="1"/>
    <w:qFormat/>
    <w:rsid w:val="00463386"/>
  </w:style>
  <w:style w:type="paragraph" w:customStyle="1" w:styleId="CTA--">
    <w:name w:val="CTA --"/>
    <w:basedOn w:val="OPCParaBase"/>
    <w:next w:val="Normal"/>
    <w:rsid w:val="00463386"/>
    <w:pPr>
      <w:spacing w:before="60" w:line="240" w:lineRule="atLeast"/>
      <w:ind w:left="142" w:hanging="142"/>
    </w:pPr>
    <w:rPr>
      <w:sz w:val="20"/>
    </w:rPr>
  </w:style>
  <w:style w:type="paragraph" w:customStyle="1" w:styleId="CTA-">
    <w:name w:val="CTA -"/>
    <w:basedOn w:val="OPCParaBase"/>
    <w:rsid w:val="00463386"/>
    <w:pPr>
      <w:spacing w:before="60" w:line="240" w:lineRule="atLeast"/>
      <w:ind w:left="85" w:hanging="85"/>
    </w:pPr>
    <w:rPr>
      <w:sz w:val="20"/>
    </w:rPr>
  </w:style>
  <w:style w:type="paragraph" w:customStyle="1" w:styleId="CTA---">
    <w:name w:val="CTA ---"/>
    <w:basedOn w:val="OPCParaBase"/>
    <w:next w:val="Normal"/>
    <w:rsid w:val="00463386"/>
    <w:pPr>
      <w:spacing w:before="60" w:line="240" w:lineRule="atLeast"/>
      <w:ind w:left="198" w:hanging="198"/>
    </w:pPr>
    <w:rPr>
      <w:sz w:val="20"/>
    </w:rPr>
  </w:style>
  <w:style w:type="paragraph" w:customStyle="1" w:styleId="CTA----">
    <w:name w:val="CTA ----"/>
    <w:basedOn w:val="OPCParaBase"/>
    <w:next w:val="Normal"/>
    <w:rsid w:val="00463386"/>
    <w:pPr>
      <w:spacing w:before="60" w:line="240" w:lineRule="atLeast"/>
      <w:ind w:left="255" w:hanging="255"/>
    </w:pPr>
    <w:rPr>
      <w:sz w:val="20"/>
    </w:rPr>
  </w:style>
  <w:style w:type="paragraph" w:customStyle="1" w:styleId="CTA1a">
    <w:name w:val="CTA 1(a)"/>
    <w:basedOn w:val="OPCParaBase"/>
    <w:rsid w:val="00463386"/>
    <w:pPr>
      <w:tabs>
        <w:tab w:val="right" w:pos="414"/>
      </w:tabs>
      <w:spacing w:before="40" w:line="240" w:lineRule="atLeast"/>
      <w:ind w:left="675" w:hanging="675"/>
    </w:pPr>
    <w:rPr>
      <w:sz w:val="20"/>
    </w:rPr>
  </w:style>
  <w:style w:type="paragraph" w:customStyle="1" w:styleId="CTA1ai">
    <w:name w:val="CTA 1(a)(i)"/>
    <w:basedOn w:val="OPCParaBase"/>
    <w:rsid w:val="00463386"/>
    <w:pPr>
      <w:tabs>
        <w:tab w:val="right" w:pos="1004"/>
      </w:tabs>
      <w:spacing w:before="40" w:line="240" w:lineRule="atLeast"/>
      <w:ind w:left="1253" w:hanging="1253"/>
    </w:pPr>
    <w:rPr>
      <w:sz w:val="20"/>
    </w:rPr>
  </w:style>
  <w:style w:type="paragraph" w:customStyle="1" w:styleId="CTA2a">
    <w:name w:val="CTA 2(a)"/>
    <w:basedOn w:val="OPCParaBase"/>
    <w:rsid w:val="00463386"/>
    <w:pPr>
      <w:tabs>
        <w:tab w:val="right" w:pos="482"/>
      </w:tabs>
      <w:spacing w:before="40" w:line="240" w:lineRule="atLeast"/>
      <w:ind w:left="748" w:hanging="748"/>
    </w:pPr>
    <w:rPr>
      <w:sz w:val="20"/>
    </w:rPr>
  </w:style>
  <w:style w:type="paragraph" w:customStyle="1" w:styleId="CTA2ai">
    <w:name w:val="CTA 2(a)(i)"/>
    <w:basedOn w:val="OPCParaBase"/>
    <w:rsid w:val="00463386"/>
    <w:pPr>
      <w:tabs>
        <w:tab w:val="right" w:pos="1089"/>
      </w:tabs>
      <w:spacing w:before="40" w:line="240" w:lineRule="atLeast"/>
      <w:ind w:left="1327" w:hanging="1327"/>
    </w:pPr>
    <w:rPr>
      <w:sz w:val="20"/>
    </w:rPr>
  </w:style>
  <w:style w:type="paragraph" w:customStyle="1" w:styleId="CTA3a">
    <w:name w:val="CTA 3(a)"/>
    <w:basedOn w:val="OPCParaBase"/>
    <w:rsid w:val="00463386"/>
    <w:pPr>
      <w:tabs>
        <w:tab w:val="right" w:pos="556"/>
      </w:tabs>
      <w:spacing w:before="40" w:line="240" w:lineRule="atLeast"/>
      <w:ind w:left="805" w:hanging="805"/>
    </w:pPr>
    <w:rPr>
      <w:sz w:val="20"/>
    </w:rPr>
  </w:style>
  <w:style w:type="paragraph" w:customStyle="1" w:styleId="CTA3ai">
    <w:name w:val="CTA 3(a)(i)"/>
    <w:basedOn w:val="OPCParaBase"/>
    <w:rsid w:val="00463386"/>
    <w:pPr>
      <w:tabs>
        <w:tab w:val="right" w:pos="1140"/>
      </w:tabs>
      <w:spacing w:before="40" w:line="240" w:lineRule="atLeast"/>
      <w:ind w:left="1361" w:hanging="1361"/>
    </w:pPr>
    <w:rPr>
      <w:sz w:val="20"/>
    </w:rPr>
  </w:style>
  <w:style w:type="paragraph" w:customStyle="1" w:styleId="CTA4a">
    <w:name w:val="CTA 4(a)"/>
    <w:basedOn w:val="OPCParaBase"/>
    <w:rsid w:val="00463386"/>
    <w:pPr>
      <w:tabs>
        <w:tab w:val="right" w:pos="624"/>
      </w:tabs>
      <w:spacing w:before="40" w:line="240" w:lineRule="atLeast"/>
      <w:ind w:left="873" w:hanging="873"/>
    </w:pPr>
    <w:rPr>
      <w:sz w:val="20"/>
    </w:rPr>
  </w:style>
  <w:style w:type="paragraph" w:customStyle="1" w:styleId="CTA4ai">
    <w:name w:val="CTA 4(a)(i)"/>
    <w:basedOn w:val="OPCParaBase"/>
    <w:rsid w:val="00463386"/>
    <w:pPr>
      <w:tabs>
        <w:tab w:val="right" w:pos="1213"/>
      </w:tabs>
      <w:spacing w:before="40" w:line="240" w:lineRule="atLeast"/>
      <w:ind w:left="1452" w:hanging="1452"/>
    </w:pPr>
    <w:rPr>
      <w:sz w:val="20"/>
    </w:rPr>
  </w:style>
  <w:style w:type="paragraph" w:customStyle="1" w:styleId="CTACAPS">
    <w:name w:val="CTA CAPS"/>
    <w:basedOn w:val="OPCParaBase"/>
    <w:rsid w:val="00463386"/>
    <w:pPr>
      <w:spacing w:before="60" w:line="240" w:lineRule="atLeast"/>
    </w:pPr>
    <w:rPr>
      <w:sz w:val="20"/>
    </w:rPr>
  </w:style>
  <w:style w:type="paragraph" w:customStyle="1" w:styleId="CTAright">
    <w:name w:val="CTA right"/>
    <w:basedOn w:val="OPCParaBase"/>
    <w:rsid w:val="00463386"/>
    <w:pPr>
      <w:spacing w:before="60" w:line="240" w:lineRule="auto"/>
      <w:jc w:val="right"/>
    </w:pPr>
    <w:rPr>
      <w:sz w:val="20"/>
    </w:rPr>
  </w:style>
  <w:style w:type="paragraph" w:customStyle="1" w:styleId="subsection">
    <w:name w:val="subsection"/>
    <w:aliases w:val="ss,Subsection"/>
    <w:basedOn w:val="OPCParaBase"/>
    <w:link w:val="subsectionChar"/>
    <w:rsid w:val="00463386"/>
    <w:pPr>
      <w:tabs>
        <w:tab w:val="right" w:pos="1021"/>
      </w:tabs>
      <w:spacing w:before="180" w:line="240" w:lineRule="auto"/>
      <w:ind w:left="1134" w:hanging="1134"/>
    </w:pPr>
  </w:style>
  <w:style w:type="paragraph" w:customStyle="1" w:styleId="Definition">
    <w:name w:val="Definition"/>
    <w:aliases w:val="dd"/>
    <w:basedOn w:val="OPCParaBase"/>
    <w:rsid w:val="00463386"/>
    <w:pPr>
      <w:spacing w:before="180" w:line="240" w:lineRule="auto"/>
      <w:ind w:left="1134"/>
    </w:pPr>
  </w:style>
  <w:style w:type="paragraph" w:customStyle="1" w:styleId="House">
    <w:name w:val="House"/>
    <w:basedOn w:val="OPCParaBase"/>
    <w:rsid w:val="00463386"/>
    <w:pPr>
      <w:spacing w:line="240" w:lineRule="auto"/>
    </w:pPr>
    <w:rPr>
      <w:sz w:val="28"/>
    </w:rPr>
  </w:style>
  <w:style w:type="paragraph" w:customStyle="1" w:styleId="Item">
    <w:name w:val="Item"/>
    <w:aliases w:val="i"/>
    <w:basedOn w:val="OPCParaBase"/>
    <w:next w:val="ItemHead"/>
    <w:rsid w:val="00463386"/>
    <w:pPr>
      <w:keepLines/>
      <w:spacing w:before="80" w:line="240" w:lineRule="auto"/>
      <w:ind w:left="709"/>
    </w:pPr>
  </w:style>
  <w:style w:type="paragraph" w:customStyle="1" w:styleId="ItemHead">
    <w:name w:val="ItemHead"/>
    <w:aliases w:val="ih"/>
    <w:basedOn w:val="OPCParaBase"/>
    <w:next w:val="Item"/>
    <w:rsid w:val="0046338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63386"/>
    <w:pPr>
      <w:spacing w:line="240" w:lineRule="auto"/>
    </w:pPr>
    <w:rPr>
      <w:b/>
      <w:sz w:val="32"/>
    </w:rPr>
  </w:style>
  <w:style w:type="paragraph" w:customStyle="1" w:styleId="notedraft">
    <w:name w:val="note(draft)"/>
    <w:aliases w:val="nd"/>
    <w:basedOn w:val="OPCParaBase"/>
    <w:rsid w:val="00463386"/>
    <w:pPr>
      <w:spacing w:before="240" w:line="240" w:lineRule="auto"/>
      <w:ind w:left="284" w:hanging="284"/>
    </w:pPr>
    <w:rPr>
      <w:i/>
      <w:sz w:val="24"/>
    </w:rPr>
  </w:style>
  <w:style w:type="paragraph" w:customStyle="1" w:styleId="notemargin">
    <w:name w:val="note(margin)"/>
    <w:aliases w:val="nm"/>
    <w:basedOn w:val="OPCParaBase"/>
    <w:rsid w:val="00463386"/>
    <w:pPr>
      <w:tabs>
        <w:tab w:val="left" w:pos="709"/>
      </w:tabs>
      <w:spacing w:before="122" w:line="198" w:lineRule="exact"/>
      <w:ind w:left="709" w:hanging="709"/>
    </w:pPr>
    <w:rPr>
      <w:sz w:val="18"/>
    </w:rPr>
  </w:style>
  <w:style w:type="paragraph" w:customStyle="1" w:styleId="notepara">
    <w:name w:val="note(para)"/>
    <w:aliases w:val="na"/>
    <w:basedOn w:val="OPCParaBase"/>
    <w:rsid w:val="00463386"/>
    <w:pPr>
      <w:spacing w:before="40" w:line="198" w:lineRule="exact"/>
      <w:ind w:left="2354" w:hanging="369"/>
    </w:pPr>
    <w:rPr>
      <w:sz w:val="18"/>
    </w:rPr>
  </w:style>
  <w:style w:type="paragraph" w:customStyle="1" w:styleId="noteParlAmend">
    <w:name w:val="note(ParlAmend)"/>
    <w:aliases w:val="npp"/>
    <w:basedOn w:val="OPCParaBase"/>
    <w:next w:val="ParlAmend"/>
    <w:rsid w:val="00463386"/>
    <w:pPr>
      <w:spacing w:line="240" w:lineRule="auto"/>
      <w:jc w:val="right"/>
    </w:pPr>
    <w:rPr>
      <w:rFonts w:ascii="Arial" w:hAnsi="Arial"/>
      <w:b/>
      <w:i/>
    </w:rPr>
  </w:style>
  <w:style w:type="paragraph" w:customStyle="1" w:styleId="Page1">
    <w:name w:val="Page1"/>
    <w:basedOn w:val="OPCParaBase"/>
    <w:rsid w:val="00463386"/>
    <w:pPr>
      <w:spacing w:before="5600" w:line="240" w:lineRule="auto"/>
    </w:pPr>
    <w:rPr>
      <w:b/>
      <w:sz w:val="32"/>
    </w:rPr>
  </w:style>
  <w:style w:type="paragraph" w:customStyle="1" w:styleId="paragraphsub">
    <w:name w:val="paragraph(sub)"/>
    <w:aliases w:val="aa"/>
    <w:basedOn w:val="OPCParaBase"/>
    <w:rsid w:val="00463386"/>
    <w:pPr>
      <w:tabs>
        <w:tab w:val="right" w:pos="1985"/>
      </w:tabs>
      <w:spacing w:before="40" w:line="240" w:lineRule="auto"/>
      <w:ind w:left="2098" w:hanging="2098"/>
    </w:pPr>
  </w:style>
  <w:style w:type="paragraph" w:customStyle="1" w:styleId="paragraphsub-sub">
    <w:name w:val="paragraph(sub-sub)"/>
    <w:aliases w:val="aaa"/>
    <w:basedOn w:val="OPCParaBase"/>
    <w:rsid w:val="00463386"/>
    <w:pPr>
      <w:tabs>
        <w:tab w:val="right" w:pos="2722"/>
      </w:tabs>
      <w:spacing w:before="40" w:line="240" w:lineRule="auto"/>
      <w:ind w:left="2835" w:hanging="2835"/>
    </w:pPr>
  </w:style>
  <w:style w:type="paragraph" w:customStyle="1" w:styleId="ParlAmend">
    <w:name w:val="ParlAmend"/>
    <w:aliases w:val="pp"/>
    <w:basedOn w:val="OPCParaBase"/>
    <w:rsid w:val="00463386"/>
    <w:pPr>
      <w:spacing w:before="240" w:line="240" w:lineRule="atLeast"/>
      <w:ind w:hanging="567"/>
    </w:pPr>
    <w:rPr>
      <w:sz w:val="24"/>
    </w:rPr>
  </w:style>
  <w:style w:type="paragraph" w:customStyle="1" w:styleId="Portfolio">
    <w:name w:val="Portfolio"/>
    <w:basedOn w:val="OPCParaBase"/>
    <w:rsid w:val="00463386"/>
    <w:pPr>
      <w:spacing w:line="240" w:lineRule="auto"/>
    </w:pPr>
    <w:rPr>
      <w:i/>
      <w:sz w:val="20"/>
    </w:rPr>
  </w:style>
  <w:style w:type="paragraph" w:customStyle="1" w:styleId="Preamble">
    <w:name w:val="Preamble"/>
    <w:basedOn w:val="OPCParaBase"/>
    <w:next w:val="Normal"/>
    <w:rsid w:val="0046338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63386"/>
    <w:pPr>
      <w:spacing w:line="240" w:lineRule="auto"/>
    </w:pPr>
    <w:rPr>
      <w:i/>
      <w:sz w:val="20"/>
    </w:rPr>
  </w:style>
  <w:style w:type="paragraph" w:customStyle="1" w:styleId="Session">
    <w:name w:val="Session"/>
    <w:basedOn w:val="OPCParaBase"/>
    <w:rsid w:val="00463386"/>
    <w:pPr>
      <w:spacing w:line="240" w:lineRule="auto"/>
    </w:pPr>
    <w:rPr>
      <w:sz w:val="28"/>
    </w:rPr>
  </w:style>
  <w:style w:type="paragraph" w:customStyle="1" w:styleId="Sponsor">
    <w:name w:val="Sponsor"/>
    <w:basedOn w:val="OPCParaBase"/>
    <w:rsid w:val="00463386"/>
    <w:pPr>
      <w:spacing w:line="240" w:lineRule="auto"/>
    </w:pPr>
    <w:rPr>
      <w:i/>
    </w:rPr>
  </w:style>
  <w:style w:type="paragraph" w:customStyle="1" w:styleId="Subitem">
    <w:name w:val="Subitem"/>
    <w:aliases w:val="iss"/>
    <w:basedOn w:val="OPCParaBase"/>
    <w:rsid w:val="00463386"/>
    <w:pPr>
      <w:spacing w:before="180" w:line="240" w:lineRule="auto"/>
      <w:ind w:left="709" w:hanging="709"/>
    </w:pPr>
  </w:style>
  <w:style w:type="paragraph" w:customStyle="1" w:styleId="SubitemHead">
    <w:name w:val="SubitemHead"/>
    <w:aliases w:val="issh"/>
    <w:basedOn w:val="OPCParaBase"/>
    <w:rsid w:val="0046338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63386"/>
    <w:pPr>
      <w:spacing w:before="40" w:line="240" w:lineRule="auto"/>
      <w:ind w:left="1134"/>
    </w:pPr>
  </w:style>
  <w:style w:type="paragraph" w:customStyle="1" w:styleId="SubsectionHead">
    <w:name w:val="SubsectionHead"/>
    <w:aliases w:val="ssh"/>
    <w:basedOn w:val="OPCParaBase"/>
    <w:next w:val="subsection"/>
    <w:rsid w:val="00463386"/>
    <w:pPr>
      <w:keepNext/>
      <w:keepLines/>
      <w:spacing w:before="240" w:line="240" w:lineRule="auto"/>
      <w:ind w:left="1134"/>
    </w:pPr>
    <w:rPr>
      <w:i/>
    </w:rPr>
  </w:style>
  <w:style w:type="paragraph" w:customStyle="1" w:styleId="Tablea">
    <w:name w:val="Table(a)"/>
    <w:aliases w:val="ta"/>
    <w:basedOn w:val="OPCParaBase"/>
    <w:rsid w:val="00463386"/>
    <w:pPr>
      <w:spacing w:before="60" w:line="240" w:lineRule="auto"/>
      <w:ind w:left="284" w:hanging="284"/>
    </w:pPr>
    <w:rPr>
      <w:sz w:val="20"/>
    </w:rPr>
  </w:style>
  <w:style w:type="paragraph" w:customStyle="1" w:styleId="TableAA">
    <w:name w:val="Table(AA)"/>
    <w:aliases w:val="taaa"/>
    <w:basedOn w:val="OPCParaBase"/>
    <w:rsid w:val="0046338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6338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463386"/>
    <w:pPr>
      <w:spacing w:before="60" w:line="240" w:lineRule="atLeast"/>
    </w:pPr>
    <w:rPr>
      <w:sz w:val="20"/>
    </w:rPr>
  </w:style>
  <w:style w:type="paragraph" w:customStyle="1" w:styleId="TLPBoxTextnote">
    <w:name w:val="TLPBoxText(note"/>
    <w:aliases w:val="right)"/>
    <w:basedOn w:val="OPCParaBase"/>
    <w:rsid w:val="0046338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63386"/>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63386"/>
    <w:pPr>
      <w:spacing w:before="122" w:line="198" w:lineRule="exact"/>
      <w:ind w:left="1985" w:hanging="851"/>
      <w:jc w:val="right"/>
    </w:pPr>
    <w:rPr>
      <w:sz w:val="18"/>
    </w:rPr>
  </w:style>
  <w:style w:type="paragraph" w:customStyle="1" w:styleId="TLPTableBullet">
    <w:name w:val="TLPTableBullet"/>
    <w:aliases w:val="ttb"/>
    <w:basedOn w:val="OPCParaBase"/>
    <w:rsid w:val="00463386"/>
    <w:pPr>
      <w:spacing w:line="240" w:lineRule="exact"/>
      <w:ind w:left="284" w:hanging="284"/>
    </w:pPr>
    <w:rPr>
      <w:sz w:val="20"/>
    </w:rPr>
  </w:style>
  <w:style w:type="paragraph" w:customStyle="1" w:styleId="TofSectsGroupHeading">
    <w:name w:val="TofSects(GroupHeading)"/>
    <w:basedOn w:val="OPCParaBase"/>
    <w:next w:val="TofSectsSection"/>
    <w:rsid w:val="00463386"/>
    <w:pPr>
      <w:keepLines/>
      <w:spacing w:before="240" w:after="120" w:line="240" w:lineRule="auto"/>
      <w:ind w:left="794"/>
    </w:pPr>
    <w:rPr>
      <w:b/>
      <w:kern w:val="28"/>
      <w:sz w:val="20"/>
    </w:rPr>
  </w:style>
  <w:style w:type="paragraph" w:customStyle="1" w:styleId="TofSectsHeading">
    <w:name w:val="TofSects(Heading)"/>
    <w:basedOn w:val="OPCParaBase"/>
    <w:rsid w:val="00463386"/>
    <w:pPr>
      <w:spacing w:before="240" w:after="120" w:line="240" w:lineRule="auto"/>
    </w:pPr>
    <w:rPr>
      <w:b/>
      <w:sz w:val="24"/>
    </w:rPr>
  </w:style>
  <w:style w:type="paragraph" w:customStyle="1" w:styleId="TofSectsSection">
    <w:name w:val="TofSects(Section)"/>
    <w:basedOn w:val="OPCParaBase"/>
    <w:rsid w:val="00463386"/>
    <w:pPr>
      <w:keepLines/>
      <w:spacing w:before="40" w:line="240" w:lineRule="auto"/>
      <w:ind w:left="1588" w:hanging="794"/>
    </w:pPr>
    <w:rPr>
      <w:kern w:val="28"/>
      <w:sz w:val="18"/>
    </w:rPr>
  </w:style>
  <w:style w:type="paragraph" w:customStyle="1" w:styleId="TofSectsSubdiv">
    <w:name w:val="TofSects(Subdiv)"/>
    <w:basedOn w:val="OPCParaBase"/>
    <w:rsid w:val="00463386"/>
    <w:pPr>
      <w:keepLines/>
      <w:spacing w:before="80" w:line="240" w:lineRule="auto"/>
      <w:ind w:left="1588" w:hanging="794"/>
    </w:pPr>
    <w:rPr>
      <w:kern w:val="28"/>
    </w:rPr>
  </w:style>
  <w:style w:type="paragraph" w:customStyle="1" w:styleId="WRStyle">
    <w:name w:val="WR Style"/>
    <w:aliases w:val="WR"/>
    <w:basedOn w:val="OPCParaBase"/>
    <w:rsid w:val="00463386"/>
    <w:pPr>
      <w:spacing w:before="240" w:line="240" w:lineRule="auto"/>
      <w:ind w:left="284" w:hanging="284"/>
    </w:pPr>
    <w:rPr>
      <w:b/>
      <w:i/>
      <w:kern w:val="28"/>
      <w:sz w:val="24"/>
    </w:rPr>
  </w:style>
  <w:style w:type="numbering" w:customStyle="1" w:styleId="OPCBodyList">
    <w:name w:val="OPCBodyList"/>
    <w:uiPriority w:val="99"/>
    <w:rsid w:val="00295F4A"/>
    <w:pPr>
      <w:numPr>
        <w:numId w:val="5"/>
      </w:numPr>
    </w:pPr>
  </w:style>
  <w:style w:type="paragraph" w:customStyle="1" w:styleId="noteToPara">
    <w:name w:val="noteToPara"/>
    <w:aliases w:val="ntp"/>
    <w:basedOn w:val="OPCParaBase"/>
    <w:rsid w:val="00463386"/>
    <w:pPr>
      <w:spacing w:before="122" w:line="198" w:lineRule="exact"/>
      <w:ind w:left="2353" w:hanging="709"/>
    </w:pPr>
    <w:rPr>
      <w:sz w:val="18"/>
    </w:rPr>
  </w:style>
  <w:style w:type="paragraph" w:customStyle="1" w:styleId="TableHeading">
    <w:name w:val="TableHeading"/>
    <w:aliases w:val="th"/>
    <w:basedOn w:val="OPCParaBase"/>
    <w:next w:val="Tabletext"/>
    <w:rsid w:val="00463386"/>
    <w:pPr>
      <w:keepNext/>
      <w:spacing w:before="60" w:line="240" w:lineRule="atLeast"/>
    </w:pPr>
    <w:rPr>
      <w:b/>
      <w:sz w:val="20"/>
    </w:rPr>
  </w:style>
  <w:style w:type="table" w:customStyle="1" w:styleId="CFlag">
    <w:name w:val="CFlag"/>
    <w:basedOn w:val="TableNormal"/>
    <w:uiPriority w:val="99"/>
    <w:rsid w:val="00463386"/>
    <w:tblPr/>
  </w:style>
  <w:style w:type="paragraph" w:customStyle="1" w:styleId="ENotesText">
    <w:name w:val="ENotesText"/>
    <w:aliases w:val="Ent"/>
    <w:basedOn w:val="OPCParaBase"/>
    <w:next w:val="Normal"/>
    <w:rsid w:val="00463386"/>
    <w:pPr>
      <w:spacing w:before="120"/>
    </w:pPr>
  </w:style>
  <w:style w:type="paragraph" w:customStyle="1" w:styleId="CompiledActNo">
    <w:name w:val="CompiledActNo"/>
    <w:basedOn w:val="OPCParaBase"/>
    <w:next w:val="Normal"/>
    <w:rsid w:val="00463386"/>
    <w:rPr>
      <w:b/>
      <w:sz w:val="24"/>
      <w:szCs w:val="24"/>
    </w:rPr>
  </w:style>
  <w:style w:type="paragraph" w:customStyle="1" w:styleId="CompiledMadeUnder">
    <w:name w:val="CompiledMadeUnder"/>
    <w:basedOn w:val="OPCParaBase"/>
    <w:next w:val="Normal"/>
    <w:rsid w:val="00463386"/>
    <w:rPr>
      <w:i/>
      <w:sz w:val="24"/>
      <w:szCs w:val="24"/>
    </w:rPr>
  </w:style>
  <w:style w:type="paragraph" w:customStyle="1" w:styleId="Paragraphsub-sub-sub">
    <w:name w:val="Paragraph(sub-sub-sub)"/>
    <w:aliases w:val="aaaa"/>
    <w:basedOn w:val="OPCParaBase"/>
    <w:rsid w:val="0046338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6338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6338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6338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6338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63386"/>
    <w:pPr>
      <w:spacing w:before="60" w:line="240" w:lineRule="auto"/>
    </w:pPr>
    <w:rPr>
      <w:rFonts w:cs="Arial"/>
      <w:sz w:val="20"/>
      <w:szCs w:val="22"/>
    </w:rPr>
  </w:style>
  <w:style w:type="paragraph" w:customStyle="1" w:styleId="NoteToSubpara">
    <w:name w:val="NoteToSubpara"/>
    <w:aliases w:val="nts"/>
    <w:basedOn w:val="OPCParaBase"/>
    <w:rsid w:val="00463386"/>
    <w:pPr>
      <w:spacing w:before="40" w:line="198" w:lineRule="exact"/>
      <w:ind w:left="2835" w:hanging="709"/>
    </w:pPr>
    <w:rPr>
      <w:sz w:val="18"/>
    </w:rPr>
  </w:style>
  <w:style w:type="paragraph" w:customStyle="1" w:styleId="ENoteTableHeading">
    <w:name w:val="ENoteTableHeading"/>
    <w:aliases w:val="enth"/>
    <w:basedOn w:val="OPCParaBase"/>
    <w:rsid w:val="00463386"/>
    <w:pPr>
      <w:keepNext/>
      <w:spacing w:before="60" w:line="240" w:lineRule="atLeast"/>
    </w:pPr>
    <w:rPr>
      <w:rFonts w:ascii="Arial" w:hAnsi="Arial"/>
      <w:b/>
      <w:sz w:val="16"/>
    </w:rPr>
  </w:style>
  <w:style w:type="paragraph" w:customStyle="1" w:styleId="ENoteTTi">
    <w:name w:val="ENoteTTi"/>
    <w:aliases w:val="entti"/>
    <w:basedOn w:val="OPCParaBase"/>
    <w:rsid w:val="00463386"/>
    <w:pPr>
      <w:keepNext/>
      <w:spacing w:before="60" w:line="240" w:lineRule="atLeast"/>
      <w:ind w:left="170"/>
    </w:pPr>
    <w:rPr>
      <w:sz w:val="16"/>
    </w:rPr>
  </w:style>
  <w:style w:type="paragraph" w:customStyle="1" w:styleId="ENotesHeading1">
    <w:name w:val="ENotesHeading 1"/>
    <w:aliases w:val="Enh1"/>
    <w:basedOn w:val="OPCParaBase"/>
    <w:next w:val="Normal"/>
    <w:rsid w:val="00463386"/>
    <w:pPr>
      <w:spacing w:before="120"/>
      <w:outlineLvl w:val="1"/>
    </w:pPr>
    <w:rPr>
      <w:b/>
      <w:sz w:val="28"/>
      <w:szCs w:val="28"/>
    </w:rPr>
  </w:style>
  <w:style w:type="paragraph" w:customStyle="1" w:styleId="ENotesHeading2">
    <w:name w:val="ENotesHeading 2"/>
    <w:aliases w:val="Enh2,ENh2"/>
    <w:basedOn w:val="OPCParaBase"/>
    <w:next w:val="Normal"/>
    <w:rsid w:val="00463386"/>
    <w:pPr>
      <w:spacing w:before="120" w:after="120"/>
      <w:outlineLvl w:val="2"/>
    </w:pPr>
    <w:rPr>
      <w:b/>
      <w:sz w:val="24"/>
      <w:szCs w:val="28"/>
    </w:rPr>
  </w:style>
  <w:style w:type="paragraph" w:customStyle="1" w:styleId="ENoteTTIndentHeading">
    <w:name w:val="ENoteTTIndentHeading"/>
    <w:aliases w:val="enTTHi"/>
    <w:basedOn w:val="OPCParaBase"/>
    <w:rsid w:val="0046338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63386"/>
    <w:pPr>
      <w:spacing w:before="60" w:line="240" w:lineRule="atLeast"/>
    </w:pPr>
    <w:rPr>
      <w:sz w:val="16"/>
    </w:rPr>
  </w:style>
  <w:style w:type="paragraph" w:customStyle="1" w:styleId="MadeunderText">
    <w:name w:val="MadeunderText"/>
    <w:basedOn w:val="OPCParaBase"/>
    <w:next w:val="CompiledMadeUnder"/>
    <w:rsid w:val="00463386"/>
    <w:pPr>
      <w:spacing w:before="240"/>
    </w:pPr>
    <w:rPr>
      <w:sz w:val="24"/>
      <w:szCs w:val="24"/>
    </w:rPr>
  </w:style>
  <w:style w:type="paragraph" w:customStyle="1" w:styleId="ENotesHeading3">
    <w:name w:val="ENotesHeading 3"/>
    <w:aliases w:val="Enh3"/>
    <w:basedOn w:val="OPCParaBase"/>
    <w:next w:val="Normal"/>
    <w:rsid w:val="00463386"/>
    <w:pPr>
      <w:keepNext/>
      <w:spacing w:before="120" w:line="240" w:lineRule="auto"/>
      <w:outlineLvl w:val="4"/>
    </w:pPr>
    <w:rPr>
      <w:b/>
      <w:szCs w:val="24"/>
    </w:rPr>
  </w:style>
  <w:style w:type="paragraph" w:customStyle="1" w:styleId="InstNo">
    <w:name w:val="InstNo"/>
    <w:basedOn w:val="OPCParaBase"/>
    <w:next w:val="Normal"/>
    <w:rsid w:val="00463386"/>
    <w:rPr>
      <w:b/>
      <w:sz w:val="28"/>
      <w:szCs w:val="32"/>
    </w:rPr>
  </w:style>
  <w:style w:type="paragraph" w:customStyle="1" w:styleId="LegislationMadeUnder">
    <w:name w:val="LegislationMadeUnder"/>
    <w:basedOn w:val="OPCParaBase"/>
    <w:next w:val="Normal"/>
    <w:rsid w:val="00463386"/>
    <w:rPr>
      <w:i/>
      <w:sz w:val="32"/>
      <w:szCs w:val="32"/>
    </w:rPr>
  </w:style>
  <w:style w:type="paragraph" w:customStyle="1" w:styleId="ActHead10">
    <w:name w:val="ActHead 10"/>
    <w:aliases w:val="sp"/>
    <w:basedOn w:val="OPCParaBase"/>
    <w:next w:val="ActHead3"/>
    <w:rsid w:val="00463386"/>
    <w:pPr>
      <w:keepNext/>
      <w:spacing w:before="280" w:line="240" w:lineRule="auto"/>
      <w:outlineLvl w:val="1"/>
    </w:pPr>
    <w:rPr>
      <w:b/>
      <w:sz w:val="32"/>
      <w:szCs w:val="30"/>
    </w:rPr>
  </w:style>
  <w:style w:type="paragraph" w:customStyle="1" w:styleId="SignCoverPageEnd">
    <w:name w:val="SignCoverPageEnd"/>
    <w:basedOn w:val="OPCParaBase"/>
    <w:next w:val="Normal"/>
    <w:rsid w:val="0046338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63386"/>
    <w:pPr>
      <w:pBdr>
        <w:top w:val="single" w:sz="4" w:space="1" w:color="auto"/>
      </w:pBdr>
      <w:spacing w:before="360"/>
      <w:ind w:right="397"/>
      <w:jc w:val="both"/>
    </w:pPr>
  </w:style>
  <w:style w:type="paragraph" w:customStyle="1" w:styleId="NotesHeading1">
    <w:name w:val="NotesHeading 1"/>
    <w:basedOn w:val="OPCParaBase"/>
    <w:next w:val="Normal"/>
    <w:rsid w:val="00463386"/>
    <w:pPr>
      <w:outlineLvl w:val="0"/>
    </w:pPr>
    <w:rPr>
      <w:b/>
      <w:sz w:val="28"/>
      <w:szCs w:val="28"/>
    </w:rPr>
  </w:style>
  <w:style w:type="paragraph" w:customStyle="1" w:styleId="NotesHeading2">
    <w:name w:val="NotesHeading 2"/>
    <w:basedOn w:val="OPCParaBase"/>
    <w:next w:val="Normal"/>
    <w:rsid w:val="00463386"/>
    <w:rPr>
      <w:b/>
      <w:sz w:val="28"/>
      <w:szCs w:val="28"/>
    </w:rPr>
  </w:style>
  <w:style w:type="character" w:customStyle="1" w:styleId="CharSchPTNo">
    <w:name w:val="CharSchPTNo"/>
    <w:basedOn w:val="DefaultParagraphFont"/>
    <w:rsid w:val="00847E99"/>
  </w:style>
  <w:style w:type="character" w:customStyle="1" w:styleId="CharSchPTText">
    <w:name w:val="CharSchPTText"/>
    <w:basedOn w:val="DefaultParagraphFont"/>
    <w:rsid w:val="00847E99"/>
  </w:style>
  <w:style w:type="character" w:customStyle="1" w:styleId="CharSchNo">
    <w:name w:val="CharSchNo"/>
    <w:basedOn w:val="DefaultParagraphFont"/>
    <w:rsid w:val="00847E99"/>
  </w:style>
  <w:style w:type="character" w:customStyle="1" w:styleId="CharSchText">
    <w:name w:val="CharSchText"/>
    <w:basedOn w:val="DefaultParagraphFont"/>
    <w:rsid w:val="00847E99"/>
  </w:style>
  <w:style w:type="character" w:customStyle="1" w:styleId="CharAmSchPTNo">
    <w:name w:val="CharAmSchPTNo"/>
    <w:basedOn w:val="DefaultParagraphFont"/>
    <w:rsid w:val="00847E99"/>
  </w:style>
  <w:style w:type="character" w:customStyle="1" w:styleId="CharAmSchPTText">
    <w:name w:val="CharAmSchPTText"/>
    <w:basedOn w:val="DefaultParagraphFont"/>
    <w:rsid w:val="00847E99"/>
  </w:style>
  <w:style w:type="paragraph" w:customStyle="1" w:styleId="TableColHead">
    <w:name w:val="TableColHead"/>
    <w:basedOn w:val="Normal"/>
    <w:rsid w:val="00847E99"/>
    <w:pPr>
      <w:keepNext/>
      <w:spacing w:before="120" w:after="60" w:line="200" w:lineRule="exact"/>
    </w:pPr>
    <w:rPr>
      <w:rFonts w:ascii="Arial" w:eastAsia="SimSun" w:hAnsi="Arial" w:cs="Times New Roman"/>
      <w:b/>
      <w:sz w:val="18"/>
      <w:szCs w:val="22"/>
      <w:lang w:eastAsia="zh-CN"/>
    </w:rPr>
  </w:style>
  <w:style w:type="table" w:customStyle="1" w:styleId="TableGeneral">
    <w:name w:val="TableGeneral"/>
    <w:basedOn w:val="TableNormal"/>
    <w:rsid w:val="00847E99"/>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TitleSuperscript">
    <w:name w:val="charTitleSuperscript"/>
    <w:basedOn w:val="DefaultParagraphFont"/>
    <w:rsid w:val="00847E99"/>
    <w:rPr>
      <w:rFonts w:ascii="Arial" w:hAnsi="Arial"/>
      <w:position w:val="6"/>
      <w:sz w:val="24"/>
      <w:szCs w:val="24"/>
      <w:vertAlign w:val="superscript"/>
    </w:rPr>
  </w:style>
  <w:style w:type="character" w:customStyle="1" w:styleId="CharENotesHeading">
    <w:name w:val="CharENotesHeading"/>
    <w:basedOn w:val="DefaultParagraphFont"/>
    <w:rsid w:val="00847E99"/>
  </w:style>
  <w:style w:type="character" w:customStyle="1" w:styleId="charCitation">
    <w:name w:val="charCitation"/>
    <w:basedOn w:val="DefaultParagraphFont"/>
    <w:rsid w:val="00847E99"/>
  </w:style>
  <w:style w:type="character" w:customStyle="1" w:styleId="CharChar">
    <w:name w:val="Char Char"/>
    <w:basedOn w:val="DefaultParagraphFont"/>
    <w:rsid w:val="00847E99"/>
    <w:rPr>
      <w:sz w:val="24"/>
      <w:szCs w:val="24"/>
    </w:rPr>
  </w:style>
  <w:style w:type="character" w:customStyle="1" w:styleId="charlegsubtitle1">
    <w:name w:val="charlegsubtitle1"/>
    <w:basedOn w:val="DefaultParagraphFont"/>
    <w:rsid w:val="00552D8E"/>
    <w:rPr>
      <w:rFonts w:ascii="Arial" w:hAnsi="Arial" w:cs="Arial" w:hint="default"/>
      <w:b/>
      <w:bCs/>
      <w:sz w:val="28"/>
      <w:szCs w:val="28"/>
    </w:rPr>
  </w:style>
  <w:style w:type="paragraph" w:customStyle="1" w:styleId="SubPartCASA">
    <w:name w:val="SubPart(CASA)"/>
    <w:aliases w:val="csp"/>
    <w:basedOn w:val="OPCParaBase"/>
    <w:next w:val="ActHead3"/>
    <w:rsid w:val="00463386"/>
    <w:pPr>
      <w:keepNext/>
      <w:keepLines/>
      <w:spacing w:before="280"/>
      <w:outlineLvl w:val="1"/>
    </w:pPr>
    <w:rPr>
      <w:b/>
      <w:kern w:val="28"/>
      <w:sz w:val="32"/>
    </w:rPr>
  </w:style>
  <w:style w:type="character" w:customStyle="1" w:styleId="CharSubPartTextCASA">
    <w:name w:val="CharSubPartText(CASA)"/>
    <w:basedOn w:val="OPCCharBase"/>
    <w:uiPriority w:val="1"/>
    <w:rsid w:val="00463386"/>
  </w:style>
  <w:style w:type="character" w:customStyle="1" w:styleId="CharSubPartNoCASA">
    <w:name w:val="CharSubPartNo(CASA)"/>
    <w:basedOn w:val="OPCCharBase"/>
    <w:uiPriority w:val="1"/>
    <w:rsid w:val="00463386"/>
  </w:style>
  <w:style w:type="paragraph" w:customStyle="1" w:styleId="ENoteTTIndentHeadingSub">
    <w:name w:val="ENoteTTIndentHeadingSub"/>
    <w:aliases w:val="enTTHis"/>
    <w:basedOn w:val="OPCParaBase"/>
    <w:rsid w:val="00463386"/>
    <w:pPr>
      <w:keepNext/>
      <w:spacing w:before="60" w:line="240" w:lineRule="atLeast"/>
      <w:ind w:left="340"/>
    </w:pPr>
    <w:rPr>
      <w:b/>
      <w:sz w:val="16"/>
    </w:rPr>
  </w:style>
  <w:style w:type="paragraph" w:customStyle="1" w:styleId="ENoteTTiSub">
    <w:name w:val="ENoteTTiSub"/>
    <w:aliases w:val="enttis"/>
    <w:basedOn w:val="OPCParaBase"/>
    <w:rsid w:val="00463386"/>
    <w:pPr>
      <w:keepNext/>
      <w:spacing w:before="60" w:line="240" w:lineRule="atLeast"/>
      <w:ind w:left="340"/>
    </w:pPr>
    <w:rPr>
      <w:sz w:val="16"/>
    </w:rPr>
  </w:style>
  <w:style w:type="paragraph" w:customStyle="1" w:styleId="SubDivisionMigration">
    <w:name w:val="SubDivisionMigration"/>
    <w:aliases w:val="sdm"/>
    <w:basedOn w:val="OPCParaBase"/>
    <w:rsid w:val="0046338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63386"/>
    <w:pPr>
      <w:keepNext/>
      <w:keepLines/>
      <w:spacing w:before="240" w:line="240" w:lineRule="auto"/>
      <w:ind w:left="1134" w:hanging="1134"/>
    </w:pPr>
    <w:rPr>
      <w:b/>
      <w:sz w:val="28"/>
    </w:rPr>
  </w:style>
  <w:style w:type="paragraph" w:customStyle="1" w:styleId="FreeForm">
    <w:name w:val="FreeForm"/>
    <w:rsid w:val="00463386"/>
    <w:rPr>
      <w:rFonts w:ascii="Arial" w:eastAsiaTheme="minorHAnsi" w:hAnsi="Arial" w:cstheme="minorBidi"/>
      <w:sz w:val="22"/>
      <w:lang w:eastAsia="en-US"/>
    </w:rPr>
  </w:style>
  <w:style w:type="paragraph" w:customStyle="1" w:styleId="SOText">
    <w:name w:val="SO Text"/>
    <w:aliases w:val="sot"/>
    <w:link w:val="SOTextChar"/>
    <w:rsid w:val="0046338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63386"/>
    <w:rPr>
      <w:rFonts w:eastAsiaTheme="minorHAnsi" w:cstheme="minorBidi"/>
      <w:sz w:val="22"/>
      <w:lang w:eastAsia="en-US"/>
    </w:rPr>
  </w:style>
  <w:style w:type="paragraph" w:customStyle="1" w:styleId="SOTextNote">
    <w:name w:val="SO TextNote"/>
    <w:aliases w:val="sont"/>
    <w:basedOn w:val="SOText"/>
    <w:qFormat/>
    <w:rsid w:val="00463386"/>
    <w:pPr>
      <w:spacing w:before="122" w:line="198" w:lineRule="exact"/>
      <w:ind w:left="1843" w:hanging="709"/>
    </w:pPr>
    <w:rPr>
      <w:sz w:val="18"/>
    </w:rPr>
  </w:style>
  <w:style w:type="paragraph" w:customStyle="1" w:styleId="SOPara">
    <w:name w:val="SO Para"/>
    <w:aliases w:val="soa"/>
    <w:basedOn w:val="SOText"/>
    <w:link w:val="SOParaChar"/>
    <w:qFormat/>
    <w:rsid w:val="00463386"/>
    <w:pPr>
      <w:tabs>
        <w:tab w:val="right" w:pos="1786"/>
      </w:tabs>
      <w:spacing w:before="40"/>
      <w:ind w:left="2070" w:hanging="936"/>
    </w:pPr>
  </w:style>
  <w:style w:type="character" w:customStyle="1" w:styleId="SOParaChar">
    <w:name w:val="SO Para Char"/>
    <w:aliases w:val="soa Char"/>
    <w:basedOn w:val="DefaultParagraphFont"/>
    <w:link w:val="SOPara"/>
    <w:rsid w:val="00463386"/>
    <w:rPr>
      <w:rFonts w:eastAsiaTheme="minorHAnsi" w:cstheme="minorBidi"/>
      <w:sz w:val="22"/>
      <w:lang w:eastAsia="en-US"/>
    </w:rPr>
  </w:style>
  <w:style w:type="paragraph" w:customStyle="1" w:styleId="FileName">
    <w:name w:val="FileName"/>
    <w:basedOn w:val="Normal"/>
    <w:rsid w:val="00463386"/>
  </w:style>
  <w:style w:type="paragraph" w:customStyle="1" w:styleId="SOHeadBold">
    <w:name w:val="SO HeadBold"/>
    <w:aliases w:val="sohb"/>
    <w:basedOn w:val="SOText"/>
    <w:next w:val="SOText"/>
    <w:link w:val="SOHeadBoldChar"/>
    <w:qFormat/>
    <w:rsid w:val="00463386"/>
    <w:rPr>
      <w:b/>
    </w:rPr>
  </w:style>
  <w:style w:type="character" w:customStyle="1" w:styleId="SOHeadBoldChar">
    <w:name w:val="SO HeadBold Char"/>
    <w:aliases w:val="sohb Char"/>
    <w:basedOn w:val="DefaultParagraphFont"/>
    <w:link w:val="SOHeadBold"/>
    <w:rsid w:val="0046338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63386"/>
    <w:rPr>
      <w:i/>
    </w:rPr>
  </w:style>
  <w:style w:type="character" w:customStyle="1" w:styleId="SOHeadItalicChar">
    <w:name w:val="SO HeadItalic Char"/>
    <w:aliases w:val="sohi Char"/>
    <w:basedOn w:val="DefaultParagraphFont"/>
    <w:link w:val="SOHeadItalic"/>
    <w:rsid w:val="00463386"/>
    <w:rPr>
      <w:rFonts w:eastAsiaTheme="minorHAnsi" w:cstheme="minorBidi"/>
      <w:i/>
      <w:sz w:val="22"/>
      <w:lang w:eastAsia="en-US"/>
    </w:rPr>
  </w:style>
  <w:style w:type="paragraph" w:customStyle="1" w:styleId="SOBullet">
    <w:name w:val="SO Bullet"/>
    <w:aliases w:val="sotb"/>
    <w:basedOn w:val="SOText"/>
    <w:link w:val="SOBulletChar"/>
    <w:qFormat/>
    <w:rsid w:val="00463386"/>
    <w:pPr>
      <w:ind w:left="1559" w:hanging="425"/>
    </w:pPr>
  </w:style>
  <w:style w:type="character" w:customStyle="1" w:styleId="SOBulletChar">
    <w:name w:val="SO Bullet Char"/>
    <w:aliases w:val="sotb Char"/>
    <w:basedOn w:val="DefaultParagraphFont"/>
    <w:link w:val="SOBullet"/>
    <w:rsid w:val="00463386"/>
    <w:rPr>
      <w:rFonts w:eastAsiaTheme="minorHAnsi" w:cstheme="minorBidi"/>
      <w:sz w:val="22"/>
      <w:lang w:eastAsia="en-US"/>
    </w:rPr>
  </w:style>
  <w:style w:type="paragraph" w:customStyle="1" w:styleId="SOBulletNote">
    <w:name w:val="SO BulletNote"/>
    <w:aliases w:val="sonb"/>
    <w:basedOn w:val="SOTextNote"/>
    <w:link w:val="SOBulletNoteChar"/>
    <w:qFormat/>
    <w:rsid w:val="00463386"/>
    <w:pPr>
      <w:tabs>
        <w:tab w:val="left" w:pos="1560"/>
      </w:tabs>
      <w:ind w:left="2268" w:hanging="1134"/>
    </w:pPr>
  </w:style>
  <w:style w:type="character" w:customStyle="1" w:styleId="SOBulletNoteChar">
    <w:name w:val="SO BulletNote Char"/>
    <w:aliases w:val="sonb Char"/>
    <w:basedOn w:val="DefaultParagraphFont"/>
    <w:link w:val="SOBulletNote"/>
    <w:rsid w:val="00463386"/>
    <w:rPr>
      <w:rFonts w:eastAsiaTheme="minorHAnsi" w:cstheme="minorBidi"/>
      <w:sz w:val="18"/>
      <w:lang w:eastAsia="en-US"/>
    </w:rPr>
  </w:style>
  <w:style w:type="paragraph" w:customStyle="1" w:styleId="mps3-data">
    <w:name w:val="mps3-data"/>
    <w:basedOn w:val="Normal"/>
    <w:qFormat/>
    <w:rsid w:val="00407C96"/>
    <w:pPr>
      <w:spacing w:before="60" w:after="60" w:line="240" w:lineRule="auto"/>
    </w:pPr>
    <w:rPr>
      <w:rFonts w:ascii="Arial" w:eastAsia="Arial" w:hAnsi="Arial" w:cs="Arial"/>
      <w:sz w:val="16"/>
      <w:szCs w:val="22"/>
      <w:lang w:eastAsia="zh-CN"/>
    </w:rPr>
  </w:style>
  <w:style w:type="paragraph" w:customStyle="1" w:styleId="EnStatement">
    <w:name w:val="EnStatement"/>
    <w:basedOn w:val="Normal"/>
    <w:rsid w:val="00463386"/>
    <w:pPr>
      <w:numPr>
        <w:numId w:val="7"/>
      </w:numPr>
    </w:pPr>
    <w:rPr>
      <w:rFonts w:eastAsia="Times New Roman" w:cs="Times New Roman"/>
      <w:lang w:eastAsia="en-AU"/>
    </w:rPr>
  </w:style>
  <w:style w:type="paragraph" w:customStyle="1" w:styleId="EnStatementHeading">
    <w:name w:val="EnStatementHeading"/>
    <w:basedOn w:val="Normal"/>
    <w:rsid w:val="00463386"/>
    <w:rPr>
      <w:rFonts w:eastAsia="Times New Roman" w:cs="Times New Roman"/>
      <w:b/>
      <w:lang w:eastAsia="en-AU"/>
    </w:rPr>
  </w:style>
  <w:style w:type="table" w:customStyle="1" w:styleId="Table-LI-schedule-426">
    <w:name w:val="Table-LI-schedule-426"/>
    <w:basedOn w:val="TableNormal"/>
    <w:uiPriority w:val="99"/>
    <w:rsid w:val="008777F1"/>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27">
    <w:name w:val="Table-LI-schedule-427"/>
    <w:basedOn w:val="TableNormal"/>
    <w:uiPriority w:val="99"/>
    <w:rsid w:val="008E5F4F"/>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charitem">
    <w:name w:val="charitem"/>
    <w:basedOn w:val="DefaultParagraphFont"/>
    <w:uiPriority w:val="1"/>
    <w:qFormat/>
    <w:rsid w:val="00864925"/>
    <w:rPr>
      <w:vanish/>
      <w:color w:val="C00000"/>
    </w:rPr>
  </w:style>
  <w:style w:type="table" w:customStyle="1" w:styleId="Table-LI-schedule-124">
    <w:name w:val="Table-LI-schedule-124"/>
    <w:basedOn w:val="TableNormal"/>
    <w:uiPriority w:val="99"/>
    <w:rsid w:val="00B4652E"/>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Transitional">
    <w:name w:val="Transitional"/>
    <w:aliases w:val="tr"/>
    <w:basedOn w:val="Normal"/>
    <w:next w:val="Normal"/>
    <w:rsid w:val="00463386"/>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tyle1Char">
    <w:name w:val="Style1 Char"/>
    <w:basedOn w:val="DefaultParagraphFont"/>
    <w:rsid w:val="00DA232E"/>
    <w:rPr>
      <w:i/>
      <w:iCs/>
      <w:sz w:val="24"/>
      <w:szCs w:val="24"/>
      <w:lang w:eastAsia="en-US"/>
    </w:rPr>
  </w:style>
  <w:style w:type="character" w:customStyle="1" w:styleId="charAmendmentKeyword">
    <w:name w:val="charAmendment Keyword"/>
    <w:basedOn w:val="DefaultParagraphFont"/>
    <w:uiPriority w:val="1"/>
    <w:rsid w:val="00944038"/>
    <w:rPr>
      <w:rFonts w:ascii="Arial" w:hAnsi="Arial"/>
      <w:b/>
      <w:i w:val="0"/>
      <w:iCs/>
      <w:sz w:val="20"/>
      <w:szCs w:val="24"/>
      <w:lang w:eastAsia="en-US"/>
    </w:rPr>
  </w:style>
  <w:style w:type="numbering" w:customStyle="1" w:styleId="AmendmentInstruction">
    <w:name w:val="Amendment Instruction"/>
    <w:basedOn w:val="NoList"/>
    <w:uiPriority w:val="99"/>
    <w:rsid w:val="005F7EE6"/>
    <w:pPr>
      <w:numPr>
        <w:numId w:val="8"/>
      </w:numPr>
    </w:pPr>
  </w:style>
  <w:style w:type="character" w:customStyle="1" w:styleId="ListParagraphChar">
    <w:name w:val="List Paragraph Char"/>
    <w:basedOn w:val="DefaultParagraphFont"/>
    <w:link w:val="ListParagraph"/>
    <w:uiPriority w:val="34"/>
    <w:rsid w:val="00065467"/>
    <w:rPr>
      <w:rFonts w:eastAsiaTheme="minorHAnsi" w:cstheme="minorBidi"/>
      <w:sz w:val="22"/>
      <w:lang w:eastAsia="en-US"/>
    </w:rPr>
  </w:style>
  <w:style w:type="character" w:customStyle="1" w:styleId="subsectionChar">
    <w:name w:val="subsection Char"/>
    <w:aliases w:val="ss Char"/>
    <w:basedOn w:val="DefaultParagraphFont"/>
    <w:link w:val="subsection"/>
    <w:locked/>
    <w:rsid w:val="00CA7652"/>
    <w:rPr>
      <w:sz w:val="22"/>
    </w:rPr>
  </w:style>
  <w:style w:type="character" w:customStyle="1" w:styleId="ActHead5Char">
    <w:name w:val="ActHead 5 Char"/>
    <w:aliases w:val="s Char"/>
    <w:link w:val="ActHead5"/>
    <w:rsid w:val="00CA7652"/>
    <w:rPr>
      <w:b/>
      <w:kern w:val="28"/>
      <w:sz w:val="24"/>
    </w:rPr>
  </w:style>
  <w:style w:type="character" w:customStyle="1" w:styleId="notetextChar">
    <w:name w:val="note(text) Char"/>
    <w:aliases w:val="n Char"/>
    <w:basedOn w:val="DefaultParagraphFont"/>
    <w:link w:val="notetext"/>
    <w:rsid w:val="00E477BB"/>
    <w:rPr>
      <w:sz w:val="18"/>
    </w:rPr>
  </w:style>
  <w:style w:type="paragraph" w:customStyle="1" w:styleId="Specials">
    <w:name w:val="Special s"/>
    <w:basedOn w:val="ActHead5"/>
    <w:link w:val="SpecialsChar"/>
    <w:rsid w:val="001A0FFA"/>
    <w:pPr>
      <w:outlineLvl w:val="9"/>
    </w:pPr>
  </w:style>
  <w:style w:type="character" w:customStyle="1" w:styleId="SpecialsChar">
    <w:name w:val="Special s Char"/>
    <w:basedOn w:val="DefaultParagraphFont"/>
    <w:link w:val="Specials"/>
    <w:rsid w:val="001A0FFA"/>
    <w:rPr>
      <w:b/>
      <w:kern w:val="28"/>
      <w:sz w:val="24"/>
    </w:rPr>
  </w:style>
  <w:style w:type="character" w:customStyle="1" w:styleId="TabletextChar">
    <w:name w:val="Tabletext Char"/>
    <w:aliases w:val="tt Char"/>
    <w:basedOn w:val="DefaultParagraphFont"/>
    <w:link w:val="Tabletext"/>
    <w:rsid w:val="006503FE"/>
  </w:style>
  <w:style w:type="paragraph" w:customStyle="1" w:styleId="Amendment1">
    <w:name w:val="Amendment 1"/>
    <w:basedOn w:val="Normal"/>
    <w:link w:val="Amendment1Char"/>
    <w:qFormat/>
    <w:rsid w:val="008D3FF6"/>
    <w:pPr>
      <w:widowControl w:val="0"/>
      <w:tabs>
        <w:tab w:val="num" w:pos="794"/>
      </w:tabs>
      <w:spacing w:before="120" w:line="240" w:lineRule="auto"/>
      <w:ind w:left="794" w:hanging="794"/>
      <w:outlineLvl w:val="1"/>
    </w:pPr>
    <w:rPr>
      <w:rFonts w:ascii="Arial" w:eastAsia="Times New Roman" w:hAnsi="Arial" w:cs="Arial"/>
      <w:b/>
      <w:bCs/>
      <w:sz w:val="20"/>
      <w:lang w:eastAsia="en-AU"/>
    </w:rPr>
  </w:style>
  <w:style w:type="paragraph" w:customStyle="1" w:styleId="Amendment2">
    <w:name w:val="Amendment 2"/>
    <w:basedOn w:val="Normal"/>
    <w:qFormat/>
    <w:rsid w:val="008D3FF6"/>
    <w:pPr>
      <w:widowControl w:val="0"/>
      <w:spacing w:before="120" w:line="240" w:lineRule="auto"/>
      <w:ind w:left="794" w:hanging="794"/>
      <w:outlineLvl w:val="2"/>
    </w:pPr>
    <w:rPr>
      <w:rFonts w:eastAsia="Times New Roman" w:cs="Times New Roman"/>
      <w:iCs/>
      <w:sz w:val="20"/>
      <w:lang w:eastAsia="en-AU"/>
    </w:rPr>
  </w:style>
  <w:style w:type="paragraph" w:customStyle="1" w:styleId="Amendment3">
    <w:name w:val="Amendment 3"/>
    <w:qFormat/>
    <w:rsid w:val="008D3FF6"/>
    <w:pPr>
      <w:widowControl w:val="0"/>
      <w:tabs>
        <w:tab w:val="num" w:pos="1050"/>
      </w:tabs>
      <w:spacing w:before="60" w:after="60" w:line="260" w:lineRule="exact"/>
      <w:ind w:left="1050" w:hanging="340"/>
      <w:outlineLvl w:val="2"/>
    </w:pPr>
    <w:rPr>
      <w:iCs/>
    </w:rPr>
  </w:style>
  <w:style w:type="character" w:customStyle="1" w:styleId="Amendment1Char">
    <w:name w:val="Amendment 1 Char"/>
    <w:basedOn w:val="DefaultParagraphFont"/>
    <w:link w:val="Amendment1"/>
    <w:rsid w:val="008D3FF6"/>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3386"/>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657DC9"/>
    <w:pPr>
      <w:keepNext/>
      <w:spacing w:before="24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657DC9"/>
    <w:pPr>
      <w:keepNext/>
      <w:spacing w:before="24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657DC9"/>
    <w:pPr>
      <w:keepNext/>
      <w:spacing w:before="240"/>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657DC9"/>
    <w:pPr>
      <w:keepNext/>
      <w:spacing w:before="240"/>
      <w:outlineLvl w:val="3"/>
    </w:pPr>
    <w:rPr>
      <w:rFonts w:ascii="Calibri" w:eastAsia="SimSun" w:hAnsi="Calibri" w:cs="Times New Roman"/>
      <w:b/>
      <w:bCs/>
      <w:sz w:val="28"/>
      <w:szCs w:val="28"/>
      <w:lang w:eastAsia="zh-CN"/>
    </w:rPr>
  </w:style>
  <w:style w:type="paragraph" w:styleId="Heading5">
    <w:name w:val="heading 5"/>
    <w:basedOn w:val="Normal"/>
    <w:next w:val="Normal"/>
    <w:link w:val="Heading5Char"/>
    <w:qFormat/>
    <w:rsid w:val="00657DC9"/>
    <w:pPr>
      <w:spacing w:before="240"/>
      <w:outlineLvl w:val="4"/>
    </w:pPr>
    <w:rPr>
      <w:rFonts w:ascii="Calibri" w:eastAsia="SimSun" w:hAnsi="Calibri" w:cs="Times New Roman"/>
      <w:b/>
      <w:bCs/>
      <w:i/>
      <w:iCs/>
      <w:sz w:val="26"/>
      <w:szCs w:val="26"/>
      <w:lang w:eastAsia="zh-CN"/>
    </w:rPr>
  </w:style>
  <w:style w:type="paragraph" w:styleId="Heading6">
    <w:name w:val="heading 6"/>
    <w:basedOn w:val="Normal"/>
    <w:next w:val="Normal"/>
    <w:link w:val="Heading6Char"/>
    <w:qFormat/>
    <w:rsid w:val="00657DC9"/>
    <w:pPr>
      <w:spacing w:before="240"/>
      <w:outlineLvl w:val="5"/>
    </w:pPr>
    <w:rPr>
      <w:rFonts w:ascii="Calibri" w:eastAsia="SimSun" w:hAnsi="Calibri" w:cs="Times New Roman"/>
      <w:b/>
      <w:bCs/>
      <w:szCs w:val="22"/>
      <w:lang w:eastAsia="zh-CN"/>
    </w:rPr>
  </w:style>
  <w:style w:type="paragraph" w:styleId="Heading7">
    <w:name w:val="heading 7"/>
    <w:basedOn w:val="Normal"/>
    <w:next w:val="Normal"/>
    <w:link w:val="Heading7Char"/>
    <w:qFormat/>
    <w:rsid w:val="00657DC9"/>
    <w:pPr>
      <w:spacing w:before="240"/>
      <w:outlineLvl w:val="6"/>
    </w:pPr>
    <w:rPr>
      <w:rFonts w:ascii="Calibri" w:eastAsia="SimSun" w:hAnsi="Calibri" w:cs="Times New Roman"/>
      <w:sz w:val="16"/>
      <w:szCs w:val="22"/>
      <w:lang w:eastAsia="zh-CN"/>
    </w:rPr>
  </w:style>
  <w:style w:type="paragraph" w:styleId="Heading8">
    <w:name w:val="heading 8"/>
    <w:basedOn w:val="Normal"/>
    <w:next w:val="Normal"/>
    <w:link w:val="Heading8Char"/>
    <w:qFormat/>
    <w:rsid w:val="00657DC9"/>
    <w:pPr>
      <w:spacing w:before="240"/>
      <w:outlineLvl w:val="7"/>
    </w:pPr>
    <w:rPr>
      <w:rFonts w:ascii="Calibri" w:eastAsia="SimSun" w:hAnsi="Calibri" w:cs="Times New Roman"/>
      <w:i/>
      <w:iCs/>
      <w:sz w:val="16"/>
      <w:szCs w:val="22"/>
      <w:lang w:eastAsia="zh-CN"/>
    </w:rPr>
  </w:style>
  <w:style w:type="paragraph" w:styleId="Heading9">
    <w:name w:val="heading 9"/>
    <w:basedOn w:val="Normal"/>
    <w:next w:val="Normal"/>
    <w:link w:val="Heading9Char"/>
    <w:qFormat/>
    <w:rsid w:val="00657DC9"/>
    <w:pPr>
      <w:spacing w:before="240"/>
      <w:outlineLvl w:val="8"/>
    </w:pPr>
    <w:rPr>
      <w:rFonts w:ascii="Arial" w:eastAsia="SimSun" w:hAnsi="Arial" w:cs="Arial"/>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63386"/>
    <w:pPr>
      <w:tabs>
        <w:tab w:val="center" w:pos="4153"/>
        <w:tab w:val="right" w:pos="8306"/>
      </w:tabs>
    </w:pPr>
    <w:rPr>
      <w:sz w:val="22"/>
      <w:szCs w:val="24"/>
    </w:rPr>
  </w:style>
  <w:style w:type="numbering" w:styleId="111111">
    <w:name w:val="Outline List 2"/>
    <w:basedOn w:val="NoList"/>
    <w:rsid w:val="009A56D1"/>
    <w:pPr>
      <w:numPr>
        <w:numId w:val="2"/>
      </w:numPr>
    </w:pPr>
  </w:style>
  <w:style w:type="numbering" w:styleId="1ai">
    <w:name w:val="Outline List 1"/>
    <w:basedOn w:val="NoList"/>
    <w:rsid w:val="009A56D1"/>
    <w:pPr>
      <w:numPr>
        <w:numId w:val="3"/>
      </w:numPr>
    </w:pPr>
  </w:style>
  <w:style w:type="numbering" w:styleId="ArticleSection">
    <w:name w:val="Outline List 3"/>
    <w:basedOn w:val="NoList"/>
    <w:rsid w:val="009A56D1"/>
    <w:pPr>
      <w:numPr>
        <w:numId w:val="1"/>
      </w:numPr>
    </w:pPr>
  </w:style>
  <w:style w:type="paragraph" w:styleId="BlockText">
    <w:name w:val="Block Text"/>
    <w:basedOn w:val="Normal"/>
    <w:rsid w:val="009A56D1"/>
    <w:pPr>
      <w:spacing w:after="120"/>
      <w:ind w:left="1440" w:right="1440"/>
    </w:pPr>
  </w:style>
  <w:style w:type="paragraph" w:styleId="BodyText">
    <w:name w:val="Body Text"/>
    <w:basedOn w:val="Normal"/>
    <w:link w:val="BodyTextChar"/>
    <w:rsid w:val="009A56D1"/>
    <w:pPr>
      <w:spacing w:after="120"/>
    </w:pPr>
  </w:style>
  <w:style w:type="paragraph" w:styleId="BodyText2">
    <w:name w:val="Body Text 2"/>
    <w:basedOn w:val="Normal"/>
    <w:link w:val="BodyText2Char"/>
    <w:rsid w:val="009A56D1"/>
    <w:pPr>
      <w:spacing w:after="120" w:line="480" w:lineRule="auto"/>
    </w:pPr>
  </w:style>
  <w:style w:type="paragraph" w:styleId="BodyText3">
    <w:name w:val="Body Text 3"/>
    <w:basedOn w:val="Normal"/>
    <w:link w:val="BodyText3Char"/>
    <w:rsid w:val="009A56D1"/>
    <w:pPr>
      <w:spacing w:after="120"/>
    </w:pPr>
    <w:rPr>
      <w:szCs w:val="16"/>
    </w:rPr>
  </w:style>
  <w:style w:type="paragraph" w:styleId="BodyTextFirstIndent">
    <w:name w:val="Body Text First Indent"/>
    <w:basedOn w:val="BodyText"/>
    <w:link w:val="BodyTextFirstIndentChar"/>
    <w:rsid w:val="009A56D1"/>
    <w:pPr>
      <w:ind w:firstLine="210"/>
    </w:pPr>
  </w:style>
  <w:style w:type="paragraph" w:styleId="BodyTextIndent">
    <w:name w:val="Body Text Indent"/>
    <w:basedOn w:val="Normal"/>
    <w:link w:val="BodyTextIndentChar"/>
    <w:rsid w:val="009A56D1"/>
    <w:pPr>
      <w:spacing w:after="120"/>
      <w:ind w:left="283"/>
    </w:pPr>
  </w:style>
  <w:style w:type="paragraph" w:styleId="BodyTextFirstIndent2">
    <w:name w:val="Body Text First Indent 2"/>
    <w:basedOn w:val="BodyTextIndent"/>
    <w:link w:val="BodyTextFirstIndent2Char"/>
    <w:rsid w:val="009A56D1"/>
    <w:pPr>
      <w:ind w:firstLine="210"/>
    </w:pPr>
  </w:style>
  <w:style w:type="paragraph" w:styleId="BodyTextIndent2">
    <w:name w:val="Body Text Indent 2"/>
    <w:basedOn w:val="Normal"/>
    <w:link w:val="BodyTextIndent2Char"/>
    <w:rsid w:val="009A56D1"/>
    <w:pPr>
      <w:spacing w:after="120" w:line="480" w:lineRule="auto"/>
      <w:ind w:left="283"/>
    </w:pPr>
  </w:style>
  <w:style w:type="paragraph" w:styleId="BodyTextIndent3">
    <w:name w:val="Body Text Indent 3"/>
    <w:basedOn w:val="Normal"/>
    <w:link w:val="BodyTextIndent3Char"/>
    <w:rsid w:val="009A56D1"/>
    <w:pPr>
      <w:spacing w:after="120"/>
      <w:ind w:left="283"/>
    </w:pPr>
    <w:rPr>
      <w:szCs w:val="16"/>
    </w:rPr>
  </w:style>
  <w:style w:type="paragraph" w:styleId="Closing">
    <w:name w:val="Closing"/>
    <w:basedOn w:val="Normal"/>
    <w:link w:val="ClosingChar"/>
    <w:rsid w:val="009A56D1"/>
    <w:pPr>
      <w:ind w:left="4252"/>
    </w:pPr>
  </w:style>
  <w:style w:type="paragraph" w:styleId="Date">
    <w:name w:val="Date"/>
    <w:basedOn w:val="Normal"/>
    <w:next w:val="Normal"/>
    <w:link w:val="DateChar"/>
    <w:rsid w:val="009A56D1"/>
  </w:style>
  <w:style w:type="paragraph" w:styleId="E-mailSignature">
    <w:name w:val="E-mail Signature"/>
    <w:basedOn w:val="Normal"/>
    <w:link w:val="E-mailSignatureChar"/>
    <w:rsid w:val="009A56D1"/>
  </w:style>
  <w:style w:type="character" w:styleId="Emphasis">
    <w:name w:val="Emphasis"/>
    <w:basedOn w:val="DefaultParagraphFont"/>
    <w:qFormat/>
    <w:rsid w:val="00657DC9"/>
    <w:rPr>
      <w:i/>
      <w:iCs/>
    </w:rPr>
  </w:style>
  <w:style w:type="paragraph" w:styleId="EnvelopeAddress">
    <w:name w:val="envelope address"/>
    <w:basedOn w:val="Normal"/>
    <w:rsid w:val="009A56D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A56D1"/>
    <w:rPr>
      <w:rFonts w:ascii="Arial" w:hAnsi="Arial" w:cs="Arial"/>
      <w:sz w:val="20"/>
    </w:rPr>
  </w:style>
  <w:style w:type="character" w:styleId="FollowedHyperlink">
    <w:name w:val="FollowedHyperlink"/>
    <w:basedOn w:val="DefaultParagraphFont"/>
    <w:rsid w:val="009A56D1"/>
    <w:rPr>
      <w:color w:val="800080"/>
      <w:u w:val="single"/>
    </w:rPr>
  </w:style>
  <w:style w:type="paragraph" w:styleId="Header">
    <w:name w:val="header"/>
    <w:basedOn w:val="OPCParaBase"/>
    <w:link w:val="HeaderChar"/>
    <w:unhideWhenUsed/>
    <w:rsid w:val="00463386"/>
    <w:pPr>
      <w:keepNext/>
      <w:keepLines/>
      <w:tabs>
        <w:tab w:val="center" w:pos="4150"/>
        <w:tab w:val="right" w:pos="8307"/>
      </w:tabs>
      <w:spacing w:line="160" w:lineRule="exact"/>
    </w:pPr>
    <w:rPr>
      <w:sz w:val="16"/>
    </w:rPr>
  </w:style>
  <w:style w:type="character" w:styleId="HTMLAcronym">
    <w:name w:val="HTML Acronym"/>
    <w:basedOn w:val="DefaultParagraphFont"/>
    <w:rsid w:val="009A56D1"/>
  </w:style>
  <w:style w:type="paragraph" w:styleId="HTMLAddress">
    <w:name w:val="HTML Address"/>
    <w:basedOn w:val="Normal"/>
    <w:link w:val="HTMLAddressChar"/>
    <w:rsid w:val="009A56D1"/>
    <w:rPr>
      <w:i/>
      <w:iCs/>
    </w:rPr>
  </w:style>
  <w:style w:type="character" w:styleId="HTMLCite">
    <w:name w:val="HTML Cite"/>
    <w:basedOn w:val="DefaultParagraphFont"/>
    <w:rsid w:val="009A56D1"/>
    <w:rPr>
      <w:i/>
      <w:iCs/>
    </w:rPr>
  </w:style>
  <w:style w:type="character" w:styleId="HTMLCode">
    <w:name w:val="HTML Code"/>
    <w:basedOn w:val="DefaultParagraphFont"/>
    <w:rsid w:val="009A56D1"/>
    <w:rPr>
      <w:rFonts w:ascii="Courier New" w:hAnsi="Courier New" w:cs="Courier New"/>
      <w:sz w:val="20"/>
      <w:szCs w:val="20"/>
    </w:rPr>
  </w:style>
  <w:style w:type="character" w:styleId="HTMLDefinition">
    <w:name w:val="HTML Definition"/>
    <w:basedOn w:val="DefaultParagraphFont"/>
    <w:rsid w:val="009A56D1"/>
    <w:rPr>
      <w:i/>
      <w:iCs/>
    </w:rPr>
  </w:style>
  <w:style w:type="character" w:styleId="HTMLKeyboard">
    <w:name w:val="HTML Keyboard"/>
    <w:basedOn w:val="DefaultParagraphFont"/>
    <w:rsid w:val="009A56D1"/>
    <w:rPr>
      <w:rFonts w:ascii="Courier New" w:hAnsi="Courier New" w:cs="Courier New"/>
      <w:sz w:val="20"/>
      <w:szCs w:val="20"/>
    </w:rPr>
  </w:style>
  <w:style w:type="paragraph" w:styleId="HTMLPreformatted">
    <w:name w:val="HTML Preformatted"/>
    <w:basedOn w:val="Normal"/>
    <w:link w:val="HTMLPreformattedChar"/>
    <w:rsid w:val="009A56D1"/>
    <w:rPr>
      <w:rFonts w:ascii="Courier New" w:hAnsi="Courier New" w:cs="Courier New"/>
      <w:sz w:val="20"/>
    </w:rPr>
  </w:style>
  <w:style w:type="character" w:styleId="HTMLSample">
    <w:name w:val="HTML Sample"/>
    <w:basedOn w:val="DefaultParagraphFont"/>
    <w:rsid w:val="009A56D1"/>
    <w:rPr>
      <w:rFonts w:ascii="Courier New" w:hAnsi="Courier New" w:cs="Courier New"/>
    </w:rPr>
  </w:style>
  <w:style w:type="character" w:styleId="HTMLTypewriter">
    <w:name w:val="HTML Typewriter"/>
    <w:basedOn w:val="DefaultParagraphFont"/>
    <w:rsid w:val="009A56D1"/>
    <w:rPr>
      <w:rFonts w:ascii="Courier New" w:hAnsi="Courier New" w:cs="Courier New"/>
      <w:sz w:val="20"/>
      <w:szCs w:val="20"/>
    </w:rPr>
  </w:style>
  <w:style w:type="character" w:styleId="HTMLVariable">
    <w:name w:val="HTML Variable"/>
    <w:basedOn w:val="DefaultParagraphFont"/>
    <w:rsid w:val="009A56D1"/>
    <w:rPr>
      <w:i/>
      <w:iCs/>
    </w:rPr>
  </w:style>
  <w:style w:type="character" w:styleId="Hyperlink">
    <w:name w:val="Hyperlink"/>
    <w:basedOn w:val="DefaultParagraphFont"/>
    <w:rsid w:val="009A56D1"/>
    <w:rPr>
      <w:color w:val="0000FF"/>
      <w:u w:val="single"/>
    </w:rPr>
  </w:style>
  <w:style w:type="character" w:styleId="LineNumber">
    <w:name w:val="line number"/>
    <w:basedOn w:val="OPCCharBase"/>
    <w:uiPriority w:val="99"/>
    <w:unhideWhenUsed/>
    <w:rsid w:val="00463386"/>
    <w:rPr>
      <w:sz w:val="16"/>
    </w:rPr>
  </w:style>
  <w:style w:type="paragraph" w:styleId="List">
    <w:name w:val="List"/>
    <w:basedOn w:val="Normal"/>
    <w:rsid w:val="009A56D1"/>
    <w:pPr>
      <w:ind w:left="283" w:hanging="283"/>
    </w:pPr>
  </w:style>
  <w:style w:type="paragraph" w:styleId="List2">
    <w:name w:val="List 2"/>
    <w:basedOn w:val="Normal"/>
    <w:rsid w:val="009A56D1"/>
    <w:pPr>
      <w:ind w:left="566" w:hanging="283"/>
    </w:pPr>
  </w:style>
  <w:style w:type="paragraph" w:styleId="List3">
    <w:name w:val="List 3"/>
    <w:basedOn w:val="Normal"/>
    <w:rsid w:val="009A56D1"/>
    <w:pPr>
      <w:ind w:left="849" w:hanging="283"/>
    </w:pPr>
  </w:style>
  <w:style w:type="paragraph" w:styleId="List4">
    <w:name w:val="List 4"/>
    <w:basedOn w:val="Normal"/>
    <w:rsid w:val="009A56D1"/>
    <w:pPr>
      <w:ind w:left="1132" w:hanging="283"/>
    </w:pPr>
  </w:style>
  <w:style w:type="paragraph" w:styleId="List5">
    <w:name w:val="List 5"/>
    <w:basedOn w:val="Normal"/>
    <w:rsid w:val="009A56D1"/>
    <w:pPr>
      <w:ind w:left="1415" w:hanging="283"/>
    </w:pPr>
  </w:style>
  <w:style w:type="paragraph" w:styleId="ListBullet">
    <w:name w:val="List Bullet"/>
    <w:basedOn w:val="Normal"/>
    <w:autoRedefine/>
    <w:rsid w:val="009A56D1"/>
    <w:pPr>
      <w:tabs>
        <w:tab w:val="num" w:pos="360"/>
      </w:tabs>
      <w:ind w:left="360" w:hanging="360"/>
    </w:pPr>
  </w:style>
  <w:style w:type="paragraph" w:styleId="ListBullet2">
    <w:name w:val="List Bullet 2"/>
    <w:basedOn w:val="Normal"/>
    <w:autoRedefine/>
    <w:rsid w:val="009A56D1"/>
    <w:pPr>
      <w:tabs>
        <w:tab w:val="num" w:pos="643"/>
      </w:tabs>
      <w:ind w:left="643" w:hanging="360"/>
    </w:pPr>
  </w:style>
  <w:style w:type="paragraph" w:styleId="ListBullet3">
    <w:name w:val="List Bullet 3"/>
    <w:basedOn w:val="Normal"/>
    <w:autoRedefine/>
    <w:rsid w:val="009A56D1"/>
    <w:pPr>
      <w:tabs>
        <w:tab w:val="num" w:pos="926"/>
      </w:tabs>
      <w:ind w:left="926" w:hanging="360"/>
    </w:pPr>
  </w:style>
  <w:style w:type="paragraph" w:styleId="ListBullet4">
    <w:name w:val="List Bullet 4"/>
    <w:basedOn w:val="Normal"/>
    <w:autoRedefine/>
    <w:rsid w:val="009A56D1"/>
    <w:pPr>
      <w:tabs>
        <w:tab w:val="num" w:pos="1209"/>
      </w:tabs>
      <w:ind w:left="1209" w:hanging="360"/>
    </w:pPr>
  </w:style>
  <w:style w:type="paragraph" w:styleId="ListBullet5">
    <w:name w:val="List Bullet 5"/>
    <w:basedOn w:val="Normal"/>
    <w:autoRedefine/>
    <w:rsid w:val="009A56D1"/>
    <w:pPr>
      <w:tabs>
        <w:tab w:val="num" w:pos="1492"/>
      </w:tabs>
      <w:ind w:left="1492" w:hanging="360"/>
    </w:pPr>
  </w:style>
  <w:style w:type="paragraph" w:styleId="ListContinue">
    <w:name w:val="List Continue"/>
    <w:basedOn w:val="Normal"/>
    <w:rsid w:val="009A56D1"/>
    <w:pPr>
      <w:spacing w:after="120"/>
      <w:ind w:left="283"/>
    </w:pPr>
  </w:style>
  <w:style w:type="paragraph" w:styleId="ListContinue2">
    <w:name w:val="List Continue 2"/>
    <w:basedOn w:val="Normal"/>
    <w:rsid w:val="009A56D1"/>
    <w:pPr>
      <w:spacing w:after="120"/>
      <w:ind w:left="566"/>
    </w:pPr>
  </w:style>
  <w:style w:type="paragraph" w:styleId="ListContinue3">
    <w:name w:val="List Continue 3"/>
    <w:basedOn w:val="Normal"/>
    <w:rsid w:val="009A56D1"/>
    <w:pPr>
      <w:spacing w:after="120"/>
      <w:ind w:left="849"/>
    </w:pPr>
  </w:style>
  <w:style w:type="paragraph" w:styleId="ListContinue4">
    <w:name w:val="List Continue 4"/>
    <w:basedOn w:val="Normal"/>
    <w:rsid w:val="009A56D1"/>
    <w:pPr>
      <w:spacing w:after="120"/>
      <w:ind w:left="1132"/>
    </w:pPr>
  </w:style>
  <w:style w:type="paragraph" w:styleId="ListContinue5">
    <w:name w:val="List Continue 5"/>
    <w:basedOn w:val="Normal"/>
    <w:rsid w:val="009A56D1"/>
    <w:pPr>
      <w:spacing w:after="120"/>
      <w:ind w:left="1415"/>
    </w:pPr>
  </w:style>
  <w:style w:type="paragraph" w:styleId="ListNumber">
    <w:name w:val="List Number"/>
    <w:basedOn w:val="Normal"/>
    <w:rsid w:val="009A56D1"/>
    <w:pPr>
      <w:tabs>
        <w:tab w:val="num" w:pos="360"/>
      </w:tabs>
      <w:ind w:left="360" w:hanging="360"/>
    </w:pPr>
  </w:style>
  <w:style w:type="paragraph" w:styleId="ListNumber2">
    <w:name w:val="List Number 2"/>
    <w:basedOn w:val="Normal"/>
    <w:link w:val="ListNumber2Char"/>
    <w:rsid w:val="009A56D1"/>
    <w:pPr>
      <w:tabs>
        <w:tab w:val="num" w:pos="643"/>
      </w:tabs>
      <w:ind w:left="643" w:hanging="360"/>
    </w:pPr>
  </w:style>
  <w:style w:type="paragraph" w:styleId="ListNumber3">
    <w:name w:val="List Number 3"/>
    <w:basedOn w:val="Normal"/>
    <w:rsid w:val="009A56D1"/>
    <w:pPr>
      <w:tabs>
        <w:tab w:val="num" w:pos="926"/>
      </w:tabs>
      <w:ind w:left="926" w:hanging="360"/>
    </w:pPr>
  </w:style>
  <w:style w:type="paragraph" w:styleId="ListNumber4">
    <w:name w:val="List Number 4"/>
    <w:basedOn w:val="Normal"/>
    <w:rsid w:val="009A56D1"/>
    <w:pPr>
      <w:tabs>
        <w:tab w:val="num" w:pos="1209"/>
      </w:tabs>
      <w:ind w:left="1209" w:hanging="360"/>
    </w:pPr>
  </w:style>
  <w:style w:type="paragraph" w:styleId="ListNumber5">
    <w:name w:val="List Number 5"/>
    <w:basedOn w:val="Normal"/>
    <w:rsid w:val="009A56D1"/>
    <w:pPr>
      <w:tabs>
        <w:tab w:val="num" w:pos="1492"/>
      </w:tabs>
      <w:ind w:left="1492" w:hanging="360"/>
    </w:pPr>
  </w:style>
  <w:style w:type="paragraph" w:styleId="MessageHeader">
    <w:name w:val="Message Header"/>
    <w:basedOn w:val="Normal"/>
    <w:link w:val="MessageHeaderChar"/>
    <w:rsid w:val="009A56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9A56D1"/>
  </w:style>
  <w:style w:type="paragraph" w:styleId="NormalIndent">
    <w:name w:val="Normal Indent"/>
    <w:basedOn w:val="Normal"/>
    <w:rsid w:val="009A56D1"/>
    <w:pPr>
      <w:ind w:left="720"/>
    </w:pPr>
  </w:style>
  <w:style w:type="character" w:styleId="PageNumber">
    <w:name w:val="page number"/>
    <w:basedOn w:val="DefaultParagraphFont"/>
    <w:rsid w:val="00295F4A"/>
  </w:style>
  <w:style w:type="paragraph" w:styleId="PlainText">
    <w:name w:val="Plain Text"/>
    <w:basedOn w:val="Normal"/>
    <w:link w:val="PlainTextChar"/>
    <w:rsid w:val="009A56D1"/>
    <w:rPr>
      <w:rFonts w:ascii="Courier New" w:hAnsi="Courier New" w:cs="Courier New"/>
      <w:sz w:val="20"/>
    </w:rPr>
  </w:style>
  <w:style w:type="paragraph" w:styleId="Salutation">
    <w:name w:val="Salutation"/>
    <w:basedOn w:val="Normal"/>
    <w:next w:val="Normal"/>
    <w:link w:val="SalutationChar"/>
    <w:rsid w:val="009A56D1"/>
  </w:style>
  <w:style w:type="paragraph" w:styleId="Signature">
    <w:name w:val="Signature"/>
    <w:basedOn w:val="Normal"/>
    <w:link w:val="SignatureChar"/>
    <w:rsid w:val="009A56D1"/>
    <w:pPr>
      <w:ind w:left="4252"/>
    </w:pPr>
  </w:style>
  <w:style w:type="character" w:styleId="Strong">
    <w:name w:val="Strong"/>
    <w:basedOn w:val="DefaultParagraphFont"/>
    <w:qFormat/>
    <w:rsid w:val="00657DC9"/>
    <w:rPr>
      <w:b/>
      <w:bCs/>
    </w:rPr>
  </w:style>
  <w:style w:type="paragraph" w:styleId="Subtitle">
    <w:name w:val="Subtitle"/>
    <w:basedOn w:val="Normal"/>
    <w:link w:val="SubtitleChar"/>
    <w:qFormat/>
    <w:rsid w:val="00657DC9"/>
    <w:pPr>
      <w:jc w:val="center"/>
      <w:outlineLvl w:val="1"/>
    </w:pPr>
    <w:rPr>
      <w:rFonts w:ascii="Arial" w:hAnsi="Arial" w:cs="Arial"/>
    </w:rPr>
  </w:style>
  <w:style w:type="table" w:styleId="Table3Deffects1">
    <w:name w:val="Table 3D effects 1"/>
    <w:basedOn w:val="TableNormal"/>
    <w:rsid w:val="009A56D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56D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56D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56D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56D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56D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56D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56D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56D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56D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56D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56D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56D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56D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56D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A56D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56D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Summary box"/>
    <w:basedOn w:val="TableNormal"/>
    <w:uiPriority w:val="59"/>
    <w:rsid w:val="0046338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56D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A56D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56D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56D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56D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56D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56D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56D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56D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56D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56D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56D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56D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56D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56D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56D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56D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56D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56D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A5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A56D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56D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56D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657DC9"/>
    <w:pPr>
      <w:spacing w:before="480"/>
    </w:pPr>
    <w:rPr>
      <w:rFonts w:ascii="Arial" w:hAnsi="Arial" w:cs="Arial"/>
      <w:b/>
      <w:bCs/>
      <w:sz w:val="40"/>
      <w:szCs w:val="40"/>
    </w:rPr>
  </w:style>
  <w:style w:type="paragraph" w:styleId="BalloonText">
    <w:name w:val="Balloon Text"/>
    <w:basedOn w:val="Normal"/>
    <w:link w:val="BalloonTextChar"/>
    <w:uiPriority w:val="99"/>
    <w:unhideWhenUsed/>
    <w:rsid w:val="00463386"/>
    <w:pPr>
      <w:spacing w:line="240" w:lineRule="auto"/>
    </w:pPr>
    <w:rPr>
      <w:rFonts w:ascii="Tahoma" w:hAnsi="Tahoma" w:cs="Tahoma"/>
      <w:sz w:val="16"/>
      <w:szCs w:val="16"/>
    </w:rPr>
  </w:style>
  <w:style w:type="paragraph" w:styleId="Caption">
    <w:name w:val="caption"/>
    <w:basedOn w:val="Normal"/>
    <w:next w:val="Normal"/>
    <w:qFormat/>
    <w:rsid w:val="00657DC9"/>
    <w:pPr>
      <w:spacing w:before="120" w:after="120"/>
    </w:pPr>
    <w:rPr>
      <w:b/>
      <w:bCs/>
      <w:sz w:val="20"/>
    </w:rPr>
  </w:style>
  <w:style w:type="character" w:customStyle="1" w:styleId="CharAmSchNo">
    <w:name w:val="CharAmSchNo"/>
    <w:basedOn w:val="OPCCharBase"/>
    <w:uiPriority w:val="1"/>
    <w:qFormat/>
    <w:rsid w:val="00463386"/>
  </w:style>
  <w:style w:type="character" w:customStyle="1" w:styleId="CharAmSchText">
    <w:name w:val="CharAmSchText"/>
    <w:basedOn w:val="OPCCharBase"/>
    <w:uiPriority w:val="1"/>
    <w:qFormat/>
    <w:rsid w:val="00463386"/>
  </w:style>
  <w:style w:type="character" w:customStyle="1" w:styleId="CharChapNo">
    <w:name w:val="CharChapNo"/>
    <w:basedOn w:val="OPCCharBase"/>
    <w:qFormat/>
    <w:rsid w:val="00463386"/>
  </w:style>
  <w:style w:type="character" w:customStyle="1" w:styleId="CharChapText">
    <w:name w:val="CharChapText"/>
    <w:basedOn w:val="OPCCharBase"/>
    <w:qFormat/>
    <w:rsid w:val="00463386"/>
  </w:style>
  <w:style w:type="character" w:customStyle="1" w:styleId="CharDivNo">
    <w:name w:val="CharDivNo"/>
    <w:basedOn w:val="OPCCharBase"/>
    <w:qFormat/>
    <w:rsid w:val="00463386"/>
  </w:style>
  <w:style w:type="character" w:customStyle="1" w:styleId="CharDivText">
    <w:name w:val="CharDivText"/>
    <w:basedOn w:val="OPCCharBase"/>
    <w:qFormat/>
    <w:rsid w:val="00463386"/>
  </w:style>
  <w:style w:type="character" w:customStyle="1" w:styleId="CharPartNo">
    <w:name w:val="CharPartNo"/>
    <w:basedOn w:val="OPCCharBase"/>
    <w:qFormat/>
    <w:rsid w:val="00463386"/>
  </w:style>
  <w:style w:type="character" w:customStyle="1" w:styleId="CharPartText">
    <w:name w:val="CharPartText"/>
    <w:basedOn w:val="OPCCharBase"/>
    <w:qFormat/>
    <w:rsid w:val="00463386"/>
  </w:style>
  <w:style w:type="character" w:customStyle="1" w:styleId="OPCCharBase">
    <w:name w:val="OPCCharBase"/>
    <w:uiPriority w:val="1"/>
    <w:qFormat/>
    <w:rsid w:val="00463386"/>
  </w:style>
  <w:style w:type="paragraph" w:customStyle="1" w:styleId="OPCParaBase">
    <w:name w:val="OPCParaBase"/>
    <w:qFormat/>
    <w:rsid w:val="00463386"/>
    <w:pPr>
      <w:spacing w:line="260" w:lineRule="atLeast"/>
    </w:pPr>
    <w:rPr>
      <w:sz w:val="22"/>
    </w:rPr>
  </w:style>
  <w:style w:type="character" w:customStyle="1" w:styleId="CharSectno">
    <w:name w:val="CharSectno"/>
    <w:basedOn w:val="OPCCharBase"/>
    <w:qFormat/>
    <w:rsid w:val="00463386"/>
  </w:style>
  <w:style w:type="character" w:styleId="CommentReference">
    <w:name w:val="annotation reference"/>
    <w:basedOn w:val="DefaultParagraphFont"/>
    <w:rsid w:val="009A56D1"/>
    <w:rPr>
      <w:sz w:val="16"/>
      <w:szCs w:val="16"/>
    </w:rPr>
  </w:style>
  <w:style w:type="paragraph" w:styleId="CommentText">
    <w:name w:val="annotation text"/>
    <w:basedOn w:val="Normal"/>
    <w:link w:val="CommentTextChar"/>
    <w:rsid w:val="009A56D1"/>
    <w:rPr>
      <w:sz w:val="20"/>
    </w:rPr>
  </w:style>
  <w:style w:type="paragraph" w:styleId="CommentSubject">
    <w:name w:val="annotation subject"/>
    <w:basedOn w:val="CommentText"/>
    <w:next w:val="CommentText"/>
    <w:link w:val="CommentSubjectChar"/>
    <w:rsid w:val="009A56D1"/>
    <w:rPr>
      <w:b/>
      <w:bCs/>
    </w:rPr>
  </w:style>
  <w:style w:type="paragraph" w:styleId="DocumentMap">
    <w:name w:val="Document Map"/>
    <w:basedOn w:val="Normal"/>
    <w:link w:val="DocumentMapChar"/>
    <w:rsid w:val="009A56D1"/>
    <w:pPr>
      <w:shd w:val="clear" w:color="auto" w:fill="000080"/>
    </w:pPr>
    <w:rPr>
      <w:rFonts w:ascii="Tahoma" w:hAnsi="Tahoma" w:cs="Tahoma"/>
    </w:rPr>
  </w:style>
  <w:style w:type="character" w:styleId="EndnoteReference">
    <w:name w:val="endnote reference"/>
    <w:basedOn w:val="DefaultParagraphFont"/>
    <w:rsid w:val="009A56D1"/>
    <w:rPr>
      <w:vertAlign w:val="superscript"/>
    </w:rPr>
  </w:style>
  <w:style w:type="paragraph" w:styleId="EndnoteText">
    <w:name w:val="endnote text"/>
    <w:basedOn w:val="Normal"/>
    <w:link w:val="EndnoteTextChar"/>
    <w:rsid w:val="009A56D1"/>
    <w:rPr>
      <w:sz w:val="20"/>
    </w:rPr>
  </w:style>
  <w:style w:type="character" w:styleId="FootnoteReference">
    <w:name w:val="footnote reference"/>
    <w:basedOn w:val="DefaultParagraphFont"/>
    <w:rsid w:val="009A56D1"/>
    <w:rPr>
      <w:rFonts w:ascii="Times New Roman" w:hAnsi="Times New Roman"/>
      <w:sz w:val="20"/>
      <w:vertAlign w:val="superscript"/>
    </w:rPr>
  </w:style>
  <w:style w:type="paragraph" w:styleId="FootnoteText">
    <w:name w:val="footnote text"/>
    <w:basedOn w:val="Normal"/>
    <w:link w:val="FootnoteTextChar"/>
    <w:rsid w:val="009A56D1"/>
    <w:rPr>
      <w:sz w:val="20"/>
    </w:rPr>
  </w:style>
  <w:style w:type="paragraph" w:customStyle="1" w:styleId="Formula">
    <w:name w:val="Formula"/>
    <w:basedOn w:val="OPCParaBase"/>
    <w:rsid w:val="00463386"/>
    <w:pPr>
      <w:spacing w:line="240" w:lineRule="auto"/>
      <w:ind w:left="1134"/>
    </w:pPr>
    <w:rPr>
      <w:sz w:val="20"/>
    </w:rPr>
  </w:style>
  <w:style w:type="paragraph" w:styleId="Index1">
    <w:name w:val="index 1"/>
    <w:basedOn w:val="Normal"/>
    <w:next w:val="Normal"/>
    <w:autoRedefine/>
    <w:rsid w:val="009A56D1"/>
    <w:pPr>
      <w:ind w:left="240" w:hanging="240"/>
    </w:pPr>
  </w:style>
  <w:style w:type="paragraph" w:styleId="Index2">
    <w:name w:val="index 2"/>
    <w:basedOn w:val="Normal"/>
    <w:next w:val="Normal"/>
    <w:autoRedefine/>
    <w:rsid w:val="009A56D1"/>
    <w:pPr>
      <w:ind w:left="480" w:hanging="240"/>
    </w:pPr>
  </w:style>
  <w:style w:type="paragraph" w:styleId="Index3">
    <w:name w:val="index 3"/>
    <w:basedOn w:val="Normal"/>
    <w:next w:val="Normal"/>
    <w:autoRedefine/>
    <w:rsid w:val="009A56D1"/>
    <w:pPr>
      <w:ind w:left="720" w:hanging="240"/>
    </w:pPr>
  </w:style>
  <w:style w:type="paragraph" w:styleId="Index4">
    <w:name w:val="index 4"/>
    <w:basedOn w:val="Normal"/>
    <w:next w:val="Normal"/>
    <w:autoRedefine/>
    <w:rsid w:val="009A56D1"/>
    <w:pPr>
      <w:ind w:left="960" w:hanging="240"/>
    </w:pPr>
  </w:style>
  <w:style w:type="paragraph" w:styleId="Index5">
    <w:name w:val="index 5"/>
    <w:basedOn w:val="Normal"/>
    <w:next w:val="Normal"/>
    <w:autoRedefine/>
    <w:rsid w:val="009A56D1"/>
    <w:pPr>
      <w:ind w:left="1200" w:hanging="240"/>
    </w:pPr>
  </w:style>
  <w:style w:type="paragraph" w:styleId="Index6">
    <w:name w:val="index 6"/>
    <w:basedOn w:val="Normal"/>
    <w:next w:val="Normal"/>
    <w:autoRedefine/>
    <w:rsid w:val="009A56D1"/>
    <w:pPr>
      <w:ind w:left="1440" w:hanging="240"/>
    </w:pPr>
  </w:style>
  <w:style w:type="paragraph" w:styleId="Index7">
    <w:name w:val="index 7"/>
    <w:basedOn w:val="Normal"/>
    <w:next w:val="Normal"/>
    <w:autoRedefine/>
    <w:rsid w:val="009A56D1"/>
    <w:pPr>
      <w:ind w:left="1680" w:hanging="240"/>
    </w:pPr>
  </w:style>
  <w:style w:type="paragraph" w:styleId="Index8">
    <w:name w:val="index 8"/>
    <w:basedOn w:val="Normal"/>
    <w:next w:val="Normal"/>
    <w:autoRedefine/>
    <w:rsid w:val="009A56D1"/>
    <w:pPr>
      <w:ind w:left="1920" w:hanging="240"/>
    </w:pPr>
  </w:style>
  <w:style w:type="paragraph" w:styleId="Index9">
    <w:name w:val="index 9"/>
    <w:basedOn w:val="Normal"/>
    <w:next w:val="Normal"/>
    <w:autoRedefine/>
    <w:rsid w:val="009A56D1"/>
    <w:pPr>
      <w:ind w:left="2160" w:hanging="240"/>
    </w:pPr>
  </w:style>
  <w:style w:type="paragraph" w:styleId="IndexHeading">
    <w:name w:val="index heading"/>
    <w:basedOn w:val="Normal"/>
    <w:next w:val="Index1"/>
    <w:rsid w:val="009A56D1"/>
    <w:rPr>
      <w:rFonts w:ascii="Arial" w:hAnsi="Arial" w:cs="Arial"/>
      <w:b/>
      <w:bCs/>
    </w:rPr>
  </w:style>
  <w:style w:type="paragraph" w:styleId="MacroText">
    <w:name w:val="macro"/>
    <w:link w:val="MacroTextChar"/>
    <w:rsid w:val="009A5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ageBreak">
    <w:name w:val="PageBreak"/>
    <w:aliases w:val="pb"/>
    <w:basedOn w:val="OPCParaBase"/>
    <w:rsid w:val="00463386"/>
    <w:pPr>
      <w:spacing w:line="240" w:lineRule="auto"/>
    </w:pPr>
    <w:rPr>
      <w:sz w:val="20"/>
    </w:rPr>
  </w:style>
  <w:style w:type="paragraph" w:customStyle="1" w:styleId="Penalty">
    <w:name w:val="Penalty"/>
    <w:basedOn w:val="OPCParaBase"/>
    <w:rsid w:val="00463386"/>
    <w:pPr>
      <w:tabs>
        <w:tab w:val="left" w:pos="2977"/>
      </w:tabs>
      <w:spacing w:before="180" w:line="240" w:lineRule="auto"/>
      <w:ind w:left="1985" w:hanging="851"/>
    </w:pPr>
  </w:style>
  <w:style w:type="paragraph" w:customStyle="1" w:styleId="ShortT">
    <w:name w:val="ShortT"/>
    <w:basedOn w:val="OPCParaBase"/>
    <w:next w:val="Normal"/>
    <w:qFormat/>
    <w:rsid w:val="00463386"/>
    <w:pPr>
      <w:spacing w:line="240" w:lineRule="auto"/>
    </w:pPr>
    <w:rPr>
      <w:b/>
      <w:sz w:val="40"/>
    </w:rPr>
  </w:style>
  <w:style w:type="paragraph" w:customStyle="1" w:styleId="ActHead1">
    <w:name w:val="ActHead 1"/>
    <w:aliases w:val="c"/>
    <w:basedOn w:val="OPCParaBase"/>
    <w:next w:val="Normal"/>
    <w:qFormat/>
    <w:rsid w:val="00463386"/>
    <w:pPr>
      <w:keepNext/>
      <w:keepLines/>
      <w:spacing w:line="240" w:lineRule="auto"/>
      <w:ind w:left="1134" w:hanging="1134"/>
      <w:outlineLvl w:val="0"/>
    </w:pPr>
    <w:rPr>
      <w:b/>
      <w:kern w:val="28"/>
      <w:sz w:val="36"/>
    </w:rPr>
  </w:style>
  <w:style w:type="paragraph" w:styleId="TableofAuthorities">
    <w:name w:val="table of authorities"/>
    <w:basedOn w:val="Normal"/>
    <w:next w:val="Normal"/>
    <w:rsid w:val="009A56D1"/>
    <w:pPr>
      <w:ind w:left="240" w:hanging="240"/>
    </w:pPr>
  </w:style>
  <w:style w:type="paragraph" w:styleId="TableofFigures">
    <w:name w:val="table of figures"/>
    <w:basedOn w:val="Normal"/>
    <w:next w:val="Normal"/>
    <w:rsid w:val="009A56D1"/>
    <w:pPr>
      <w:ind w:left="480" w:hanging="480"/>
    </w:pPr>
  </w:style>
  <w:style w:type="paragraph" w:customStyle="1" w:styleId="ActHead2">
    <w:name w:val="ActHead 2"/>
    <w:aliases w:val="p"/>
    <w:basedOn w:val="OPCParaBase"/>
    <w:next w:val="ActHead3"/>
    <w:qFormat/>
    <w:rsid w:val="00463386"/>
    <w:pPr>
      <w:keepNext/>
      <w:keepLines/>
      <w:spacing w:before="280" w:line="240" w:lineRule="auto"/>
      <w:ind w:left="1134" w:hanging="1134"/>
      <w:outlineLvl w:val="1"/>
    </w:pPr>
    <w:rPr>
      <w:b/>
      <w:kern w:val="28"/>
      <w:sz w:val="32"/>
    </w:rPr>
  </w:style>
  <w:style w:type="paragraph" w:styleId="TOAHeading">
    <w:name w:val="toa heading"/>
    <w:basedOn w:val="Normal"/>
    <w:next w:val="Normal"/>
    <w:rsid w:val="009A56D1"/>
    <w:pPr>
      <w:spacing w:before="120"/>
    </w:pPr>
    <w:rPr>
      <w:rFonts w:ascii="Arial" w:hAnsi="Arial" w:cs="Arial"/>
      <w:b/>
      <w:bCs/>
    </w:rPr>
  </w:style>
  <w:style w:type="paragraph" w:styleId="TOC1">
    <w:name w:val="toc 1"/>
    <w:basedOn w:val="OPCParaBase"/>
    <w:next w:val="Normal"/>
    <w:uiPriority w:val="39"/>
    <w:unhideWhenUsed/>
    <w:rsid w:val="00463386"/>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463386"/>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463386"/>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463386"/>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63386"/>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463386"/>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463386"/>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463386"/>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463386"/>
    <w:pPr>
      <w:keepLines/>
      <w:tabs>
        <w:tab w:val="right" w:pos="8278"/>
      </w:tabs>
      <w:spacing w:before="80" w:line="240" w:lineRule="auto"/>
      <w:ind w:left="851" w:right="567"/>
    </w:pPr>
    <w:rPr>
      <w:i/>
      <w:kern w:val="28"/>
      <w:sz w:val="20"/>
    </w:rPr>
  </w:style>
  <w:style w:type="character" w:customStyle="1" w:styleId="ListNumber2Char">
    <w:name w:val="List Number 2 Char"/>
    <w:basedOn w:val="DefaultParagraphFont"/>
    <w:link w:val="ListNumber2"/>
    <w:rsid w:val="009A56D1"/>
    <w:rPr>
      <w:rFonts w:ascii="Calibri" w:eastAsia="SimSun" w:hAnsi="Calibri"/>
      <w:sz w:val="16"/>
      <w:szCs w:val="22"/>
      <w:lang w:val="en-AU" w:eastAsia="zh-CN" w:bidi="ar-SA"/>
    </w:rPr>
  </w:style>
  <w:style w:type="paragraph" w:customStyle="1" w:styleId="paragraph">
    <w:name w:val="paragraph"/>
    <w:aliases w:val="a"/>
    <w:basedOn w:val="OPCParaBase"/>
    <w:link w:val="paragraphChar"/>
    <w:rsid w:val="00463386"/>
    <w:pPr>
      <w:tabs>
        <w:tab w:val="right" w:pos="1531"/>
      </w:tabs>
      <w:spacing w:before="40" w:line="240" w:lineRule="auto"/>
      <w:ind w:left="1644" w:hanging="1644"/>
    </w:pPr>
  </w:style>
  <w:style w:type="paragraph" w:styleId="Revision">
    <w:name w:val="Revision"/>
    <w:hidden/>
    <w:semiHidden/>
    <w:rsid w:val="009A56D1"/>
    <w:rPr>
      <w:sz w:val="24"/>
      <w:szCs w:val="24"/>
    </w:rPr>
  </w:style>
  <w:style w:type="paragraph" w:customStyle="1" w:styleId="notetext">
    <w:name w:val="note(text)"/>
    <w:aliases w:val="n"/>
    <w:basedOn w:val="OPCParaBase"/>
    <w:link w:val="notetextChar"/>
    <w:rsid w:val="00463386"/>
    <w:pPr>
      <w:spacing w:before="122" w:line="240" w:lineRule="auto"/>
      <w:ind w:left="1985" w:hanging="851"/>
    </w:pPr>
    <w:rPr>
      <w:sz w:val="18"/>
    </w:rPr>
  </w:style>
  <w:style w:type="character" w:customStyle="1" w:styleId="Heading1Char">
    <w:name w:val="Heading 1 Char"/>
    <w:basedOn w:val="DefaultParagraphFont"/>
    <w:link w:val="Heading1"/>
    <w:rsid w:val="00657DC9"/>
    <w:rPr>
      <w:rFonts w:ascii="Arial" w:eastAsia="SimSun" w:hAnsi="Arial" w:cs="Arial"/>
      <w:b/>
      <w:bCs/>
      <w:kern w:val="32"/>
      <w:sz w:val="32"/>
      <w:szCs w:val="32"/>
      <w:lang w:eastAsia="zh-CN"/>
    </w:rPr>
  </w:style>
  <w:style w:type="character" w:customStyle="1" w:styleId="Heading2Char">
    <w:name w:val="Heading 2 Char"/>
    <w:basedOn w:val="DefaultParagraphFont"/>
    <w:link w:val="Heading2"/>
    <w:rsid w:val="00657DC9"/>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657DC9"/>
    <w:rPr>
      <w:rFonts w:ascii="Arial" w:eastAsia="SimSun" w:hAnsi="Arial" w:cs="Arial"/>
      <w:b/>
      <w:bCs/>
      <w:sz w:val="26"/>
      <w:szCs w:val="26"/>
      <w:lang w:eastAsia="zh-CN"/>
    </w:rPr>
  </w:style>
  <w:style w:type="character" w:customStyle="1" w:styleId="Heading4Char">
    <w:name w:val="Heading 4 Char"/>
    <w:basedOn w:val="DefaultParagraphFont"/>
    <w:link w:val="Heading4"/>
    <w:rsid w:val="00657DC9"/>
    <w:rPr>
      <w:rFonts w:ascii="Calibri" w:eastAsia="SimSun" w:hAnsi="Calibri"/>
      <w:b/>
      <w:bCs/>
      <w:sz w:val="28"/>
      <w:szCs w:val="28"/>
      <w:lang w:eastAsia="zh-CN"/>
    </w:rPr>
  </w:style>
  <w:style w:type="character" w:customStyle="1" w:styleId="Heading5Char">
    <w:name w:val="Heading 5 Char"/>
    <w:basedOn w:val="DefaultParagraphFont"/>
    <w:link w:val="Heading5"/>
    <w:rsid w:val="00657DC9"/>
    <w:rPr>
      <w:rFonts w:ascii="Calibri" w:eastAsia="SimSun" w:hAnsi="Calibri"/>
      <w:b/>
      <w:bCs/>
      <w:i/>
      <w:iCs/>
      <w:sz w:val="26"/>
      <w:szCs w:val="26"/>
      <w:lang w:eastAsia="zh-CN"/>
    </w:rPr>
  </w:style>
  <w:style w:type="character" w:customStyle="1" w:styleId="Heading6Char">
    <w:name w:val="Heading 6 Char"/>
    <w:basedOn w:val="DefaultParagraphFont"/>
    <w:link w:val="Heading6"/>
    <w:rsid w:val="00657DC9"/>
    <w:rPr>
      <w:rFonts w:ascii="Calibri" w:eastAsia="SimSun" w:hAnsi="Calibri"/>
      <w:b/>
      <w:bCs/>
      <w:sz w:val="22"/>
      <w:szCs w:val="22"/>
      <w:lang w:eastAsia="zh-CN"/>
    </w:rPr>
  </w:style>
  <w:style w:type="character" w:customStyle="1" w:styleId="Heading7Char">
    <w:name w:val="Heading 7 Char"/>
    <w:basedOn w:val="DefaultParagraphFont"/>
    <w:link w:val="Heading7"/>
    <w:rsid w:val="00657DC9"/>
    <w:rPr>
      <w:rFonts w:ascii="Calibri" w:eastAsia="SimSun" w:hAnsi="Calibri"/>
      <w:sz w:val="16"/>
      <w:szCs w:val="22"/>
      <w:lang w:eastAsia="zh-CN"/>
    </w:rPr>
  </w:style>
  <w:style w:type="character" w:customStyle="1" w:styleId="Heading8Char">
    <w:name w:val="Heading 8 Char"/>
    <w:basedOn w:val="DefaultParagraphFont"/>
    <w:link w:val="Heading8"/>
    <w:rsid w:val="00657DC9"/>
    <w:rPr>
      <w:rFonts w:ascii="Calibri" w:eastAsia="SimSun" w:hAnsi="Calibri"/>
      <w:i/>
      <w:iCs/>
      <w:sz w:val="16"/>
      <w:szCs w:val="22"/>
      <w:lang w:eastAsia="zh-CN"/>
    </w:rPr>
  </w:style>
  <w:style w:type="character" w:customStyle="1" w:styleId="Heading9Char">
    <w:name w:val="Heading 9 Char"/>
    <w:basedOn w:val="DefaultParagraphFont"/>
    <w:link w:val="Heading9"/>
    <w:rsid w:val="00657DC9"/>
    <w:rPr>
      <w:rFonts w:ascii="Arial" w:eastAsia="SimSun" w:hAnsi="Arial" w:cs="Arial"/>
      <w:sz w:val="22"/>
      <w:szCs w:val="22"/>
      <w:lang w:eastAsia="zh-CN"/>
    </w:rPr>
  </w:style>
  <w:style w:type="character" w:customStyle="1" w:styleId="FooterChar">
    <w:name w:val="Footer Char"/>
    <w:basedOn w:val="DefaultParagraphFont"/>
    <w:link w:val="Footer"/>
    <w:rsid w:val="00463386"/>
    <w:rPr>
      <w:sz w:val="22"/>
      <w:szCs w:val="24"/>
    </w:rPr>
  </w:style>
  <w:style w:type="character" w:customStyle="1" w:styleId="BodyTextChar">
    <w:name w:val="Body Text Char"/>
    <w:basedOn w:val="DefaultParagraphFont"/>
    <w:link w:val="BodyText"/>
    <w:rsid w:val="009A56D1"/>
    <w:rPr>
      <w:rFonts w:ascii="Calibri" w:eastAsia="SimSun" w:hAnsi="Calibri"/>
      <w:sz w:val="16"/>
      <w:szCs w:val="22"/>
      <w:lang w:val="en-AU" w:eastAsia="zh-CN" w:bidi="ar-SA"/>
    </w:rPr>
  </w:style>
  <w:style w:type="character" w:customStyle="1" w:styleId="BodyText3Char">
    <w:name w:val="Body Text 3 Char"/>
    <w:basedOn w:val="DefaultParagraphFont"/>
    <w:link w:val="BodyText3"/>
    <w:rsid w:val="009A56D1"/>
    <w:rPr>
      <w:rFonts w:ascii="Calibri" w:eastAsia="SimSun" w:hAnsi="Calibri"/>
      <w:sz w:val="16"/>
      <w:szCs w:val="16"/>
      <w:lang w:val="en-AU" w:eastAsia="zh-CN" w:bidi="ar-SA"/>
    </w:rPr>
  </w:style>
  <w:style w:type="character" w:customStyle="1" w:styleId="BodyTextFirstIndentChar">
    <w:name w:val="Body Text First Indent Char"/>
    <w:basedOn w:val="BodyTextChar"/>
    <w:link w:val="BodyTextFirstIndent"/>
    <w:rsid w:val="009A56D1"/>
    <w:rPr>
      <w:rFonts w:ascii="Calibri" w:eastAsia="SimSun" w:hAnsi="Calibri"/>
      <w:sz w:val="16"/>
      <w:szCs w:val="22"/>
      <w:lang w:val="en-AU" w:eastAsia="zh-CN" w:bidi="ar-SA"/>
    </w:rPr>
  </w:style>
  <w:style w:type="character" w:customStyle="1" w:styleId="BodyText2Char">
    <w:name w:val="Body Text 2 Char"/>
    <w:basedOn w:val="DefaultParagraphFont"/>
    <w:link w:val="BodyText2"/>
    <w:rsid w:val="009A56D1"/>
    <w:rPr>
      <w:rFonts w:ascii="Calibri" w:eastAsia="SimSun" w:hAnsi="Calibri"/>
      <w:sz w:val="16"/>
      <w:szCs w:val="22"/>
      <w:lang w:val="en-AU" w:eastAsia="zh-CN" w:bidi="ar-SA"/>
    </w:rPr>
  </w:style>
  <w:style w:type="character" w:customStyle="1" w:styleId="BodyTextIndentChar">
    <w:name w:val="Body Text Indent Char"/>
    <w:basedOn w:val="DefaultParagraphFont"/>
    <w:link w:val="BodyTextIndent"/>
    <w:rsid w:val="009A56D1"/>
    <w:rPr>
      <w:rFonts w:ascii="Calibri" w:eastAsia="SimSun" w:hAnsi="Calibri"/>
      <w:sz w:val="16"/>
      <w:szCs w:val="22"/>
      <w:lang w:val="en-AU" w:eastAsia="zh-CN" w:bidi="ar-SA"/>
    </w:rPr>
  </w:style>
  <w:style w:type="character" w:customStyle="1" w:styleId="BodyTextFirstIndent2Char">
    <w:name w:val="Body Text First Indent 2 Char"/>
    <w:basedOn w:val="BodyText2Char"/>
    <w:link w:val="BodyTextFirstIndent2"/>
    <w:rsid w:val="009A56D1"/>
    <w:rPr>
      <w:rFonts w:ascii="Calibri" w:eastAsia="SimSun" w:hAnsi="Calibri"/>
      <w:sz w:val="16"/>
      <w:szCs w:val="22"/>
      <w:lang w:val="en-AU" w:eastAsia="zh-CN" w:bidi="ar-SA"/>
    </w:rPr>
  </w:style>
  <w:style w:type="character" w:customStyle="1" w:styleId="BodyTextIndent2Char">
    <w:name w:val="Body Text Indent 2 Char"/>
    <w:basedOn w:val="DefaultParagraphFont"/>
    <w:link w:val="BodyTextIndent2"/>
    <w:rsid w:val="009A56D1"/>
    <w:rPr>
      <w:rFonts w:ascii="Calibri" w:eastAsia="SimSun" w:hAnsi="Calibri"/>
      <w:sz w:val="16"/>
      <w:szCs w:val="22"/>
      <w:lang w:val="en-AU" w:eastAsia="zh-CN" w:bidi="ar-SA"/>
    </w:rPr>
  </w:style>
  <w:style w:type="character" w:customStyle="1" w:styleId="BodyTextIndent3Char">
    <w:name w:val="Body Text Indent 3 Char"/>
    <w:basedOn w:val="DefaultParagraphFont"/>
    <w:link w:val="BodyTextIndent3"/>
    <w:rsid w:val="009A56D1"/>
    <w:rPr>
      <w:rFonts w:ascii="Calibri" w:eastAsia="SimSun" w:hAnsi="Calibri"/>
      <w:sz w:val="16"/>
      <w:szCs w:val="16"/>
      <w:lang w:val="en-AU" w:eastAsia="zh-CN" w:bidi="ar-SA"/>
    </w:rPr>
  </w:style>
  <w:style w:type="character" w:customStyle="1" w:styleId="ClosingChar">
    <w:name w:val="Closing Char"/>
    <w:basedOn w:val="DefaultParagraphFont"/>
    <w:link w:val="Closing"/>
    <w:rsid w:val="009A56D1"/>
    <w:rPr>
      <w:rFonts w:ascii="Calibri" w:eastAsia="SimSun" w:hAnsi="Calibri"/>
      <w:sz w:val="16"/>
      <w:szCs w:val="22"/>
      <w:lang w:val="en-AU" w:eastAsia="zh-CN" w:bidi="ar-SA"/>
    </w:rPr>
  </w:style>
  <w:style w:type="character" w:customStyle="1" w:styleId="DateChar">
    <w:name w:val="Date Char"/>
    <w:basedOn w:val="DefaultParagraphFont"/>
    <w:link w:val="Date"/>
    <w:rsid w:val="009A56D1"/>
    <w:rPr>
      <w:rFonts w:ascii="Calibri" w:eastAsia="SimSun" w:hAnsi="Calibri"/>
      <w:sz w:val="16"/>
      <w:szCs w:val="22"/>
      <w:lang w:val="en-AU" w:eastAsia="zh-CN" w:bidi="ar-SA"/>
    </w:rPr>
  </w:style>
  <w:style w:type="character" w:customStyle="1" w:styleId="E-mailSignatureChar">
    <w:name w:val="E-mail Signature Char"/>
    <w:basedOn w:val="DefaultParagraphFont"/>
    <w:link w:val="E-mailSignature"/>
    <w:rsid w:val="009A56D1"/>
    <w:rPr>
      <w:rFonts w:ascii="Calibri" w:eastAsia="SimSun" w:hAnsi="Calibri"/>
      <w:sz w:val="16"/>
      <w:szCs w:val="22"/>
      <w:lang w:val="en-AU" w:eastAsia="zh-CN" w:bidi="ar-SA"/>
    </w:rPr>
  </w:style>
  <w:style w:type="character" w:customStyle="1" w:styleId="HeaderChar">
    <w:name w:val="Header Char"/>
    <w:basedOn w:val="DefaultParagraphFont"/>
    <w:link w:val="Header"/>
    <w:rsid w:val="00463386"/>
    <w:rPr>
      <w:sz w:val="16"/>
    </w:rPr>
  </w:style>
  <w:style w:type="character" w:customStyle="1" w:styleId="HTMLAddressChar">
    <w:name w:val="HTML Address Char"/>
    <w:basedOn w:val="DefaultParagraphFont"/>
    <w:link w:val="HTMLAddress"/>
    <w:rsid w:val="009A56D1"/>
    <w:rPr>
      <w:rFonts w:ascii="Calibri" w:eastAsia="SimSun" w:hAnsi="Calibri"/>
      <w:i/>
      <w:iCs/>
      <w:sz w:val="16"/>
      <w:szCs w:val="22"/>
      <w:lang w:val="en-AU" w:eastAsia="zh-CN" w:bidi="ar-SA"/>
    </w:rPr>
  </w:style>
  <w:style w:type="character" w:customStyle="1" w:styleId="HTMLPreformattedChar">
    <w:name w:val="HTML Preformatted Char"/>
    <w:basedOn w:val="DefaultParagraphFont"/>
    <w:link w:val="HTMLPreformatted"/>
    <w:rsid w:val="009A56D1"/>
    <w:rPr>
      <w:rFonts w:ascii="Courier New" w:eastAsia="SimSun" w:hAnsi="Courier New" w:cs="Courier New"/>
      <w:lang w:val="en-AU" w:eastAsia="zh-CN" w:bidi="ar-SA"/>
    </w:rPr>
  </w:style>
  <w:style w:type="character" w:customStyle="1" w:styleId="MessageHeaderChar">
    <w:name w:val="Message Header Char"/>
    <w:basedOn w:val="DefaultParagraphFont"/>
    <w:link w:val="MessageHeader"/>
    <w:rsid w:val="009A56D1"/>
    <w:rPr>
      <w:rFonts w:ascii="Arial" w:eastAsia="SimSun" w:hAnsi="Arial" w:cs="Arial"/>
      <w:sz w:val="16"/>
      <w:szCs w:val="22"/>
      <w:lang w:val="en-AU" w:eastAsia="zh-CN" w:bidi="ar-SA"/>
    </w:rPr>
  </w:style>
  <w:style w:type="character" w:customStyle="1" w:styleId="PlainTextChar">
    <w:name w:val="Plain Text Char"/>
    <w:basedOn w:val="DefaultParagraphFont"/>
    <w:link w:val="PlainText"/>
    <w:rsid w:val="009A56D1"/>
    <w:rPr>
      <w:rFonts w:ascii="Courier New" w:eastAsia="SimSun" w:hAnsi="Courier New" w:cs="Courier New"/>
      <w:lang w:val="en-AU" w:eastAsia="zh-CN" w:bidi="ar-SA"/>
    </w:rPr>
  </w:style>
  <w:style w:type="character" w:customStyle="1" w:styleId="SalutationChar">
    <w:name w:val="Salutation Char"/>
    <w:basedOn w:val="DefaultParagraphFont"/>
    <w:link w:val="Salutation"/>
    <w:rsid w:val="009A56D1"/>
    <w:rPr>
      <w:rFonts w:ascii="Calibri" w:eastAsia="SimSun" w:hAnsi="Calibri"/>
      <w:sz w:val="16"/>
      <w:szCs w:val="22"/>
      <w:lang w:val="en-AU" w:eastAsia="zh-CN" w:bidi="ar-SA"/>
    </w:rPr>
  </w:style>
  <w:style w:type="character" w:customStyle="1" w:styleId="SignatureChar">
    <w:name w:val="Signature Char"/>
    <w:basedOn w:val="DefaultParagraphFont"/>
    <w:link w:val="Signature"/>
    <w:rsid w:val="009A56D1"/>
    <w:rPr>
      <w:rFonts w:ascii="Calibri" w:eastAsia="SimSun" w:hAnsi="Calibri"/>
      <w:sz w:val="16"/>
      <w:szCs w:val="22"/>
      <w:lang w:val="en-AU" w:eastAsia="zh-CN" w:bidi="ar-SA"/>
    </w:rPr>
  </w:style>
  <w:style w:type="character" w:customStyle="1" w:styleId="SubtitleChar">
    <w:name w:val="Subtitle Char"/>
    <w:basedOn w:val="DefaultParagraphFont"/>
    <w:link w:val="Subtitle"/>
    <w:rsid w:val="00657DC9"/>
    <w:rPr>
      <w:rFonts w:ascii="Arial" w:eastAsia="SimSun" w:hAnsi="Arial" w:cs="Arial"/>
      <w:sz w:val="16"/>
      <w:szCs w:val="22"/>
      <w:lang w:eastAsia="zh-CN"/>
    </w:rPr>
  </w:style>
  <w:style w:type="character" w:customStyle="1" w:styleId="BalloonTextChar">
    <w:name w:val="Balloon Text Char"/>
    <w:basedOn w:val="DefaultParagraphFont"/>
    <w:link w:val="BalloonText"/>
    <w:uiPriority w:val="99"/>
    <w:rsid w:val="00463386"/>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9A56D1"/>
    <w:rPr>
      <w:rFonts w:ascii="Calibri" w:eastAsia="SimSun" w:hAnsi="Calibri"/>
      <w:lang w:val="en-AU" w:eastAsia="zh-CN" w:bidi="ar-SA"/>
    </w:rPr>
  </w:style>
  <w:style w:type="character" w:customStyle="1" w:styleId="CommentSubjectChar">
    <w:name w:val="Comment Subject Char"/>
    <w:basedOn w:val="CommentTextChar"/>
    <w:link w:val="CommentSubject"/>
    <w:rsid w:val="009A56D1"/>
    <w:rPr>
      <w:rFonts w:ascii="Calibri" w:eastAsia="SimSun" w:hAnsi="Calibri"/>
      <w:b/>
      <w:bCs/>
      <w:lang w:val="en-AU" w:eastAsia="zh-CN" w:bidi="ar-SA"/>
    </w:rPr>
  </w:style>
  <w:style w:type="character" w:customStyle="1" w:styleId="DocumentMapChar">
    <w:name w:val="Document Map Char"/>
    <w:basedOn w:val="DefaultParagraphFont"/>
    <w:link w:val="DocumentMap"/>
    <w:rsid w:val="009A56D1"/>
    <w:rPr>
      <w:rFonts w:ascii="Tahoma" w:eastAsia="SimSun" w:hAnsi="Tahoma" w:cs="Tahoma"/>
      <w:sz w:val="16"/>
      <w:szCs w:val="22"/>
      <w:lang w:val="en-AU" w:eastAsia="zh-CN" w:bidi="ar-SA"/>
    </w:rPr>
  </w:style>
  <w:style w:type="character" w:customStyle="1" w:styleId="EndnoteTextChar">
    <w:name w:val="Endnote Text Char"/>
    <w:basedOn w:val="DefaultParagraphFont"/>
    <w:link w:val="EndnoteText"/>
    <w:rsid w:val="009A56D1"/>
    <w:rPr>
      <w:rFonts w:ascii="Calibri" w:eastAsia="SimSun" w:hAnsi="Calibri"/>
      <w:lang w:val="en-AU" w:eastAsia="zh-CN" w:bidi="ar-SA"/>
    </w:rPr>
  </w:style>
  <w:style w:type="character" w:customStyle="1" w:styleId="FootnoteTextChar">
    <w:name w:val="Footnote Text Char"/>
    <w:basedOn w:val="DefaultParagraphFont"/>
    <w:link w:val="FootnoteText"/>
    <w:rsid w:val="009A56D1"/>
    <w:rPr>
      <w:rFonts w:ascii="Calibri" w:eastAsia="SimSun" w:hAnsi="Calibri"/>
      <w:lang w:val="en-AU" w:eastAsia="zh-CN" w:bidi="ar-SA"/>
    </w:rPr>
  </w:style>
  <w:style w:type="character" w:customStyle="1" w:styleId="MacroTextChar">
    <w:name w:val="Macro Text Char"/>
    <w:basedOn w:val="DefaultParagraphFont"/>
    <w:link w:val="MacroText"/>
    <w:rsid w:val="009A56D1"/>
    <w:rPr>
      <w:rFonts w:ascii="Courier New" w:hAnsi="Courier New" w:cs="Courier New"/>
      <w:lang w:val="en-AU" w:eastAsia="en-US" w:bidi="ar-SA"/>
    </w:rPr>
  </w:style>
  <w:style w:type="character" w:customStyle="1" w:styleId="TitleChar">
    <w:name w:val="Title Char"/>
    <w:basedOn w:val="DefaultParagraphFont"/>
    <w:link w:val="Title"/>
    <w:rsid w:val="00657DC9"/>
    <w:rPr>
      <w:rFonts w:ascii="Arial" w:eastAsia="SimSun" w:hAnsi="Arial" w:cs="Arial"/>
      <w:b/>
      <w:bCs/>
      <w:sz w:val="40"/>
      <w:szCs w:val="40"/>
      <w:lang w:eastAsia="zh-CN"/>
    </w:rPr>
  </w:style>
  <w:style w:type="paragraph" w:styleId="ListParagraph">
    <w:name w:val="List Paragraph"/>
    <w:basedOn w:val="Normal"/>
    <w:link w:val="ListParagraphChar"/>
    <w:uiPriority w:val="34"/>
    <w:qFormat/>
    <w:rsid w:val="00657DC9"/>
    <w:pPr>
      <w:ind w:left="720"/>
      <w:contextualSpacing/>
    </w:pPr>
  </w:style>
  <w:style w:type="table" w:customStyle="1" w:styleId="HeadingTable">
    <w:name w:val="HeadingTable"/>
    <w:basedOn w:val="TableGrid"/>
    <w:rsid w:val="009A56D1"/>
    <w:rPr>
      <w:rFonts w:ascii="Calibri" w:eastAsia="SimSun" w:hAnsi="Calibri"/>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
    <w:name w:val="Table-DrugItem"/>
    <w:basedOn w:val="TableNormal"/>
    <w:rsid w:val="009A56D1"/>
    <w:rPr>
      <w:rFonts w:ascii="Calibri" w:eastAsia="SimSun"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9A56D1"/>
    <w:rPr>
      <w:rFonts w:ascii="Calibri" w:eastAsia="SimSun" w:hAnsi="Calibri"/>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rsid w:val="009A56D1"/>
    <w:rPr>
      <w:rFonts w:ascii="Calibri" w:eastAsia="SimSun" w:hAnsi="Calibri"/>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
    <w:name w:val="Table-Item"/>
    <w:basedOn w:val="TableNormal"/>
    <w:rsid w:val="009A56D1"/>
    <w:rPr>
      <w:rFonts w:ascii="Calibri" w:eastAsia="SimSun" w:hAnsi="Calibri"/>
    </w:rPr>
    <w:tblPr/>
  </w:style>
  <w:style w:type="character" w:customStyle="1" w:styleId="paragraphChar">
    <w:name w:val="paragraph Char"/>
    <w:aliases w:val="a Char"/>
    <w:link w:val="paragraph"/>
    <w:rsid w:val="004C79BE"/>
    <w:rPr>
      <w:sz w:val="22"/>
    </w:rPr>
  </w:style>
  <w:style w:type="paragraph" w:customStyle="1" w:styleId="ActHead3">
    <w:name w:val="ActHead 3"/>
    <w:aliases w:val="d"/>
    <w:basedOn w:val="OPCParaBase"/>
    <w:next w:val="ActHead4"/>
    <w:qFormat/>
    <w:rsid w:val="0046338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6338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6338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6338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6338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6338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6338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63386"/>
  </w:style>
  <w:style w:type="paragraph" w:customStyle="1" w:styleId="Blocks">
    <w:name w:val="Blocks"/>
    <w:aliases w:val="bb"/>
    <w:basedOn w:val="OPCParaBase"/>
    <w:qFormat/>
    <w:rsid w:val="00463386"/>
    <w:pPr>
      <w:spacing w:line="240" w:lineRule="auto"/>
    </w:pPr>
    <w:rPr>
      <w:sz w:val="24"/>
    </w:rPr>
  </w:style>
  <w:style w:type="paragraph" w:customStyle="1" w:styleId="BoxText">
    <w:name w:val="BoxText"/>
    <w:aliases w:val="bt"/>
    <w:basedOn w:val="OPCParaBase"/>
    <w:qFormat/>
    <w:rsid w:val="0046338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63386"/>
    <w:rPr>
      <w:b/>
    </w:rPr>
  </w:style>
  <w:style w:type="paragraph" w:customStyle="1" w:styleId="BoxHeadItalic">
    <w:name w:val="BoxHeadItalic"/>
    <w:aliases w:val="bhi"/>
    <w:basedOn w:val="BoxText"/>
    <w:next w:val="BoxStep"/>
    <w:qFormat/>
    <w:rsid w:val="00463386"/>
    <w:rPr>
      <w:i/>
    </w:rPr>
  </w:style>
  <w:style w:type="paragraph" w:customStyle="1" w:styleId="BoxList">
    <w:name w:val="BoxList"/>
    <w:aliases w:val="bl"/>
    <w:basedOn w:val="BoxText"/>
    <w:qFormat/>
    <w:rsid w:val="00463386"/>
    <w:pPr>
      <w:ind w:left="1559" w:hanging="425"/>
    </w:pPr>
  </w:style>
  <w:style w:type="paragraph" w:customStyle="1" w:styleId="BoxNote">
    <w:name w:val="BoxNote"/>
    <w:aliases w:val="bn"/>
    <w:basedOn w:val="BoxText"/>
    <w:qFormat/>
    <w:rsid w:val="00463386"/>
    <w:pPr>
      <w:tabs>
        <w:tab w:val="left" w:pos="1985"/>
      </w:tabs>
      <w:spacing w:before="122" w:line="198" w:lineRule="exact"/>
      <w:ind w:left="2948" w:hanging="1814"/>
    </w:pPr>
    <w:rPr>
      <w:sz w:val="18"/>
    </w:rPr>
  </w:style>
  <w:style w:type="paragraph" w:customStyle="1" w:styleId="BoxPara">
    <w:name w:val="BoxPara"/>
    <w:aliases w:val="bp"/>
    <w:basedOn w:val="BoxText"/>
    <w:qFormat/>
    <w:rsid w:val="00463386"/>
    <w:pPr>
      <w:tabs>
        <w:tab w:val="right" w:pos="2268"/>
      </w:tabs>
      <w:ind w:left="2552" w:hanging="1418"/>
    </w:pPr>
  </w:style>
  <w:style w:type="paragraph" w:customStyle="1" w:styleId="BoxStep">
    <w:name w:val="BoxStep"/>
    <w:aliases w:val="bs"/>
    <w:basedOn w:val="BoxText"/>
    <w:qFormat/>
    <w:rsid w:val="00463386"/>
    <w:pPr>
      <w:ind w:left="1985" w:hanging="851"/>
    </w:pPr>
  </w:style>
  <w:style w:type="character" w:customStyle="1" w:styleId="CharAmPartNo">
    <w:name w:val="CharAmPartNo"/>
    <w:basedOn w:val="OPCCharBase"/>
    <w:uiPriority w:val="1"/>
    <w:qFormat/>
    <w:rsid w:val="00463386"/>
  </w:style>
  <w:style w:type="character" w:customStyle="1" w:styleId="CharAmPartText">
    <w:name w:val="CharAmPartText"/>
    <w:basedOn w:val="OPCCharBase"/>
    <w:uiPriority w:val="1"/>
    <w:qFormat/>
    <w:rsid w:val="00463386"/>
  </w:style>
  <w:style w:type="character" w:customStyle="1" w:styleId="CharBoldItalic">
    <w:name w:val="CharBoldItalic"/>
    <w:basedOn w:val="OPCCharBase"/>
    <w:uiPriority w:val="1"/>
    <w:qFormat/>
    <w:rsid w:val="00463386"/>
    <w:rPr>
      <w:b/>
      <w:i/>
    </w:rPr>
  </w:style>
  <w:style w:type="character" w:customStyle="1" w:styleId="CharItalic">
    <w:name w:val="CharItalic"/>
    <w:basedOn w:val="OPCCharBase"/>
    <w:uiPriority w:val="1"/>
    <w:qFormat/>
    <w:rsid w:val="00463386"/>
    <w:rPr>
      <w:i/>
    </w:rPr>
  </w:style>
  <w:style w:type="character" w:customStyle="1" w:styleId="CharSubdNo">
    <w:name w:val="CharSubdNo"/>
    <w:basedOn w:val="OPCCharBase"/>
    <w:uiPriority w:val="1"/>
    <w:qFormat/>
    <w:rsid w:val="00463386"/>
  </w:style>
  <w:style w:type="character" w:customStyle="1" w:styleId="CharSubdText">
    <w:name w:val="CharSubdText"/>
    <w:basedOn w:val="OPCCharBase"/>
    <w:uiPriority w:val="1"/>
    <w:qFormat/>
    <w:rsid w:val="00463386"/>
  </w:style>
  <w:style w:type="paragraph" w:customStyle="1" w:styleId="CTA--">
    <w:name w:val="CTA --"/>
    <w:basedOn w:val="OPCParaBase"/>
    <w:next w:val="Normal"/>
    <w:rsid w:val="00463386"/>
    <w:pPr>
      <w:spacing w:before="60" w:line="240" w:lineRule="atLeast"/>
      <w:ind w:left="142" w:hanging="142"/>
    </w:pPr>
    <w:rPr>
      <w:sz w:val="20"/>
    </w:rPr>
  </w:style>
  <w:style w:type="paragraph" w:customStyle="1" w:styleId="CTA-">
    <w:name w:val="CTA -"/>
    <w:basedOn w:val="OPCParaBase"/>
    <w:rsid w:val="00463386"/>
    <w:pPr>
      <w:spacing w:before="60" w:line="240" w:lineRule="atLeast"/>
      <w:ind w:left="85" w:hanging="85"/>
    </w:pPr>
    <w:rPr>
      <w:sz w:val="20"/>
    </w:rPr>
  </w:style>
  <w:style w:type="paragraph" w:customStyle="1" w:styleId="CTA---">
    <w:name w:val="CTA ---"/>
    <w:basedOn w:val="OPCParaBase"/>
    <w:next w:val="Normal"/>
    <w:rsid w:val="00463386"/>
    <w:pPr>
      <w:spacing w:before="60" w:line="240" w:lineRule="atLeast"/>
      <w:ind w:left="198" w:hanging="198"/>
    </w:pPr>
    <w:rPr>
      <w:sz w:val="20"/>
    </w:rPr>
  </w:style>
  <w:style w:type="paragraph" w:customStyle="1" w:styleId="CTA----">
    <w:name w:val="CTA ----"/>
    <w:basedOn w:val="OPCParaBase"/>
    <w:next w:val="Normal"/>
    <w:rsid w:val="00463386"/>
    <w:pPr>
      <w:spacing w:before="60" w:line="240" w:lineRule="atLeast"/>
      <w:ind w:left="255" w:hanging="255"/>
    </w:pPr>
    <w:rPr>
      <w:sz w:val="20"/>
    </w:rPr>
  </w:style>
  <w:style w:type="paragraph" w:customStyle="1" w:styleId="CTA1a">
    <w:name w:val="CTA 1(a)"/>
    <w:basedOn w:val="OPCParaBase"/>
    <w:rsid w:val="00463386"/>
    <w:pPr>
      <w:tabs>
        <w:tab w:val="right" w:pos="414"/>
      </w:tabs>
      <w:spacing w:before="40" w:line="240" w:lineRule="atLeast"/>
      <w:ind w:left="675" w:hanging="675"/>
    </w:pPr>
    <w:rPr>
      <w:sz w:val="20"/>
    </w:rPr>
  </w:style>
  <w:style w:type="paragraph" w:customStyle="1" w:styleId="CTA1ai">
    <w:name w:val="CTA 1(a)(i)"/>
    <w:basedOn w:val="OPCParaBase"/>
    <w:rsid w:val="00463386"/>
    <w:pPr>
      <w:tabs>
        <w:tab w:val="right" w:pos="1004"/>
      </w:tabs>
      <w:spacing w:before="40" w:line="240" w:lineRule="atLeast"/>
      <w:ind w:left="1253" w:hanging="1253"/>
    </w:pPr>
    <w:rPr>
      <w:sz w:val="20"/>
    </w:rPr>
  </w:style>
  <w:style w:type="paragraph" w:customStyle="1" w:styleId="CTA2a">
    <w:name w:val="CTA 2(a)"/>
    <w:basedOn w:val="OPCParaBase"/>
    <w:rsid w:val="00463386"/>
    <w:pPr>
      <w:tabs>
        <w:tab w:val="right" w:pos="482"/>
      </w:tabs>
      <w:spacing w:before="40" w:line="240" w:lineRule="atLeast"/>
      <w:ind w:left="748" w:hanging="748"/>
    </w:pPr>
    <w:rPr>
      <w:sz w:val="20"/>
    </w:rPr>
  </w:style>
  <w:style w:type="paragraph" w:customStyle="1" w:styleId="CTA2ai">
    <w:name w:val="CTA 2(a)(i)"/>
    <w:basedOn w:val="OPCParaBase"/>
    <w:rsid w:val="00463386"/>
    <w:pPr>
      <w:tabs>
        <w:tab w:val="right" w:pos="1089"/>
      </w:tabs>
      <w:spacing w:before="40" w:line="240" w:lineRule="atLeast"/>
      <w:ind w:left="1327" w:hanging="1327"/>
    </w:pPr>
    <w:rPr>
      <w:sz w:val="20"/>
    </w:rPr>
  </w:style>
  <w:style w:type="paragraph" w:customStyle="1" w:styleId="CTA3a">
    <w:name w:val="CTA 3(a)"/>
    <w:basedOn w:val="OPCParaBase"/>
    <w:rsid w:val="00463386"/>
    <w:pPr>
      <w:tabs>
        <w:tab w:val="right" w:pos="556"/>
      </w:tabs>
      <w:spacing w:before="40" w:line="240" w:lineRule="atLeast"/>
      <w:ind w:left="805" w:hanging="805"/>
    </w:pPr>
    <w:rPr>
      <w:sz w:val="20"/>
    </w:rPr>
  </w:style>
  <w:style w:type="paragraph" w:customStyle="1" w:styleId="CTA3ai">
    <w:name w:val="CTA 3(a)(i)"/>
    <w:basedOn w:val="OPCParaBase"/>
    <w:rsid w:val="00463386"/>
    <w:pPr>
      <w:tabs>
        <w:tab w:val="right" w:pos="1140"/>
      </w:tabs>
      <w:spacing w:before="40" w:line="240" w:lineRule="atLeast"/>
      <w:ind w:left="1361" w:hanging="1361"/>
    </w:pPr>
    <w:rPr>
      <w:sz w:val="20"/>
    </w:rPr>
  </w:style>
  <w:style w:type="paragraph" w:customStyle="1" w:styleId="CTA4a">
    <w:name w:val="CTA 4(a)"/>
    <w:basedOn w:val="OPCParaBase"/>
    <w:rsid w:val="00463386"/>
    <w:pPr>
      <w:tabs>
        <w:tab w:val="right" w:pos="624"/>
      </w:tabs>
      <w:spacing w:before="40" w:line="240" w:lineRule="atLeast"/>
      <w:ind w:left="873" w:hanging="873"/>
    </w:pPr>
    <w:rPr>
      <w:sz w:val="20"/>
    </w:rPr>
  </w:style>
  <w:style w:type="paragraph" w:customStyle="1" w:styleId="CTA4ai">
    <w:name w:val="CTA 4(a)(i)"/>
    <w:basedOn w:val="OPCParaBase"/>
    <w:rsid w:val="00463386"/>
    <w:pPr>
      <w:tabs>
        <w:tab w:val="right" w:pos="1213"/>
      </w:tabs>
      <w:spacing w:before="40" w:line="240" w:lineRule="atLeast"/>
      <w:ind w:left="1452" w:hanging="1452"/>
    </w:pPr>
    <w:rPr>
      <w:sz w:val="20"/>
    </w:rPr>
  </w:style>
  <w:style w:type="paragraph" w:customStyle="1" w:styleId="CTACAPS">
    <w:name w:val="CTA CAPS"/>
    <w:basedOn w:val="OPCParaBase"/>
    <w:rsid w:val="00463386"/>
    <w:pPr>
      <w:spacing w:before="60" w:line="240" w:lineRule="atLeast"/>
    </w:pPr>
    <w:rPr>
      <w:sz w:val="20"/>
    </w:rPr>
  </w:style>
  <w:style w:type="paragraph" w:customStyle="1" w:styleId="CTAright">
    <w:name w:val="CTA right"/>
    <w:basedOn w:val="OPCParaBase"/>
    <w:rsid w:val="00463386"/>
    <w:pPr>
      <w:spacing w:before="60" w:line="240" w:lineRule="auto"/>
      <w:jc w:val="right"/>
    </w:pPr>
    <w:rPr>
      <w:sz w:val="20"/>
    </w:rPr>
  </w:style>
  <w:style w:type="paragraph" w:customStyle="1" w:styleId="subsection">
    <w:name w:val="subsection"/>
    <w:aliases w:val="ss,Subsection"/>
    <w:basedOn w:val="OPCParaBase"/>
    <w:link w:val="subsectionChar"/>
    <w:rsid w:val="00463386"/>
    <w:pPr>
      <w:tabs>
        <w:tab w:val="right" w:pos="1021"/>
      </w:tabs>
      <w:spacing w:before="180" w:line="240" w:lineRule="auto"/>
      <w:ind w:left="1134" w:hanging="1134"/>
    </w:pPr>
  </w:style>
  <w:style w:type="paragraph" w:customStyle="1" w:styleId="Definition">
    <w:name w:val="Definition"/>
    <w:aliases w:val="dd"/>
    <w:basedOn w:val="OPCParaBase"/>
    <w:rsid w:val="00463386"/>
    <w:pPr>
      <w:spacing w:before="180" w:line="240" w:lineRule="auto"/>
      <w:ind w:left="1134"/>
    </w:pPr>
  </w:style>
  <w:style w:type="paragraph" w:customStyle="1" w:styleId="House">
    <w:name w:val="House"/>
    <w:basedOn w:val="OPCParaBase"/>
    <w:rsid w:val="00463386"/>
    <w:pPr>
      <w:spacing w:line="240" w:lineRule="auto"/>
    </w:pPr>
    <w:rPr>
      <w:sz w:val="28"/>
    </w:rPr>
  </w:style>
  <w:style w:type="paragraph" w:customStyle="1" w:styleId="Item">
    <w:name w:val="Item"/>
    <w:aliases w:val="i"/>
    <w:basedOn w:val="OPCParaBase"/>
    <w:next w:val="ItemHead"/>
    <w:rsid w:val="00463386"/>
    <w:pPr>
      <w:keepLines/>
      <w:spacing w:before="80" w:line="240" w:lineRule="auto"/>
      <w:ind w:left="709"/>
    </w:pPr>
  </w:style>
  <w:style w:type="paragraph" w:customStyle="1" w:styleId="ItemHead">
    <w:name w:val="ItemHead"/>
    <w:aliases w:val="ih"/>
    <w:basedOn w:val="OPCParaBase"/>
    <w:next w:val="Item"/>
    <w:rsid w:val="0046338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63386"/>
    <w:pPr>
      <w:spacing w:line="240" w:lineRule="auto"/>
    </w:pPr>
    <w:rPr>
      <w:b/>
      <w:sz w:val="32"/>
    </w:rPr>
  </w:style>
  <w:style w:type="paragraph" w:customStyle="1" w:styleId="notedraft">
    <w:name w:val="note(draft)"/>
    <w:aliases w:val="nd"/>
    <w:basedOn w:val="OPCParaBase"/>
    <w:rsid w:val="00463386"/>
    <w:pPr>
      <w:spacing w:before="240" w:line="240" w:lineRule="auto"/>
      <w:ind w:left="284" w:hanging="284"/>
    </w:pPr>
    <w:rPr>
      <w:i/>
      <w:sz w:val="24"/>
    </w:rPr>
  </w:style>
  <w:style w:type="paragraph" w:customStyle="1" w:styleId="notemargin">
    <w:name w:val="note(margin)"/>
    <w:aliases w:val="nm"/>
    <w:basedOn w:val="OPCParaBase"/>
    <w:rsid w:val="00463386"/>
    <w:pPr>
      <w:tabs>
        <w:tab w:val="left" w:pos="709"/>
      </w:tabs>
      <w:spacing w:before="122" w:line="198" w:lineRule="exact"/>
      <w:ind w:left="709" w:hanging="709"/>
    </w:pPr>
    <w:rPr>
      <w:sz w:val="18"/>
    </w:rPr>
  </w:style>
  <w:style w:type="paragraph" w:customStyle="1" w:styleId="notepara">
    <w:name w:val="note(para)"/>
    <w:aliases w:val="na"/>
    <w:basedOn w:val="OPCParaBase"/>
    <w:rsid w:val="00463386"/>
    <w:pPr>
      <w:spacing w:before="40" w:line="198" w:lineRule="exact"/>
      <w:ind w:left="2354" w:hanging="369"/>
    </w:pPr>
    <w:rPr>
      <w:sz w:val="18"/>
    </w:rPr>
  </w:style>
  <w:style w:type="paragraph" w:customStyle="1" w:styleId="noteParlAmend">
    <w:name w:val="note(ParlAmend)"/>
    <w:aliases w:val="npp"/>
    <w:basedOn w:val="OPCParaBase"/>
    <w:next w:val="ParlAmend"/>
    <w:rsid w:val="00463386"/>
    <w:pPr>
      <w:spacing w:line="240" w:lineRule="auto"/>
      <w:jc w:val="right"/>
    </w:pPr>
    <w:rPr>
      <w:rFonts w:ascii="Arial" w:hAnsi="Arial"/>
      <w:b/>
      <w:i/>
    </w:rPr>
  </w:style>
  <w:style w:type="paragraph" w:customStyle="1" w:styleId="Page1">
    <w:name w:val="Page1"/>
    <w:basedOn w:val="OPCParaBase"/>
    <w:rsid w:val="00463386"/>
    <w:pPr>
      <w:spacing w:before="5600" w:line="240" w:lineRule="auto"/>
    </w:pPr>
    <w:rPr>
      <w:b/>
      <w:sz w:val="32"/>
    </w:rPr>
  </w:style>
  <w:style w:type="paragraph" w:customStyle="1" w:styleId="paragraphsub">
    <w:name w:val="paragraph(sub)"/>
    <w:aliases w:val="aa"/>
    <w:basedOn w:val="OPCParaBase"/>
    <w:rsid w:val="00463386"/>
    <w:pPr>
      <w:tabs>
        <w:tab w:val="right" w:pos="1985"/>
      </w:tabs>
      <w:spacing w:before="40" w:line="240" w:lineRule="auto"/>
      <w:ind w:left="2098" w:hanging="2098"/>
    </w:pPr>
  </w:style>
  <w:style w:type="paragraph" w:customStyle="1" w:styleId="paragraphsub-sub">
    <w:name w:val="paragraph(sub-sub)"/>
    <w:aliases w:val="aaa"/>
    <w:basedOn w:val="OPCParaBase"/>
    <w:rsid w:val="00463386"/>
    <w:pPr>
      <w:tabs>
        <w:tab w:val="right" w:pos="2722"/>
      </w:tabs>
      <w:spacing w:before="40" w:line="240" w:lineRule="auto"/>
      <w:ind w:left="2835" w:hanging="2835"/>
    </w:pPr>
  </w:style>
  <w:style w:type="paragraph" w:customStyle="1" w:styleId="ParlAmend">
    <w:name w:val="ParlAmend"/>
    <w:aliases w:val="pp"/>
    <w:basedOn w:val="OPCParaBase"/>
    <w:rsid w:val="00463386"/>
    <w:pPr>
      <w:spacing w:before="240" w:line="240" w:lineRule="atLeast"/>
      <w:ind w:hanging="567"/>
    </w:pPr>
    <w:rPr>
      <w:sz w:val="24"/>
    </w:rPr>
  </w:style>
  <w:style w:type="paragraph" w:customStyle="1" w:styleId="Portfolio">
    <w:name w:val="Portfolio"/>
    <w:basedOn w:val="OPCParaBase"/>
    <w:rsid w:val="00463386"/>
    <w:pPr>
      <w:spacing w:line="240" w:lineRule="auto"/>
    </w:pPr>
    <w:rPr>
      <w:i/>
      <w:sz w:val="20"/>
    </w:rPr>
  </w:style>
  <w:style w:type="paragraph" w:customStyle="1" w:styleId="Preamble">
    <w:name w:val="Preamble"/>
    <w:basedOn w:val="OPCParaBase"/>
    <w:next w:val="Normal"/>
    <w:rsid w:val="0046338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63386"/>
    <w:pPr>
      <w:spacing w:line="240" w:lineRule="auto"/>
    </w:pPr>
    <w:rPr>
      <w:i/>
      <w:sz w:val="20"/>
    </w:rPr>
  </w:style>
  <w:style w:type="paragraph" w:customStyle="1" w:styleId="Session">
    <w:name w:val="Session"/>
    <w:basedOn w:val="OPCParaBase"/>
    <w:rsid w:val="00463386"/>
    <w:pPr>
      <w:spacing w:line="240" w:lineRule="auto"/>
    </w:pPr>
    <w:rPr>
      <w:sz w:val="28"/>
    </w:rPr>
  </w:style>
  <w:style w:type="paragraph" w:customStyle="1" w:styleId="Sponsor">
    <w:name w:val="Sponsor"/>
    <w:basedOn w:val="OPCParaBase"/>
    <w:rsid w:val="00463386"/>
    <w:pPr>
      <w:spacing w:line="240" w:lineRule="auto"/>
    </w:pPr>
    <w:rPr>
      <w:i/>
    </w:rPr>
  </w:style>
  <w:style w:type="paragraph" w:customStyle="1" w:styleId="Subitem">
    <w:name w:val="Subitem"/>
    <w:aliases w:val="iss"/>
    <w:basedOn w:val="OPCParaBase"/>
    <w:rsid w:val="00463386"/>
    <w:pPr>
      <w:spacing w:before="180" w:line="240" w:lineRule="auto"/>
      <w:ind w:left="709" w:hanging="709"/>
    </w:pPr>
  </w:style>
  <w:style w:type="paragraph" w:customStyle="1" w:styleId="SubitemHead">
    <w:name w:val="SubitemHead"/>
    <w:aliases w:val="issh"/>
    <w:basedOn w:val="OPCParaBase"/>
    <w:rsid w:val="0046338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63386"/>
    <w:pPr>
      <w:spacing w:before="40" w:line="240" w:lineRule="auto"/>
      <w:ind w:left="1134"/>
    </w:pPr>
  </w:style>
  <w:style w:type="paragraph" w:customStyle="1" w:styleId="SubsectionHead">
    <w:name w:val="SubsectionHead"/>
    <w:aliases w:val="ssh"/>
    <w:basedOn w:val="OPCParaBase"/>
    <w:next w:val="subsection"/>
    <w:rsid w:val="00463386"/>
    <w:pPr>
      <w:keepNext/>
      <w:keepLines/>
      <w:spacing w:before="240" w:line="240" w:lineRule="auto"/>
      <w:ind w:left="1134"/>
    </w:pPr>
    <w:rPr>
      <w:i/>
    </w:rPr>
  </w:style>
  <w:style w:type="paragraph" w:customStyle="1" w:styleId="Tablea">
    <w:name w:val="Table(a)"/>
    <w:aliases w:val="ta"/>
    <w:basedOn w:val="OPCParaBase"/>
    <w:rsid w:val="00463386"/>
    <w:pPr>
      <w:spacing w:before="60" w:line="240" w:lineRule="auto"/>
      <w:ind w:left="284" w:hanging="284"/>
    </w:pPr>
    <w:rPr>
      <w:sz w:val="20"/>
    </w:rPr>
  </w:style>
  <w:style w:type="paragraph" w:customStyle="1" w:styleId="TableAA">
    <w:name w:val="Table(AA)"/>
    <w:aliases w:val="taaa"/>
    <w:basedOn w:val="OPCParaBase"/>
    <w:rsid w:val="0046338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6338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463386"/>
    <w:pPr>
      <w:spacing w:before="60" w:line="240" w:lineRule="atLeast"/>
    </w:pPr>
    <w:rPr>
      <w:sz w:val="20"/>
    </w:rPr>
  </w:style>
  <w:style w:type="paragraph" w:customStyle="1" w:styleId="TLPBoxTextnote">
    <w:name w:val="TLPBoxText(note"/>
    <w:aliases w:val="right)"/>
    <w:basedOn w:val="OPCParaBase"/>
    <w:rsid w:val="0046338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63386"/>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63386"/>
    <w:pPr>
      <w:spacing w:before="122" w:line="198" w:lineRule="exact"/>
      <w:ind w:left="1985" w:hanging="851"/>
      <w:jc w:val="right"/>
    </w:pPr>
    <w:rPr>
      <w:sz w:val="18"/>
    </w:rPr>
  </w:style>
  <w:style w:type="paragraph" w:customStyle="1" w:styleId="TLPTableBullet">
    <w:name w:val="TLPTableBullet"/>
    <w:aliases w:val="ttb"/>
    <w:basedOn w:val="OPCParaBase"/>
    <w:rsid w:val="00463386"/>
    <w:pPr>
      <w:spacing w:line="240" w:lineRule="exact"/>
      <w:ind w:left="284" w:hanging="284"/>
    </w:pPr>
    <w:rPr>
      <w:sz w:val="20"/>
    </w:rPr>
  </w:style>
  <w:style w:type="paragraph" w:customStyle="1" w:styleId="TofSectsGroupHeading">
    <w:name w:val="TofSects(GroupHeading)"/>
    <w:basedOn w:val="OPCParaBase"/>
    <w:next w:val="TofSectsSection"/>
    <w:rsid w:val="00463386"/>
    <w:pPr>
      <w:keepLines/>
      <w:spacing w:before="240" w:after="120" w:line="240" w:lineRule="auto"/>
      <w:ind w:left="794"/>
    </w:pPr>
    <w:rPr>
      <w:b/>
      <w:kern w:val="28"/>
      <w:sz w:val="20"/>
    </w:rPr>
  </w:style>
  <w:style w:type="paragraph" w:customStyle="1" w:styleId="TofSectsHeading">
    <w:name w:val="TofSects(Heading)"/>
    <w:basedOn w:val="OPCParaBase"/>
    <w:rsid w:val="00463386"/>
    <w:pPr>
      <w:spacing w:before="240" w:after="120" w:line="240" w:lineRule="auto"/>
    </w:pPr>
    <w:rPr>
      <w:b/>
      <w:sz w:val="24"/>
    </w:rPr>
  </w:style>
  <w:style w:type="paragraph" w:customStyle="1" w:styleId="TofSectsSection">
    <w:name w:val="TofSects(Section)"/>
    <w:basedOn w:val="OPCParaBase"/>
    <w:rsid w:val="00463386"/>
    <w:pPr>
      <w:keepLines/>
      <w:spacing w:before="40" w:line="240" w:lineRule="auto"/>
      <w:ind w:left="1588" w:hanging="794"/>
    </w:pPr>
    <w:rPr>
      <w:kern w:val="28"/>
      <w:sz w:val="18"/>
    </w:rPr>
  </w:style>
  <w:style w:type="paragraph" w:customStyle="1" w:styleId="TofSectsSubdiv">
    <w:name w:val="TofSects(Subdiv)"/>
    <w:basedOn w:val="OPCParaBase"/>
    <w:rsid w:val="00463386"/>
    <w:pPr>
      <w:keepLines/>
      <w:spacing w:before="80" w:line="240" w:lineRule="auto"/>
      <w:ind w:left="1588" w:hanging="794"/>
    </w:pPr>
    <w:rPr>
      <w:kern w:val="28"/>
    </w:rPr>
  </w:style>
  <w:style w:type="paragraph" w:customStyle="1" w:styleId="WRStyle">
    <w:name w:val="WR Style"/>
    <w:aliases w:val="WR"/>
    <w:basedOn w:val="OPCParaBase"/>
    <w:rsid w:val="00463386"/>
    <w:pPr>
      <w:spacing w:before="240" w:line="240" w:lineRule="auto"/>
      <w:ind w:left="284" w:hanging="284"/>
    </w:pPr>
    <w:rPr>
      <w:b/>
      <w:i/>
      <w:kern w:val="28"/>
      <w:sz w:val="24"/>
    </w:rPr>
  </w:style>
  <w:style w:type="numbering" w:customStyle="1" w:styleId="OPCBodyList">
    <w:name w:val="OPCBodyList"/>
    <w:uiPriority w:val="99"/>
    <w:rsid w:val="00295F4A"/>
    <w:pPr>
      <w:numPr>
        <w:numId w:val="5"/>
      </w:numPr>
    </w:pPr>
  </w:style>
  <w:style w:type="paragraph" w:customStyle="1" w:styleId="noteToPara">
    <w:name w:val="noteToPara"/>
    <w:aliases w:val="ntp"/>
    <w:basedOn w:val="OPCParaBase"/>
    <w:rsid w:val="00463386"/>
    <w:pPr>
      <w:spacing w:before="122" w:line="198" w:lineRule="exact"/>
      <w:ind w:left="2353" w:hanging="709"/>
    </w:pPr>
    <w:rPr>
      <w:sz w:val="18"/>
    </w:rPr>
  </w:style>
  <w:style w:type="paragraph" w:customStyle="1" w:styleId="TableHeading">
    <w:name w:val="TableHeading"/>
    <w:aliases w:val="th"/>
    <w:basedOn w:val="OPCParaBase"/>
    <w:next w:val="Tabletext"/>
    <w:rsid w:val="00463386"/>
    <w:pPr>
      <w:keepNext/>
      <w:spacing w:before="60" w:line="240" w:lineRule="atLeast"/>
    </w:pPr>
    <w:rPr>
      <w:b/>
      <w:sz w:val="20"/>
    </w:rPr>
  </w:style>
  <w:style w:type="table" w:customStyle="1" w:styleId="CFlag">
    <w:name w:val="CFlag"/>
    <w:basedOn w:val="TableNormal"/>
    <w:uiPriority w:val="99"/>
    <w:rsid w:val="00463386"/>
    <w:tblPr/>
  </w:style>
  <w:style w:type="paragraph" w:customStyle="1" w:styleId="ENotesText">
    <w:name w:val="ENotesText"/>
    <w:aliases w:val="Ent"/>
    <w:basedOn w:val="OPCParaBase"/>
    <w:next w:val="Normal"/>
    <w:rsid w:val="00463386"/>
    <w:pPr>
      <w:spacing w:before="120"/>
    </w:pPr>
  </w:style>
  <w:style w:type="paragraph" w:customStyle="1" w:styleId="CompiledActNo">
    <w:name w:val="CompiledActNo"/>
    <w:basedOn w:val="OPCParaBase"/>
    <w:next w:val="Normal"/>
    <w:rsid w:val="00463386"/>
    <w:rPr>
      <w:b/>
      <w:sz w:val="24"/>
      <w:szCs w:val="24"/>
    </w:rPr>
  </w:style>
  <w:style w:type="paragraph" w:customStyle="1" w:styleId="CompiledMadeUnder">
    <w:name w:val="CompiledMadeUnder"/>
    <w:basedOn w:val="OPCParaBase"/>
    <w:next w:val="Normal"/>
    <w:rsid w:val="00463386"/>
    <w:rPr>
      <w:i/>
      <w:sz w:val="24"/>
      <w:szCs w:val="24"/>
    </w:rPr>
  </w:style>
  <w:style w:type="paragraph" w:customStyle="1" w:styleId="Paragraphsub-sub-sub">
    <w:name w:val="Paragraph(sub-sub-sub)"/>
    <w:aliases w:val="aaaa"/>
    <w:basedOn w:val="OPCParaBase"/>
    <w:rsid w:val="0046338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6338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6338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6338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6338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63386"/>
    <w:pPr>
      <w:spacing w:before="60" w:line="240" w:lineRule="auto"/>
    </w:pPr>
    <w:rPr>
      <w:rFonts w:cs="Arial"/>
      <w:sz w:val="20"/>
      <w:szCs w:val="22"/>
    </w:rPr>
  </w:style>
  <w:style w:type="paragraph" w:customStyle="1" w:styleId="NoteToSubpara">
    <w:name w:val="NoteToSubpara"/>
    <w:aliases w:val="nts"/>
    <w:basedOn w:val="OPCParaBase"/>
    <w:rsid w:val="00463386"/>
    <w:pPr>
      <w:spacing w:before="40" w:line="198" w:lineRule="exact"/>
      <w:ind w:left="2835" w:hanging="709"/>
    </w:pPr>
    <w:rPr>
      <w:sz w:val="18"/>
    </w:rPr>
  </w:style>
  <w:style w:type="paragraph" w:customStyle="1" w:styleId="ENoteTableHeading">
    <w:name w:val="ENoteTableHeading"/>
    <w:aliases w:val="enth"/>
    <w:basedOn w:val="OPCParaBase"/>
    <w:rsid w:val="00463386"/>
    <w:pPr>
      <w:keepNext/>
      <w:spacing w:before="60" w:line="240" w:lineRule="atLeast"/>
    </w:pPr>
    <w:rPr>
      <w:rFonts w:ascii="Arial" w:hAnsi="Arial"/>
      <w:b/>
      <w:sz w:val="16"/>
    </w:rPr>
  </w:style>
  <w:style w:type="paragraph" w:customStyle="1" w:styleId="ENoteTTi">
    <w:name w:val="ENoteTTi"/>
    <w:aliases w:val="entti"/>
    <w:basedOn w:val="OPCParaBase"/>
    <w:rsid w:val="00463386"/>
    <w:pPr>
      <w:keepNext/>
      <w:spacing w:before="60" w:line="240" w:lineRule="atLeast"/>
      <w:ind w:left="170"/>
    </w:pPr>
    <w:rPr>
      <w:sz w:val="16"/>
    </w:rPr>
  </w:style>
  <w:style w:type="paragraph" w:customStyle="1" w:styleId="ENotesHeading1">
    <w:name w:val="ENotesHeading 1"/>
    <w:aliases w:val="Enh1"/>
    <w:basedOn w:val="OPCParaBase"/>
    <w:next w:val="Normal"/>
    <w:rsid w:val="00463386"/>
    <w:pPr>
      <w:spacing w:before="120"/>
      <w:outlineLvl w:val="1"/>
    </w:pPr>
    <w:rPr>
      <w:b/>
      <w:sz w:val="28"/>
      <w:szCs w:val="28"/>
    </w:rPr>
  </w:style>
  <w:style w:type="paragraph" w:customStyle="1" w:styleId="ENotesHeading2">
    <w:name w:val="ENotesHeading 2"/>
    <w:aliases w:val="Enh2,ENh2"/>
    <w:basedOn w:val="OPCParaBase"/>
    <w:next w:val="Normal"/>
    <w:rsid w:val="00463386"/>
    <w:pPr>
      <w:spacing w:before="120" w:after="120"/>
      <w:outlineLvl w:val="2"/>
    </w:pPr>
    <w:rPr>
      <w:b/>
      <w:sz w:val="24"/>
      <w:szCs w:val="28"/>
    </w:rPr>
  </w:style>
  <w:style w:type="paragraph" w:customStyle="1" w:styleId="ENoteTTIndentHeading">
    <w:name w:val="ENoteTTIndentHeading"/>
    <w:aliases w:val="enTTHi"/>
    <w:basedOn w:val="OPCParaBase"/>
    <w:rsid w:val="0046338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63386"/>
    <w:pPr>
      <w:spacing w:before="60" w:line="240" w:lineRule="atLeast"/>
    </w:pPr>
    <w:rPr>
      <w:sz w:val="16"/>
    </w:rPr>
  </w:style>
  <w:style w:type="paragraph" w:customStyle="1" w:styleId="MadeunderText">
    <w:name w:val="MadeunderText"/>
    <w:basedOn w:val="OPCParaBase"/>
    <w:next w:val="CompiledMadeUnder"/>
    <w:rsid w:val="00463386"/>
    <w:pPr>
      <w:spacing w:before="240"/>
    </w:pPr>
    <w:rPr>
      <w:sz w:val="24"/>
      <w:szCs w:val="24"/>
    </w:rPr>
  </w:style>
  <w:style w:type="paragraph" w:customStyle="1" w:styleId="ENotesHeading3">
    <w:name w:val="ENotesHeading 3"/>
    <w:aliases w:val="Enh3"/>
    <w:basedOn w:val="OPCParaBase"/>
    <w:next w:val="Normal"/>
    <w:rsid w:val="00463386"/>
    <w:pPr>
      <w:keepNext/>
      <w:spacing w:before="120" w:line="240" w:lineRule="auto"/>
      <w:outlineLvl w:val="4"/>
    </w:pPr>
    <w:rPr>
      <w:b/>
      <w:szCs w:val="24"/>
    </w:rPr>
  </w:style>
  <w:style w:type="paragraph" w:customStyle="1" w:styleId="InstNo">
    <w:name w:val="InstNo"/>
    <w:basedOn w:val="OPCParaBase"/>
    <w:next w:val="Normal"/>
    <w:rsid w:val="00463386"/>
    <w:rPr>
      <w:b/>
      <w:sz w:val="28"/>
      <w:szCs w:val="32"/>
    </w:rPr>
  </w:style>
  <w:style w:type="paragraph" w:customStyle="1" w:styleId="LegislationMadeUnder">
    <w:name w:val="LegislationMadeUnder"/>
    <w:basedOn w:val="OPCParaBase"/>
    <w:next w:val="Normal"/>
    <w:rsid w:val="00463386"/>
    <w:rPr>
      <w:i/>
      <w:sz w:val="32"/>
      <w:szCs w:val="32"/>
    </w:rPr>
  </w:style>
  <w:style w:type="paragraph" w:customStyle="1" w:styleId="ActHead10">
    <w:name w:val="ActHead 10"/>
    <w:aliases w:val="sp"/>
    <w:basedOn w:val="OPCParaBase"/>
    <w:next w:val="ActHead3"/>
    <w:rsid w:val="00463386"/>
    <w:pPr>
      <w:keepNext/>
      <w:spacing w:before="280" w:line="240" w:lineRule="auto"/>
      <w:outlineLvl w:val="1"/>
    </w:pPr>
    <w:rPr>
      <w:b/>
      <w:sz w:val="32"/>
      <w:szCs w:val="30"/>
    </w:rPr>
  </w:style>
  <w:style w:type="paragraph" w:customStyle="1" w:styleId="SignCoverPageEnd">
    <w:name w:val="SignCoverPageEnd"/>
    <w:basedOn w:val="OPCParaBase"/>
    <w:next w:val="Normal"/>
    <w:rsid w:val="0046338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63386"/>
    <w:pPr>
      <w:pBdr>
        <w:top w:val="single" w:sz="4" w:space="1" w:color="auto"/>
      </w:pBdr>
      <w:spacing w:before="360"/>
      <w:ind w:right="397"/>
      <w:jc w:val="both"/>
    </w:pPr>
  </w:style>
  <w:style w:type="paragraph" w:customStyle="1" w:styleId="NotesHeading1">
    <w:name w:val="NotesHeading 1"/>
    <w:basedOn w:val="OPCParaBase"/>
    <w:next w:val="Normal"/>
    <w:rsid w:val="00463386"/>
    <w:pPr>
      <w:outlineLvl w:val="0"/>
    </w:pPr>
    <w:rPr>
      <w:b/>
      <w:sz w:val="28"/>
      <w:szCs w:val="28"/>
    </w:rPr>
  </w:style>
  <w:style w:type="paragraph" w:customStyle="1" w:styleId="NotesHeading2">
    <w:name w:val="NotesHeading 2"/>
    <w:basedOn w:val="OPCParaBase"/>
    <w:next w:val="Normal"/>
    <w:rsid w:val="00463386"/>
    <w:rPr>
      <w:b/>
      <w:sz w:val="28"/>
      <w:szCs w:val="28"/>
    </w:rPr>
  </w:style>
  <w:style w:type="character" w:customStyle="1" w:styleId="CharSchPTNo">
    <w:name w:val="CharSchPTNo"/>
    <w:basedOn w:val="DefaultParagraphFont"/>
    <w:rsid w:val="00847E99"/>
  </w:style>
  <w:style w:type="character" w:customStyle="1" w:styleId="CharSchPTText">
    <w:name w:val="CharSchPTText"/>
    <w:basedOn w:val="DefaultParagraphFont"/>
    <w:rsid w:val="00847E99"/>
  </w:style>
  <w:style w:type="character" w:customStyle="1" w:styleId="CharSchNo">
    <w:name w:val="CharSchNo"/>
    <w:basedOn w:val="DefaultParagraphFont"/>
    <w:rsid w:val="00847E99"/>
  </w:style>
  <w:style w:type="character" w:customStyle="1" w:styleId="CharSchText">
    <w:name w:val="CharSchText"/>
    <w:basedOn w:val="DefaultParagraphFont"/>
    <w:rsid w:val="00847E99"/>
  </w:style>
  <w:style w:type="character" w:customStyle="1" w:styleId="CharAmSchPTNo">
    <w:name w:val="CharAmSchPTNo"/>
    <w:basedOn w:val="DefaultParagraphFont"/>
    <w:rsid w:val="00847E99"/>
  </w:style>
  <w:style w:type="character" w:customStyle="1" w:styleId="CharAmSchPTText">
    <w:name w:val="CharAmSchPTText"/>
    <w:basedOn w:val="DefaultParagraphFont"/>
    <w:rsid w:val="00847E99"/>
  </w:style>
  <w:style w:type="paragraph" w:customStyle="1" w:styleId="TableColHead">
    <w:name w:val="TableColHead"/>
    <w:basedOn w:val="Normal"/>
    <w:rsid w:val="00847E99"/>
    <w:pPr>
      <w:keepNext/>
      <w:spacing w:before="120" w:after="60" w:line="200" w:lineRule="exact"/>
    </w:pPr>
    <w:rPr>
      <w:rFonts w:ascii="Arial" w:eastAsia="SimSun" w:hAnsi="Arial" w:cs="Times New Roman"/>
      <w:b/>
      <w:sz w:val="18"/>
      <w:szCs w:val="22"/>
      <w:lang w:eastAsia="zh-CN"/>
    </w:rPr>
  </w:style>
  <w:style w:type="table" w:customStyle="1" w:styleId="TableGeneral">
    <w:name w:val="TableGeneral"/>
    <w:basedOn w:val="TableNormal"/>
    <w:rsid w:val="00847E99"/>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TitleSuperscript">
    <w:name w:val="charTitleSuperscript"/>
    <w:basedOn w:val="DefaultParagraphFont"/>
    <w:rsid w:val="00847E99"/>
    <w:rPr>
      <w:rFonts w:ascii="Arial" w:hAnsi="Arial"/>
      <w:position w:val="6"/>
      <w:sz w:val="24"/>
      <w:szCs w:val="24"/>
      <w:vertAlign w:val="superscript"/>
    </w:rPr>
  </w:style>
  <w:style w:type="character" w:customStyle="1" w:styleId="CharENotesHeading">
    <w:name w:val="CharENotesHeading"/>
    <w:basedOn w:val="DefaultParagraphFont"/>
    <w:rsid w:val="00847E99"/>
  </w:style>
  <w:style w:type="character" w:customStyle="1" w:styleId="charCitation">
    <w:name w:val="charCitation"/>
    <w:basedOn w:val="DefaultParagraphFont"/>
    <w:rsid w:val="00847E99"/>
  </w:style>
  <w:style w:type="character" w:customStyle="1" w:styleId="CharChar">
    <w:name w:val="Char Char"/>
    <w:basedOn w:val="DefaultParagraphFont"/>
    <w:rsid w:val="00847E99"/>
    <w:rPr>
      <w:sz w:val="24"/>
      <w:szCs w:val="24"/>
    </w:rPr>
  </w:style>
  <w:style w:type="character" w:customStyle="1" w:styleId="charlegsubtitle1">
    <w:name w:val="charlegsubtitle1"/>
    <w:basedOn w:val="DefaultParagraphFont"/>
    <w:rsid w:val="00552D8E"/>
    <w:rPr>
      <w:rFonts w:ascii="Arial" w:hAnsi="Arial" w:cs="Arial" w:hint="default"/>
      <w:b/>
      <w:bCs/>
      <w:sz w:val="28"/>
      <w:szCs w:val="28"/>
    </w:rPr>
  </w:style>
  <w:style w:type="paragraph" w:customStyle="1" w:styleId="SubPartCASA">
    <w:name w:val="SubPart(CASA)"/>
    <w:aliases w:val="csp"/>
    <w:basedOn w:val="OPCParaBase"/>
    <w:next w:val="ActHead3"/>
    <w:rsid w:val="00463386"/>
    <w:pPr>
      <w:keepNext/>
      <w:keepLines/>
      <w:spacing w:before="280"/>
      <w:outlineLvl w:val="1"/>
    </w:pPr>
    <w:rPr>
      <w:b/>
      <w:kern w:val="28"/>
      <w:sz w:val="32"/>
    </w:rPr>
  </w:style>
  <w:style w:type="character" w:customStyle="1" w:styleId="CharSubPartTextCASA">
    <w:name w:val="CharSubPartText(CASA)"/>
    <w:basedOn w:val="OPCCharBase"/>
    <w:uiPriority w:val="1"/>
    <w:rsid w:val="00463386"/>
  </w:style>
  <w:style w:type="character" w:customStyle="1" w:styleId="CharSubPartNoCASA">
    <w:name w:val="CharSubPartNo(CASA)"/>
    <w:basedOn w:val="OPCCharBase"/>
    <w:uiPriority w:val="1"/>
    <w:rsid w:val="00463386"/>
  </w:style>
  <w:style w:type="paragraph" w:customStyle="1" w:styleId="ENoteTTIndentHeadingSub">
    <w:name w:val="ENoteTTIndentHeadingSub"/>
    <w:aliases w:val="enTTHis"/>
    <w:basedOn w:val="OPCParaBase"/>
    <w:rsid w:val="00463386"/>
    <w:pPr>
      <w:keepNext/>
      <w:spacing w:before="60" w:line="240" w:lineRule="atLeast"/>
      <w:ind w:left="340"/>
    </w:pPr>
    <w:rPr>
      <w:b/>
      <w:sz w:val="16"/>
    </w:rPr>
  </w:style>
  <w:style w:type="paragraph" w:customStyle="1" w:styleId="ENoteTTiSub">
    <w:name w:val="ENoteTTiSub"/>
    <w:aliases w:val="enttis"/>
    <w:basedOn w:val="OPCParaBase"/>
    <w:rsid w:val="00463386"/>
    <w:pPr>
      <w:keepNext/>
      <w:spacing w:before="60" w:line="240" w:lineRule="atLeast"/>
      <w:ind w:left="340"/>
    </w:pPr>
    <w:rPr>
      <w:sz w:val="16"/>
    </w:rPr>
  </w:style>
  <w:style w:type="paragraph" w:customStyle="1" w:styleId="SubDivisionMigration">
    <w:name w:val="SubDivisionMigration"/>
    <w:aliases w:val="sdm"/>
    <w:basedOn w:val="OPCParaBase"/>
    <w:rsid w:val="0046338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63386"/>
    <w:pPr>
      <w:keepNext/>
      <w:keepLines/>
      <w:spacing w:before="240" w:line="240" w:lineRule="auto"/>
      <w:ind w:left="1134" w:hanging="1134"/>
    </w:pPr>
    <w:rPr>
      <w:b/>
      <w:sz w:val="28"/>
    </w:rPr>
  </w:style>
  <w:style w:type="paragraph" w:customStyle="1" w:styleId="FreeForm">
    <w:name w:val="FreeForm"/>
    <w:rsid w:val="00463386"/>
    <w:rPr>
      <w:rFonts w:ascii="Arial" w:eastAsiaTheme="minorHAnsi" w:hAnsi="Arial" w:cstheme="minorBidi"/>
      <w:sz w:val="22"/>
      <w:lang w:eastAsia="en-US"/>
    </w:rPr>
  </w:style>
  <w:style w:type="paragraph" w:customStyle="1" w:styleId="SOText">
    <w:name w:val="SO Text"/>
    <w:aliases w:val="sot"/>
    <w:link w:val="SOTextChar"/>
    <w:rsid w:val="0046338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63386"/>
    <w:rPr>
      <w:rFonts w:eastAsiaTheme="minorHAnsi" w:cstheme="minorBidi"/>
      <w:sz w:val="22"/>
      <w:lang w:eastAsia="en-US"/>
    </w:rPr>
  </w:style>
  <w:style w:type="paragraph" w:customStyle="1" w:styleId="SOTextNote">
    <w:name w:val="SO TextNote"/>
    <w:aliases w:val="sont"/>
    <w:basedOn w:val="SOText"/>
    <w:qFormat/>
    <w:rsid w:val="00463386"/>
    <w:pPr>
      <w:spacing w:before="122" w:line="198" w:lineRule="exact"/>
      <w:ind w:left="1843" w:hanging="709"/>
    </w:pPr>
    <w:rPr>
      <w:sz w:val="18"/>
    </w:rPr>
  </w:style>
  <w:style w:type="paragraph" w:customStyle="1" w:styleId="SOPara">
    <w:name w:val="SO Para"/>
    <w:aliases w:val="soa"/>
    <w:basedOn w:val="SOText"/>
    <w:link w:val="SOParaChar"/>
    <w:qFormat/>
    <w:rsid w:val="00463386"/>
    <w:pPr>
      <w:tabs>
        <w:tab w:val="right" w:pos="1786"/>
      </w:tabs>
      <w:spacing w:before="40"/>
      <w:ind w:left="2070" w:hanging="936"/>
    </w:pPr>
  </w:style>
  <w:style w:type="character" w:customStyle="1" w:styleId="SOParaChar">
    <w:name w:val="SO Para Char"/>
    <w:aliases w:val="soa Char"/>
    <w:basedOn w:val="DefaultParagraphFont"/>
    <w:link w:val="SOPara"/>
    <w:rsid w:val="00463386"/>
    <w:rPr>
      <w:rFonts w:eastAsiaTheme="minorHAnsi" w:cstheme="minorBidi"/>
      <w:sz w:val="22"/>
      <w:lang w:eastAsia="en-US"/>
    </w:rPr>
  </w:style>
  <w:style w:type="paragraph" w:customStyle="1" w:styleId="FileName">
    <w:name w:val="FileName"/>
    <w:basedOn w:val="Normal"/>
    <w:rsid w:val="00463386"/>
  </w:style>
  <w:style w:type="paragraph" w:customStyle="1" w:styleId="SOHeadBold">
    <w:name w:val="SO HeadBold"/>
    <w:aliases w:val="sohb"/>
    <w:basedOn w:val="SOText"/>
    <w:next w:val="SOText"/>
    <w:link w:val="SOHeadBoldChar"/>
    <w:qFormat/>
    <w:rsid w:val="00463386"/>
    <w:rPr>
      <w:b/>
    </w:rPr>
  </w:style>
  <w:style w:type="character" w:customStyle="1" w:styleId="SOHeadBoldChar">
    <w:name w:val="SO HeadBold Char"/>
    <w:aliases w:val="sohb Char"/>
    <w:basedOn w:val="DefaultParagraphFont"/>
    <w:link w:val="SOHeadBold"/>
    <w:rsid w:val="0046338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63386"/>
    <w:rPr>
      <w:i/>
    </w:rPr>
  </w:style>
  <w:style w:type="character" w:customStyle="1" w:styleId="SOHeadItalicChar">
    <w:name w:val="SO HeadItalic Char"/>
    <w:aliases w:val="sohi Char"/>
    <w:basedOn w:val="DefaultParagraphFont"/>
    <w:link w:val="SOHeadItalic"/>
    <w:rsid w:val="00463386"/>
    <w:rPr>
      <w:rFonts w:eastAsiaTheme="minorHAnsi" w:cstheme="minorBidi"/>
      <w:i/>
      <w:sz w:val="22"/>
      <w:lang w:eastAsia="en-US"/>
    </w:rPr>
  </w:style>
  <w:style w:type="paragraph" w:customStyle="1" w:styleId="SOBullet">
    <w:name w:val="SO Bullet"/>
    <w:aliases w:val="sotb"/>
    <w:basedOn w:val="SOText"/>
    <w:link w:val="SOBulletChar"/>
    <w:qFormat/>
    <w:rsid w:val="00463386"/>
    <w:pPr>
      <w:ind w:left="1559" w:hanging="425"/>
    </w:pPr>
  </w:style>
  <w:style w:type="character" w:customStyle="1" w:styleId="SOBulletChar">
    <w:name w:val="SO Bullet Char"/>
    <w:aliases w:val="sotb Char"/>
    <w:basedOn w:val="DefaultParagraphFont"/>
    <w:link w:val="SOBullet"/>
    <w:rsid w:val="00463386"/>
    <w:rPr>
      <w:rFonts w:eastAsiaTheme="minorHAnsi" w:cstheme="minorBidi"/>
      <w:sz w:val="22"/>
      <w:lang w:eastAsia="en-US"/>
    </w:rPr>
  </w:style>
  <w:style w:type="paragraph" w:customStyle="1" w:styleId="SOBulletNote">
    <w:name w:val="SO BulletNote"/>
    <w:aliases w:val="sonb"/>
    <w:basedOn w:val="SOTextNote"/>
    <w:link w:val="SOBulletNoteChar"/>
    <w:qFormat/>
    <w:rsid w:val="00463386"/>
    <w:pPr>
      <w:tabs>
        <w:tab w:val="left" w:pos="1560"/>
      </w:tabs>
      <w:ind w:left="2268" w:hanging="1134"/>
    </w:pPr>
  </w:style>
  <w:style w:type="character" w:customStyle="1" w:styleId="SOBulletNoteChar">
    <w:name w:val="SO BulletNote Char"/>
    <w:aliases w:val="sonb Char"/>
    <w:basedOn w:val="DefaultParagraphFont"/>
    <w:link w:val="SOBulletNote"/>
    <w:rsid w:val="00463386"/>
    <w:rPr>
      <w:rFonts w:eastAsiaTheme="minorHAnsi" w:cstheme="minorBidi"/>
      <w:sz w:val="18"/>
      <w:lang w:eastAsia="en-US"/>
    </w:rPr>
  </w:style>
  <w:style w:type="paragraph" w:customStyle="1" w:styleId="mps3-data">
    <w:name w:val="mps3-data"/>
    <w:basedOn w:val="Normal"/>
    <w:qFormat/>
    <w:rsid w:val="00407C96"/>
    <w:pPr>
      <w:spacing w:before="60" w:after="60" w:line="240" w:lineRule="auto"/>
    </w:pPr>
    <w:rPr>
      <w:rFonts w:ascii="Arial" w:eastAsia="Arial" w:hAnsi="Arial" w:cs="Arial"/>
      <w:sz w:val="16"/>
      <w:szCs w:val="22"/>
      <w:lang w:eastAsia="zh-CN"/>
    </w:rPr>
  </w:style>
  <w:style w:type="paragraph" w:customStyle="1" w:styleId="EnStatement">
    <w:name w:val="EnStatement"/>
    <w:basedOn w:val="Normal"/>
    <w:rsid w:val="00463386"/>
    <w:pPr>
      <w:numPr>
        <w:numId w:val="7"/>
      </w:numPr>
    </w:pPr>
    <w:rPr>
      <w:rFonts w:eastAsia="Times New Roman" w:cs="Times New Roman"/>
      <w:lang w:eastAsia="en-AU"/>
    </w:rPr>
  </w:style>
  <w:style w:type="paragraph" w:customStyle="1" w:styleId="EnStatementHeading">
    <w:name w:val="EnStatementHeading"/>
    <w:basedOn w:val="Normal"/>
    <w:rsid w:val="00463386"/>
    <w:rPr>
      <w:rFonts w:eastAsia="Times New Roman" w:cs="Times New Roman"/>
      <w:b/>
      <w:lang w:eastAsia="en-AU"/>
    </w:rPr>
  </w:style>
  <w:style w:type="table" w:customStyle="1" w:styleId="Table-LI-schedule-426">
    <w:name w:val="Table-LI-schedule-426"/>
    <w:basedOn w:val="TableNormal"/>
    <w:uiPriority w:val="99"/>
    <w:rsid w:val="008777F1"/>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27">
    <w:name w:val="Table-LI-schedule-427"/>
    <w:basedOn w:val="TableNormal"/>
    <w:uiPriority w:val="99"/>
    <w:rsid w:val="008E5F4F"/>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charitem">
    <w:name w:val="charitem"/>
    <w:basedOn w:val="DefaultParagraphFont"/>
    <w:uiPriority w:val="1"/>
    <w:qFormat/>
    <w:rsid w:val="00864925"/>
    <w:rPr>
      <w:vanish/>
      <w:color w:val="C00000"/>
    </w:rPr>
  </w:style>
  <w:style w:type="table" w:customStyle="1" w:styleId="Table-LI-schedule-124">
    <w:name w:val="Table-LI-schedule-124"/>
    <w:basedOn w:val="TableNormal"/>
    <w:uiPriority w:val="99"/>
    <w:rsid w:val="00B4652E"/>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Transitional">
    <w:name w:val="Transitional"/>
    <w:aliases w:val="tr"/>
    <w:basedOn w:val="Normal"/>
    <w:next w:val="Normal"/>
    <w:rsid w:val="00463386"/>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tyle1Char">
    <w:name w:val="Style1 Char"/>
    <w:basedOn w:val="DefaultParagraphFont"/>
    <w:rsid w:val="00DA232E"/>
    <w:rPr>
      <w:i/>
      <w:iCs/>
      <w:sz w:val="24"/>
      <w:szCs w:val="24"/>
      <w:lang w:eastAsia="en-US"/>
    </w:rPr>
  </w:style>
  <w:style w:type="character" w:customStyle="1" w:styleId="charAmendmentKeyword">
    <w:name w:val="charAmendment Keyword"/>
    <w:basedOn w:val="DefaultParagraphFont"/>
    <w:uiPriority w:val="1"/>
    <w:rsid w:val="00944038"/>
    <w:rPr>
      <w:rFonts w:ascii="Arial" w:hAnsi="Arial"/>
      <w:b/>
      <w:i w:val="0"/>
      <w:iCs/>
      <w:sz w:val="20"/>
      <w:szCs w:val="24"/>
      <w:lang w:eastAsia="en-US"/>
    </w:rPr>
  </w:style>
  <w:style w:type="numbering" w:customStyle="1" w:styleId="AmendmentInstruction">
    <w:name w:val="Amendment Instruction"/>
    <w:basedOn w:val="NoList"/>
    <w:uiPriority w:val="99"/>
    <w:rsid w:val="005F7EE6"/>
    <w:pPr>
      <w:numPr>
        <w:numId w:val="8"/>
      </w:numPr>
    </w:pPr>
  </w:style>
  <w:style w:type="character" w:customStyle="1" w:styleId="ListParagraphChar">
    <w:name w:val="List Paragraph Char"/>
    <w:basedOn w:val="DefaultParagraphFont"/>
    <w:link w:val="ListParagraph"/>
    <w:uiPriority w:val="34"/>
    <w:rsid w:val="00065467"/>
    <w:rPr>
      <w:rFonts w:eastAsiaTheme="minorHAnsi" w:cstheme="minorBidi"/>
      <w:sz w:val="22"/>
      <w:lang w:eastAsia="en-US"/>
    </w:rPr>
  </w:style>
  <w:style w:type="character" w:customStyle="1" w:styleId="subsectionChar">
    <w:name w:val="subsection Char"/>
    <w:aliases w:val="ss Char"/>
    <w:basedOn w:val="DefaultParagraphFont"/>
    <w:link w:val="subsection"/>
    <w:locked/>
    <w:rsid w:val="00CA7652"/>
    <w:rPr>
      <w:sz w:val="22"/>
    </w:rPr>
  </w:style>
  <w:style w:type="character" w:customStyle="1" w:styleId="ActHead5Char">
    <w:name w:val="ActHead 5 Char"/>
    <w:aliases w:val="s Char"/>
    <w:link w:val="ActHead5"/>
    <w:rsid w:val="00CA7652"/>
    <w:rPr>
      <w:b/>
      <w:kern w:val="28"/>
      <w:sz w:val="24"/>
    </w:rPr>
  </w:style>
  <w:style w:type="character" w:customStyle="1" w:styleId="notetextChar">
    <w:name w:val="note(text) Char"/>
    <w:aliases w:val="n Char"/>
    <w:basedOn w:val="DefaultParagraphFont"/>
    <w:link w:val="notetext"/>
    <w:rsid w:val="00E477BB"/>
    <w:rPr>
      <w:sz w:val="18"/>
    </w:rPr>
  </w:style>
  <w:style w:type="paragraph" w:customStyle="1" w:styleId="Specials">
    <w:name w:val="Special s"/>
    <w:basedOn w:val="ActHead5"/>
    <w:link w:val="SpecialsChar"/>
    <w:rsid w:val="001A0FFA"/>
    <w:pPr>
      <w:outlineLvl w:val="9"/>
    </w:pPr>
  </w:style>
  <w:style w:type="character" w:customStyle="1" w:styleId="SpecialsChar">
    <w:name w:val="Special s Char"/>
    <w:basedOn w:val="DefaultParagraphFont"/>
    <w:link w:val="Specials"/>
    <w:rsid w:val="001A0FFA"/>
    <w:rPr>
      <w:b/>
      <w:kern w:val="28"/>
      <w:sz w:val="24"/>
    </w:rPr>
  </w:style>
  <w:style w:type="character" w:customStyle="1" w:styleId="TabletextChar">
    <w:name w:val="Tabletext Char"/>
    <w:aliases w:val="tt Char"/>
    <w:basedOn w:val="DefaultParagraphFont"/>
    <w:link w:val="Tabletext"/>
    <w:rsid w:val="006503FE"/>
  </w:style>
  <w:style w:type="paragraph" w:customStyle="1" w:styleId="Amendment1">
    <w:name w:val="Amendment 1"/>
    <w:basedOn w:val="Normal"/>
    <w:link w:val="Amendment1Char"/>
    <w:qFormat/>
    <w:rsid w:val="008D3FF6"/>
    <w:pPr>
      <w:widowControl w:val="0"/>
      <w:tabs>
        <w:tab w:val="num" w:pos="794"/>
      </w:tabs>
      <w:spacing w:before="120" w:line="240" w:lineRule="auto"/>
      <w:ind w:left="794" w:hanging="794"/>
      <w:outlineLvl w:val="1"/>
    </w:pPr>
    <w:rPr>
      <w:rFonts w:ascii="Arial" w:eastAsia="Times New Roman" w:hAnsi="Arial" w:cs="Arial"/>
      <w:b/>
      <w:bCs/>
      <w:sz w:val="20"/>
      <w:lang w:eastAsia="en-AU"/>
    </w:rPr>
  </w:style>
  <w:style w:type="paragraph" w:customStyle="1" w:styleId="Amendment2">
    <w:name w:val="Amendment 2"/>
    <w:basedOn w:val="Normal"/>
    <w:qFormat/>
    <w:rsid w:val="008D3FF6"/>
    <w:pPr>
      <w:widowControl w:val="0"/>
      <w:spacing w:before="120" w:line="240" w:lineRule="auto"/>
      <w:ind w:left="794" w:hanging="794"/>
      <w:outlineLvl w:val="2"/>
    </w:pPr>
    <w:rPr>
      <w:rFonts w:eastAsia="Times New Roman" w:cs="Times New Roman"/>
      <w:iCs/>
      <w:sz w:val="20"/>
      <w:lang w:eastAsia="en-AU"/>
    </w:rPr>
  </w:style>
  <w:style w:type="paragraph" w:customStyle="1" w:styleId="Amendment3">
    <w:name w:val="Amendment 3"/>
    <w:qFormat/>
    <w:rsid w:val="008D3FF6"/>
    <w:pPr>
      <w:widowControl w:val="0"/>
      <w:tabs>
        <w:tab w:val="num" w:pos="1050"/>
      </w:tabs>
      <w:spacing w:before="60" w:after="60" w:line="260" w:lineRule="exact"/>
      <w:ind w:left="1050" w:hanging="340"/>
      <w:outlineLvl w:val="2"/>
    </w:pPr>
    <w:rPr>
      <w:iCs/>
    </w:rPr>
  </w:style>
  <w:style w:type="character" w:customStyle="1" w:styleId="Amendment1Char">
    <w:name w:val="Amendment 1 Char"/>
    <w:basedOn w:val="DefaultParagraphFont"/>
    <w:link w:val="Amendment1"/>
    <w:rsid w:val="008D3FF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8175">
      <w:bodyDiv w:val="1"/>
      <w:marLeft w:val="0"/>
      <w:marRight w:val="0"/>
      <w:marTop w:val="0"/>
      <w:marBottom w:val="0"/>
      <w:divBdr>
        <w:top w:val="none" w:sz="0" w:space="0" w:color="auto"/>
        <w:left w:val="none" w:sz="0" w:space="0" w:color="auto"/>
        <w:bottom w:val="none" w:sz="0" w:space="0" w:color="auto"/>
        <w:right w:val="none" w:sz="0" w:space="0" w:color="auto"/>
      </w:divBdr>
    </w:div>
    <w:div w:id="209923495">
      <w:bodyDiv w:val="1"/>
      <w:marLeft w:val="0"/>
      <w:marRight w:val="0"/>
      <w:marTop w:val="0"/>
      <w:marBottom w:val="0"/>
      <w:divBdr>
        <w:top w:val="none" w:sz="0" w:space="0" w:color="auto"/>
        <w:left w:val="none" w:sz="0" w:space="0" w:color="auto"/>
        <w:bottom w:val="none" w:sz="0" w:space="0" w:color="auto"/>
        <w:right w:val="none" w:sz="0" w:space="0" w:color="auto"/>
      </w:divBdr>
    </w:div>
    <w:div w:id="223225628">
      <w:bodyDiv w:val="1"/>
      <w:marLeft w:val="0"/>
      <w:marRight w:val="0"/>
      <w:marTop w:val="0"/>
      <w:marBottom w:val="0"/>
      <w:divBdr>
        <w:top w:val="none" w:sz="0" w:space="0" w:color="auto"/>
        <w:left w:val="none" w:sz="0" w:space="0" w:color="auto"/>
        <w:bottom w:val="none" w:sz="0" w:space="0" w:color="auto"/>
        <w:right w:val="none" w:sz="0" w:space="0" w:color="auto"/>
      </w:divBdr>
    </w:div>
    <w:div w:id="356541187">
      <w:bodyDiv w:val="1"/>
      <w:marLeft w:val="0"/>
      <w:marRight w:val="0"/>
      <w:marTop w:val="0"/>
      <w:marBottom w:val="0"/>
      <w:divBdr>
        <w:top w:val="none" w:sz="0" w:space="0" w:color="auto"/>
        <w:left w:val="none" w:sz="0" w:space="0" w:color="auto"/>
        <w:bottom w:val="none" w:sz="0" w:space="0" w:color="auto"/>
        <w:right w:val="none" w:sz="0" w:space="0" w:color="auto"/>
      </w:divBdr>
    </w:div>
    <w:div w:id="532156041">
      <w:bodyDiv w:val="1"/>
      <w:marLeft w:val="0"/>
      <w:marRight w:val="0"/>
      <w:marTop w:val="0"/>
      <w:marBottom w:val="0"/>
      <w:divBdr>
        <w:top w:val="none" w:sz="0" w:space="0" w:color="auto"/>
        <w:left w:val="none" w:sz="0" w:space="0" w:color="auto"/>
        <w:bottom w:val="none" w:sz="0" w:space="0" w:color="auto"/>
        <w:right w:val="none" w:sz="0" w:space="0" w:color="auto"/>
      </w:divBdr>
    </w:div>
    <w:div w:id="631523159">
      <w:bodyDiv w:val="1"/>
      <w:marLeft w:val="0"/>
      <w:marRight w:val="0"/>
      <w:marTop w:val="0"/>
      <w:marBottom w:val="0"/>
      <w:divBdr>
        <w:top w:val="none" w:sz="0" w:space="0" w:color="auto"/>
        <w:left w:val="none" w:sz="0" w:space="0" w:color="auto"/>
        <w:bottom w:val="none" w:sz="0" w:space="0" w:color="auto"/>
        <w:right w:val="none" w:sz="0" w:space="0" w:color="auto"/>
      </w:divBdr>
    </w:div>
    <w:div w:id="780303798">
      <w:bodyDiv w:val="1"/>
      <w:marLeft w:val="0"/>
      <w:marRight w:val="0"/>
      <w:marTop w:val="0"/>
      <w:marBottom w:val="0"/>
      <w:divBdr>
        <w:top w:val="none" w:sz="0" w:space="0" w:color="auto"/>
        <w:left w:val="none" w:sz="0" w:space="0" w:color="auto"/>
        <w:bottom w:val="none" w:sz="0" w:space="0" w:color="auto"/>
        <w:right w:val="none" w:sz="0" w:space="0" w:color="auto"/>
      </w:divBdr>
    </w:div>
    <w:div w:id="785848682">
      <w:bodyDiv w:val="1"/>
      <w:marLeft w:val="0"/>
      <w:marRight w:val="0"/>
      <w:marTop w:val="0"/>
      <w:marBottom w:val="0"/>
      <w:divBdr>
        <w:top w:val="none" w:sz="0" w:space="0" w:color="auto"/>
        <w:left w:val="none" w:sz="0" w:space="0" w:color="auto"/>
        <w:bottom w:val="none" w:sz="0" w:space="0" w:color="auto"/>
        <w:right w:val="none" w:sz="0" w:space="0" w:color="auto"/>
      </w:divBdr>
    </w:div>
    <w:div w:id="942498303">
      <w:bodyDiv w:val="1"/>
      <w:marLeft w:val="0"/>
      <w:marRight w:val="0"/>
      <w:marTop w:val="0"/>
      <w:marBottom w:val="0"/>
      <w:divBdr>
        <w:top w:val="none" w:sz="0" w:space="0" w:color="auto"/>
        <w:left w:val="none" w:sz="0" w:space="0" w:color="auto"/>
        <w:bottom w:val="none" w:sz="0" w:space="0" w:color="auto"/>
        <w:right w:val="none" w:sz="0" w:space="0" w:color="auto"/>
      </w:divBdr>
    </w:div>
    <w:div w:id="1049574777">
      <w:bodyDiv w:val="1"/>
      <w:marLeft w:val="0"/>
      <w:marRight w:val="0"/>
      <w:marTop w:val="0"/>
      <w:marBottom w:val="0"/>
      <w:divBdr>
        <w:top w:val="none" w:sz="0" w:space="0" w:color="auto"/>
        <w:left w:val="none" w:sz="0" w:space="0" w:color="auto"/>
        <w:bottom w:val="none" w:sz="0" w:space="0" w:color="auto"/>
        <w:right w:val="none" w:sz="0" w:space="0" w:color="auto"/>
      </w:divBdr>
      <w:divsChild>
        <w:div w:id="527524455">
          <w:marLeft w:val="0"/>
          <w:marRight w:val="0"/>
          <w:marTop w:val="0"/>
          <w:marBottom w:val="0"/>
          <w:divBdr>
            <w:top w:val="none" w:sz="0" w:space="0" w:color="auto"/>
            <w:left w:val="none" w:sz="0" w:space="0" w:color="auto"/>
            <w:bottom w:val="none" w:sz="0" w:space="0" w:color="auto"/>
            <w:right w:val="none" w:sz="0" w:space="0" w:color="auto"/>
          </w:divBdr>
          <w:divsChild>
            <w:div w:id="2028486531">
              <w:marLeft w:val="0"/>
              <w:marRight w:val="0"/>
              <w:marTop w:val="0"/>
              <w:marBottom w:val="0"/>
              <w:divBdr>
                <w:top w:val="none" w:sz="0" w:space="0" w:color="auto"/>
                <w:left w:val="none" w:sz="0" w:space="0" w:color="auto"/>
                <w:bottom w:val="none" w:sz="0" w:space="0" w:color="auto"/>
                <w:right w:val="none" w:sz="0" w:space="0" w:color="auto"/>
              </w:divBdr>
              <w:divsChild>
                <w:div w:id="1628967537">
                  <w:marLeft w:val="0"/>
                  <w:marRight w:val="0"/>
                  <w:marTop w:val="0"/>
                  <w:marBottom w:val="0"/>
                  <w:divBdr>
                    <w:top w:val="none" w:sz="0" w:space="0" w:color="auto"/>
                    <w:left w:val="none" w:sz="0" w:space="0" w:color="auto"/>
                    <w:bottom w:val="none" w:sz="0" w:space="0" w:color="auto"/>
                    <w:right w:val="none" w:sz="0" w:space="0" w:color="auto"/>
                  </w:divBdr>
                  <w:divsChild>
                    <w:div w:id="1908413397">
                      <w:marLeft w:val="0"/>
                      <w:marRight w:val="0"/>
                      <w:marTop w:val="0"/>
                      <w:marBottom w:val="0"/>
                      <w:divBdr>
                        <w:top w:val="none" w:sz="0" w:space="0" w:color="auto"/>
                        <w:left w:val="none" w:sz="0" w:space="0" w:color="auto"/>
                        <w:bottom w:val="none" w:sz="0" w:space="0" w:color="auto"/>
                        <w:right w:val="none" w:sz="0" w:space="0" w:color="auto"/>
                      </w:divBdr>
                      <w:divsChild>
                        <w:div w:id="924805621">
                          <w:marLeft w:val="0"/>
                          <w:marRight w:val="0"/>
                          <w:marTop w:val="0"/>
                          <w:marBottom w:val="0"/>
                          <w:divBdr>
                            <w:top w:val="none" w:sz="0" w:space="0" w:color="auto"/>
                            <w:left w:val="none" w:sz="0" w:space="0" w:color="auto"/>
                            <w:bottom w:val="none" w:sz="0" w:space="0" w:color="auto"/>
                            <w:right w:val="none" w:sz="0" w:space="0" w:color="auto"/>
                          </w:divBdr>
                          <w:divsChild>
                            <w:div w:id="133301093">
                              <w:marLeft w:val="0"/>
                              <w:marRight w:val="0"/>
                              <w:marTop w:val="0"/>
                              <w:marBottom w:val="0"/>
                              <w:divBdr>
                                <w:top w:val="none" w:sz="0" w:space="0" w:color="auto"/>
                                <w:left w:val="none" w:sz="0" w:space="0" w:color="auto"/>
                                <w:bottom w:val="none" w:sz="0" w:space="0" w:color="auto"/>
                                <w:right w:val="none" w:sz="0" w:space="0" w:color="auto"/>
                              </w:divBdr>
                              <w:divsChild>
                                <w:div w:id="1871407935">
                                  <w:marLeft w:val="0"/>
                                  <w:marRight w:val="0"/>
                                  <w:marTop w:val="0"/>
                                  <w:marBottom w:val="0"/>
                                  <w:divBdr>
                                    <w:top w:val="none" w:sz="0" w:space="0" w:color="auto"/>
                                    <w:left w:val="none" w:sz="0" w:space="0" w:color="auto"/>
                                    <w:bottom w:val="none" w:sz="0" w:space="0" w:color="auto"/>
                                    <w:right w:val="none" w:sz="0" w:space="0" w:color="auto"/>
                                  </w:divBdr>
                                  <w:divsChild>
                                    <w:div w:id="1937012200">
                                      <w:marLeft w:val="0"/>
                                      <w:marRight w:val="0"/>
                                      <w:marTop w:val="0"/>
                                      <w:marBottom w:val="0"/>
                                      <w:divBdr>
                                        <w:top w:val="none" w:sz="0" w:space="0" w:color="auto"/>
                                        <w:left w:val="none" w:sz="0" w:space="0" w:color="auto"/>
                                        <w:bottom w:val="none" w:sz="0" w:space="0" w:color="auto"/>
                                        <w:right w:val="none" w:sz="0" w:space="0" w:color="auto"/>
                                      </w:divBdr>
                                      <w:divsChild>
                                        <w:div w:id="206916096">
                                          <w:marLeft w:val="0"/>
                                          <w:marRight w:val="0"/>
                                          <w:marTop w:val="0"/>
                                          <w:marBottom w:val="0"/>
                                          <w:divBdr>
                                            <w:top w:val="none" w:sz="0" w:space="0" w:color="auto"/>
                                            <w:left w:val="none" w:sz="0" w:space="0" w:color="auto"/>
                                            <w:bottom w:val="none" w:sz="0" w:space="0" w:color="auto"/>
                                            <w:right w:val="none" w:sz="0" w:space="0" w:color="auto"/>
                                          </w:divBdr>
                                          <w:divsChild>
                                            <w:div w:id="443960285">
                                              <w:marLeft w:val="0"/>
                                              <w:marRight w:val="0"/>
                                              <w:marTop w:val="0"/>
                                              <w:marBottom w:val="0"/>
                                              <w:divBdr>
                                                <w:top w:val="none" w:sz="0" w:space="0" w:color="auto"/>
                                                <w:left w:val="none" w:sz="0" w:space="0" w:color="auto"/>
                                                <w:bottom w:val="none" w:sz="0" w:space="0" w:color="auto"/>
                                                <w:right w:val="none" w:sz="0" w:space="0" w:color="auto"/>
                                              </w:divBdr>
                                              <w:divsChild>
                                                <w:div w:id="2028478303">
                                                  <w:marLeft w:val="0"/>
                                                  <w:marRight w:val="0"/>
                                                  <w:marTop w:val="0"/>
                                                  <w:marBottom w:val="0"/>
                                                  <w:divBdr>
                                                    <w:top w:val="none" w:sz="0" w:space="0" w:color="auto"/>
                                                    <w:left w:val="none" w:sz="0" w:space="0" w:color="auto"/>
                                                    <w:bottom w:val="none" w:sz="0" w:space="0" w:color="auto"/>
                                                    <w:right w:val="none" w:sz="0" w:space="0" w:color="auto"/>
                                                  </w:divBdr>
                                                  <w:divsChild>
                                                    <w:div w:id="1079864404">
                                                      <w:marLeft w:val="0"/>
                                                      <w:marRight w:val="0"/>
                                                      <w:marTop w:val="0"/>
                                                      <w:marBottom w:val="0"/>
                                                      <w:divBdr>
                                                        <w:top w:val="none" w:sz="0" w:space="0" w:color="auto"/>
                                                        <w:left w:val="none" w:sz="0" w:space="0" w:color="auto"/>
                                                        <w:bottom w:val="none" w:sz="0" w:space="0" w:color="auto"/>
                                                        <w:right w:val="none" w:sz="0" w:space="0" w:color="auto"/>
                                                      </w:divBdr>
                                                      <w:divsChild>
                                                        <w:div w:id="1369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072960">
      <w:bodyDiv w:val="1"/>
      <w:marLeft w:val="0"/>
      <w:marRight w:val="0"/>
      <w:marTop w:val="0"/>
      <w:marBottom w:val="0"/>
      <w:divBdr>
        <w:top w:val="none" w:sz="0" w:space="0" w:color="auto"/>
        <w:left w:val="none" w:sz="0" w:space="0" w:color="auto"/>
        <w:bottom w:val="none" w:sz="0" w:space="0" w:color="auto"/>
        <w:right w:val="none" w:sz="0" w:space="0" w:color="auto"/>
      </w:divBdr>
      <w:divsChild>
        <w:div w:id="120879201">
          <w:marLeft w:val="0"/>
          <w:marRight w:val="0"/>
          <w:marTop w:val="0"/>
          <w:marBottom w:val="0"/>
          <w:divBdr>
            <w:top w:val="none" w:sz="0" w:space="0" w:color="auto"/>
            <w:left w:val="none" w:sz="0" w:space="0" w:color="auto"/>
            <w:bottom w:val="none" w:sz="0" w:space="0" w:color="auto"/>
            <w:right w:val="none" w:sz="0" w:space="0" w:color="auto"/>
          </w:divBdr>
          <w:divsChild>
            <w:div w:id="177240042">
              <w:marLeft w:val="0"/>
              <w:marRight w:val="0"/>
              <w:marTop w:val="0"/>
              <w:marBottom w:val="0"/>
              <w:divBdr>
                <w:top w:val="none" w:sz="0" w:space="0" w:color="auto"/>
                <w:left w:val="none" w:sz="0" w:space="0" w:color="auto"/>
                <w:bottom w:val="none" w:sz="0" w:space="0" w:color="auto"/>
                <w:right w:val="none" w:sz="0" w:space="0" w:color="auto"/>
              </w:divBdr>
              <w:divsChild>
                <w:div w:id="1871721422">
                  <w:marLeft w:val="0"/>
                  <w:marRight w:val="0"/>
                  <w:marTop w:val="0"/>
                  <w:marBottom w:val="0"/>
                  <w:divBdr>
                    <w:top w:val="none" w:sz="0" w:space="0" w:color="auto"/>
                    <w:left w:val="none" w:sz="0" w:space="0" w:color="auto"/>
                    <w:bottom w:val="none" w:sz="0" w:space="0" w:color="auto"/>
                    <w:right w:val="none" w:sz="0" w:space="0" w:color="auto"/>
                  </w:divBdr>
                  <w:divsChild>
                    <w:div w:id="1361971327">
                      <w:marLeft w:val="0"/>
                      <w:marRight w:val="0"/>
                      <w:marTop w:val="0"/>
                      <w:marBottom w:val="0"/>
                      <w:divBdr>
                        <w:top w:val="none" w:sz="0" w:space="0" w:color="auto"/>
                        <w:left w:val="none" w:sz="0" w:space="0" w:color="auto"/>
                        <w:bottom w:val="none" w:sz="0" w:space="0" w:color="auto"/>
                        <w:right w:val="none" w:sz="0" w:space="0" w:color="auto"/>
                      </w:divBdr>
                      <w:divsChild>
                        <w:div w:id="1445807815">
                          <w:marLeft w:val="0"/>
                          <w:marRight w:val="0"/>
                          <w:marTop w:val="0"/>
                          <w:marBottom w:val="0"/>
                          <w:divBdr>
                            <w:top w:val="none" w:sz="0" w:space="0" w:color="auto"/>
                            <w:left w:val="none" w:sz="0" w:space="0" w:color="auto"/>
                            <w:bottom w:val="none" w:sz="0" w:space="0" w:color="auto"/>
                            <w:right w:val="none" w:sz="0" w:space="0" w:color="auto"/>
                          </w:divBdr>
                          <w:divsChild>
                            <w:div w:id="758791161">
                              <w:marLeft w:val="0"/>
                              <w:marRight w:val="0"/>
                              <w:marTop w:val="0"/>
                              <w:marBottom w:val="0"/>
                              <w:divBdr>
                                <w:top w:val="none" w:sz="0" w:space="0" w:color="auto"/>
                                <w:left w:val="none" w:sz="0" w:space="0" w:color="auto"/>
                                <w:bottom w:val="none" w:sz="0" w:space="0" w:color="auto"/>
                                <w:right w:val="none" w:sz="0" w:space="0" w:color="auto"/>
                              </w:divBdr>
                              <w:divsChild>
                                <w:div w:id="70201485">
                                  <w:marLeft w:val="0"/>
                                  <w:marRight w:val="0"/>
                                  <w:marTop w:val="0"/>
                                  <w:marBottom w:val="0"/>
                                  <w:divBdr>
                                    <w:top w:val="none" w:sz="0" w:space="0" w:color="auto"/>
                                    <w:left w:val="none" w:sz="0" w:space="0" w:color="auto"/>
                                    <w:bottom w:val="none" w:sz="0" w:space="0" w:color="auto"/>
                                    <w:right w:val="none" w:sz="0" w:space="0" w:color="auto"/>
                                  </w:divBdr>
                                  <w:divsChild>
                                    <w:div w:id="1608581811">
                                      <w:marLeft w:val="0"/>
                                      <w:marRight w:val="0"/>
                                      <w:marTop w:val="0"/>
                                      <w:marBottom w:val="0"/>
                                      <w:divBdr>
                                        <w:top w:val="none" w:sz="0" w:space="0" w:color="auto"/>
                                        <w:left w:val="none" w:sz="0" w:space="0" w:color="auto"/>
                                        <w:bottom w:val="none" w:sz="0" w:space="0" w:color="auto"/>
                                        <w:right w:val="none" w:sz="0" w:space="0" w:color="auto"/>
                                      </w:divBdr>
                                      <w:divsChild>
                                        <w:div w:id="1019552376">
                                          <w:marLeft w:val="0"/>
                                          <w:marRight w:val="0"/>
                                          <w:marTop w:val="0"/>
                                          <w:marBottom w:val="0"/>
                                          <w:divBdr>
                                            <w:top w:val="none" w:sz="0" w:space="0" w:color="auto"/>
                                            <w:left w:val="none" w:sz="0" w:space="0" w:color="auto"/>
                                            <w:bottom w:val="none" w:sz="0" w:space="0" w:color="auto"/>
                                            <w:right w:val="none" w:sz="0" w:space="0" w:color="auto"/>
                                          </w:divBdr>
                                          <w:divsChild>
                                            <w:div w:id="2096317126">
                                              <w:marLeft w:val="0"/>
                                              <w:marRight w:val="0"/>
                                              <w:marTop w:val="0"/>
                                              <w:marBottom w:val="0"/>
                                              <w:divBdr>
                                                <w:top w:val="none" w:sz="0" w:space="0" w:color="auto"/>
                                                <w:left w:val="none" w:sz="0" w:space="0" w:color="auto"/>
                                                <w:bottom w:val="none" w:sz="0" w:space="0" w:color="auto"/>
                                                <w:right w:val="none" w:sz="0" w:space="0" w:color="auto"/>
                                              </w:divBdr>
                                              <w:divsChild>
                                                <w:div w:id="414859365">
                                                  <w:marLeft w:val="0"/>
                                                  <w:marRight w:val="0"/>
                                                  <w:marTop w:val="0"/>
                                                  <w:marBottom w:val="0"/>
                                                  <w:divBdr>
                                                    <w:top w:val="none" w:sz="0" w:space="0" w:color="auto"/>
                                                    <w:left w:val="none" w:sz="0" w:space="0" w:color="auto"/>
                                                    <w:bottom w:val="none" w:sz="0" w:space="0" w:color="auto"/>
                                                    <w:right w:val="none" w:sz="0" w:space="0" w:color="auto"/>
                                                  </w:divBdr>
                                                  <w:divsChild>
                                                    <w:div w:id="795880158">
                                                      <w:marLeft w:val="0"/>
                                                      <w:marRight w:val="0"/>
                                                      <w:marTop w:val="0"/>
                                                      <w:marBottom w:val="0"/>
                                                      <w:divBdr>
                                                        <w:top w:val="none" w:sz="0" w:space="0" w:color="auto"/>
                                                        <w:left w:val="none" w:sz="0" w:space="0" w:color="auto"/>
                                                        <w:bottom w:val="none" w:sz="0" w:space="0" w:color="auto"/>
                                                        <w:right w:val="none" w:sz="0" w:space="0" w:color="auto"/>
                                                      </w:divBdr>
                                                      <w:divsChild>
                                                        <w:div w:id="8597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727201">
      <w:bodyDiv w:val="1"/>
      <w:marLeft w:val="0"/>
      <w:marRight w:val="0"/>
      <w:marTop w:val="0"/>
      <w:marBottom w:val="0"/>
      <w:divBdr>
        <w:top w:val="none" w:sz="0" w:space="0" w:color="auto"/>
        <w:left w:val="none" w:sz="0" w:space="0" w:color="auto"/>
        <w:bottom w:val="none" w:sz="0" w:space="0" w:color="auto"/>
        <w:right w:val="none" w:sz="0" w:space="0" w:color="auto"/>
      </w:divBdr>
    </w:div>
    <w:div w:id="1402829985">
      <w:bodyDiv w:val="1"/>
      <w:marLeft w:val="0"/>
      <w:marRight w:val="0"/>
      <w:marTop w:val="0"/>
      <w:marBottom w:val="0"/>
      <w:divBdr>
        <w:top w:val="none" w:sz="0" w:space="0" w:color="auto"/>
        <w:left w:val="none" w:sz="0" w:space="0" w:color="auto"/>
        <w:bottom w:val="none" w:sz="0" w:space="0" w:color="auto"/>
        <w:right w:val="none" w:sz="0" w:space="0" w:color="auto"/>
      </w:divBdr>
    </w:div>
    <w:div w:id="1444375050">
      <w:bodyDiv w:val="1"/>
      <w:marLeft w:val="0"/>
      <w:marRight w:val="0"/>
      <w:marTop w:val="0"/>
      <w:marBottom w:val="0"/>
      <w:divBdr>
        <w:top w:val="none" w:sz="0" w:space="0" w:color="auto"/>
        <w:left w:val="none" w:sz="0" w:space="0" w:color="auto"/>
        <w:bottom w:val="none" w:sz="0" w:space="0" w:color="auto"/>
        <w:right w:val="none" w:sz="0" w:space="0" w:color="auto"/>
      </w:divBdr>
    </w:div>
    <w:div w:id="1454252128">
      <w:bodyDiv w:val="1"/>
      <w:marLeft w:val="0"/>
      <w:marRight w:val="0"/>
      <w:marTop w:val="0"/>
      <w:marBottom w:val="0"/>
      <w:divBdr>
        <w:top w:val="none" w:sz="0" w:space="0" w:color="auto"/>
        <w:left w:val="none" w:sz="0" w:space="0" w:color="auto"/>
        <w:bottom w:val="none" w:sz="0" w:space="0" w:color="auto"/>
        <w:right w:val="none" w:sz="0" w:space="0" w:color="auto"/>
      </w:divBdr>
    </w:div>
    <w:div w:id="1536506854">
      <w:bodyDiv w:val="1"/>
      <w:marLeft w:val="0"/>
      <w:marRight w:val="0"/>
      <w:marTop w:val="0"/>
      <w:marBottom w:val="0"/>
      <w:divBdr>
        <w:top w:val="none" w:sz="0" w:space="0" w:color="auto"/>
        <w:left w:val="none" w:sz="0" w:space="0" w:color="auto"/>
        <w:bottom w:val="none" w:sz="0" w:space="0" w:color="auto"/>
        <w:right w:val="none" w:sz="0" w:space="0" w:color="auto"/>
      </w:divBdr>
    </w:div>
    <w:div w:id="1551577395">
      <w:bodyDiv w:val="1"/>
      <w:marLeft w:val="0"/>
      <w:marRight w:val="0"/>
      <w:marTop w:val="0"/>
      <w:marBottom w:val="0"/>
      <w:divBdr>
        <w:top w:val="none" w:sz="0" w:space="0" w:color="auto"/>
        <w:left w:val="none" w:sz="0" w:space="0" w:color="auto"/>
        <w:bottom w:val="none" w:sz="0" w:space="0" w:color="auto"/>
        <w:right w:val="none" w:sz="0" w:space="0" w:color="auto"/>
      </w:divBdr>
    </w:div>
    <w:div w:id="1637682812">
      <w:bodyDiv w:val="1"/>
      <w:marLeft w:val="0"/>
      <w:marRight w:val="0"/>
      <w:marTop w:val="0"/>
      <w:marBottom w:val="0"/>
      <w:divBdr>
        <w:top w:val="none" w:sz="0" w:space="0" w:color="auto"/>
        <w:left w:val="none" w:sz="0" w:space="0" w:color="auto"/>
        <w:bottom w:val="none" w:sz="0" w:space="0" w:color="auto"/>
        <w:right w:val="none" w:sz="0" w:space="0" w:color="auto"/>
      </w:divBdr>
      <w:divsChild>
        <w:div w:id="1951085003">
          <w:marLeft w:val="0"/>
          <w:marRight w:val="0"/>
          <w:marTop w:val="0"/>
          <w:marBottom w:val="0"/>
          <w:divBdr>
            <w:top w:val="none" w:sz="0" w:space="0" w:color="auto"/>
            <w:left w:val="none" w:sz="0" w:space="0" w:color="auto"/>
            <w:bottom w:val="none" w:sz="0" w:space="0" w:color="auto"/>
            <w:right w:val="none" w:sz="0" w:space="0" w:color="auto"/>
          </w:divBdr>
          <w:divsChild>
            <w:div w:id="931620847">
              <w:marLeft w:val="0"/>
              <w:marRight w:val="0"/>
              <w:marTop w:val="0"/>
              <w:marBottom w:val="0"/>
              <w:divBdr>
                <w:top w:val="none" w:sz="0" w:space="0" w:color="auto"/>
                <w:left w:val="none" w:sz="0" w:space="0" w:color="auto"/>
                <w:bottom w:val="none" w:sz="0" w:space="0" w:color="auto"/>
                <w:right w:val="none" w:sz="0" w:space="0" w:color="auto"/>
              </w:divBdr>
              <w:divsChild>
                <w:div w:id="1779640281">
                  <w:marLeft w:val="0"/>
                  <w:marRight w:val="0"/>
                  <w:marTop w:val="0"/>
                  <w:marBottom w:val="0"/>
                  <w:divBdr>
                    <w:top w:val="none" w:sz="0" w:space="0" w:color="auto"/>
                    <w:left w:val="none" w:sz="0" w:space="0" w:color="auto"/>
                    <w:bottom w:val="none" w:sz="0" w:space="0" w:color="auto"/>
                    <w:right w:val="none" w:sz="0" w:space="0" w:color="auto"/>
                  </w:divBdr>
                  <w:divsChild>
                    <w:div w:id="967081552">
                      <w:marLeft w:val="0"/>
                      <w:marRight w:val="0"/>
                      <w:marTop w:val="0"/>
                      <w:marBottom w:val="0"/>
                      <w:divBdr>
                        <w:top w:val="none" w:sz="0" w:space="0" w:color="auto"/>
                        <w:left w:val="none" w:sz="0" w:space="0" w:color="auto"/>
                        <w:bottom w:val="none" w:sz="0" w:space="0" w:color="auto"/>
                        <w:right w:val="none" w:sz="0" w:space="0" w:color="auto"/>
                      </w:divBdr>
                      <w:divsChild>
                        <w:div w:id="1564292712">
                          <w:marLeft w:val="0"/>
                          <w:marRight w:val="0"/>
                          <w:marTop w:val="0"/>
                          <w:marBottom w:val="0"/>
                          <w:divBdr>
                            <w:top w:val="none" w:sz="0" w:space="0" w:color="auto"/>
                            <w:left w:val="none" w:sz="0" w:space="0" w:color="auto"/>
                            <w:bottom w:val="none" w:sz="0" w:space="0" w:color="auto"/>
                            <w:right w:val="none" w:sz="0" w:space="0" w:color="auto"/>
                          </w:divBdr>
                          <w:divsChild>
                            <w:div w:id="1417284858">
                              <w:marLeft w:val="0"/>
                              <w:marRight w:val="0"/>
                              <w:marTop w:val="0"/>
                              <w:marBottom w:val="0"/>
                              <w:divBdr>
                                <w:top w:val="none" w:sz="0" w:space="0" w:color="auto"/>
                                <w:left w:val="none" w:sz="0" w:space="0" w:color="auto"/>
                                <w:bottom w:val="none" w:sz="0" w:space="0" w:color="auto"/>
                                <w:right w:val="none" w:sz="0" w:space="0" w:color="auto"/>
                              </w:divBdr>
                              <w:divsChild>
                                <w:div w:id="1320303739">
                                  <w:marLeft w:val="0"/>
                                  <w:marRight w:val="0"/>
                                  <w:marTop w:val="0"/>
                                  <w:marBottom w:val="0"/>
                                  <w:divBdr>
                                    <w:top w:val="none" w:sz="0" w:space="0" w:color="auto"/>
                                    <w:left w:val="none" w:sz="0" w:space="0" w:color="auto"/>
                                    <w:bottom w:val="none" w:sz="0" w:space="0" w:color="auto"/>
                                    <w:right w:val="none" w:sz="0" w:space="0" w:color="auto"/>
                                  </w:divBdr>
                                  <w:divsChild>
                                    <w:div w:id="295530509">
                                      <w:marLeft w:val="0"/>
                                      <w:marRight w:val="0"/>
                                      <w:marTop w:val="0"/>
                                      <w:marBottom w:val="0"/>
                                      <w:divBdr>
                                        <w:top w:val="none" w:sz="0" w:space="0" w:color="auto"/>
                                        <w:left w:val="none" w:sz="0" w:space="0" w:color="auto"/>
                                        <w:bottom w:val="none" w:sz="0" w:space="0" w:color="auto"/>
                                        <w:right w:val="none" w:sz="0" w:space="0" w:color="auto"/>
                                      </w:divBdr>
                                      <w:divsChild>
                                        <w:div w:id="335884522">
                                          <w:marLeft w:val="0"/>
                                          <w:marRight w:val="0"/>
                                          <w:marTop w:val="0"/>
                                          <w:marBottom w:val="0"/>
                                          <w:divBdr>
                                            <w:top w:val="none" w:sz="0" w:space="0" w:color="auto"/>
                                            <w:left w:val="none" w:sz="0" w:space="0" w:color="auto"/>
                                            <w:bottom w:val="none" w:sz="0" w:space="0" w:color="auto"/>
                                            <w:right w:val="none" w:sz="0" w:space="0" w:color="auto"/>
                                          </w:divBdr>
                                          <w:divsChild>
                                            <w:div w:id="500193757">
                                              <w:marLeft w:val="0"/>
                                              <w:marRight w:val="0"/>
                                              <w:marTop w:val="0"/>
                                              <w:marBottom w:val="0"/>
                                              <w:divBdr>
                                                <w:top w:val="none" w:sz="0" w:space="0" w:color="auto"/>
                                                <w:left w:val="none" w:sz="0" w:space="0" w:color="auto"/>
                                                <w:bottom w:val="none" w:sz="0" w:space="0" w:color="auto"/>
                                                <w:right w:val="none" w:sz="0" w:space="0" w:color="auto"/>
                                              </w:divBdr>
                                              <w:divsChild>
                                                <w:div w:id="659504997">
                                                  <w:marLeft w:val="0"/>
                                                  <w:marRight w:val="0"/>
                                                  <w:marTop w:val="0"/>
                                                  <w:marBottom w:val="0"/>
                                                  <w:divBdr>
                                                    <w:top w:val="none" w:sz="0" w:space="0" w:color="auto"/>
                                                    <w:left w:val="none" w:sz="0" w:space="0" w:color="auto"/>
                                                    <w:bottom w:val="none" w:sz="0" w:space="0" w:color="auto"/>
                                                    <w:right w:val="none" w:sz="0" w:space="0" w:color="auto"/>
                                                  </w:divBdr>
                                                  <w:divsChild>
                                                    <w:div w:id="1610821456">
                                                      <w:marLeft w:val="0"/>
                                                      <w:marRight w:val="0"/>
                                                      <w:marTop w:val="0"/>
                                                      <w:marBottom w:val="0"/>
                                                      <w:divBdr>
                                                        <w:top w:val="none" w:sz="0" w:space="0" w:color="auto"/>
                                                        <w:left w:val="none" w:sz="0" w:space="0" w:color="auto"/>
                                                        <w:bottom w:val="none" w:sz="0" w:space="0" w:color="auto"/>
                                                        <w:right w:val="none" w:sz="0" w:space="0" w:color="auto"/>
                                                      </w:divBdr>
                                                      <w:divsChild>
                                                        <w:div w:id="452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6326743">
      <w:bodyDiv w:val="1"/>
      <w:marLeft w:val="0"/>
      <w:marRight w:val="0"/>
      <w:marTop w:val="0"/>
      <w:marBottom w:val="0"/>
      <w:divBdr>
        <w:top w:val="none" w:sz="0" w:space="0" w:color="auto"/>
        <w:left w:val="none" w:sz="0" w:space="0" w:color="auto"/>
        <w:bottom w:val="none" w:sz="0" w:space="0" w:color="auto"/>
        <w:right w:val="none" w:sz="0" w:space="0" w:color="auto"/>
      </w:divBdr>
      <w:divsChild>
        <w:div w:id="727067944">
          <w:marLeft w:val="0"/>
          <w:marRight w:val="0"/>
          <w:marTop w:val="0"/>
          <w:marBottom w:val="0"/>
          <w:divBdr>
            <w:top w:val="none" w:sz="0" w:space="0" w:color="auto"/>
            <w:left w:val="none" w:sz="0" w:space="0" w:color="auto"/>
            <w:bottom w:val="none" w:sz="0" w:space="0" w:color="auto"/>
            <w:right w:val="none" w:sz="0" w:space="0" w:color="auto"/>
          </w:divBdr>
          <w:divsChild>
            <w:div w:id="418870892">
              <w:marLeft w:val="0"/>
              <w:marRight w:val="0"/>
              <w:marTop w:val="0"/>
              <w:marBottom w:val="0"/>
              <w:divBdr>
                <w:top w:val="none" w:sz="0" w:space="0" w:color="auto"/>
                <w:left w:val="none" w:sz="0" w:space="0" w:color="auto"/>
                <w:bottom w:val="none" w:sz="0" w:space="0" w:color="auto"/>
                <w:right w:val="none" w:sz="0" w:space="0" w:color="auto"/>
              </w:divBdr>
              <w:divsChild>
                <w:div w:id="2086104586">
                  <w:marLeft w:val="0"/>
                  <w:marRight w:val="0"/>
                  <w:marTop w:val="0"/>
                  <w:marBottom w:val="0"/>
                  <w:divBdr>
                    <w:top w:val="none" w:sz="0" w:space="0" w:color="auto"/>
                    <w:left w:val="none" w:sz="0" w:space="0" w:color="auto"/>
                    <w:bottom w:val="none" w:sz="0" w:space="0" w:color="auto"/>
                    <w:right w:val="none" w:sz="0" w:space="0" w:color="auto"/>
                  </w:divBdr>
                  <w:divsChild>
                    <w:div w:id="1928537077">
                      <w:marLeft w:val="0"/>
                      <w:marRight w:val="0"/>
                      <w:marTop w:val="0"/>
                      <w:marBottom w:val="0"/>
                      <w:divBdr>
                        <w:top w:val="none" w:sz="0" w:space="0" w:color="auto"/>
                        <w:left w:val="none" w:sz="0" w:space="0" w:color="auto"/>
                        <w:bottom w:val="none" w:sz="0" w:space="0" w:color="auto"/>
                        <w:right w:val="none" w:sz="0" w:space="0" w:color="auto"/>
                      </w:divBdr>
                      <w:divsChild>
                        <w:div w:id="812452611">
                          <w:marLeft w:val="0"/>
                          <w:marRight w:val="0"/>
                          <w:marTop w:val="0"/>
                          <w:marBottom w:val="0"/>
                          <w:divBdr>
                            <w:top w:val="none" w:sz="0" w:space="0" w:color="auto"/>
                            <w:left w:val="none" w:sz="0" w:space="0" w:color="auto"/>
                            <w:bottom w:val="none" w:sz="0" w:space="0" w:color="auto"/>
                            <w:right w:val="none" w:sz="0" w:space="0" w:color="auto"/>
                          </w:divBdr>
                          <w:divsChild>
                            <w:div w:id="653414330">
                              <w:marLeft w:val="0"/>
                              <w:marRight w:val="0"/>
                              <w:marTop w:val="0"/>
                              <w:marBottom w:val="0"/>
                              <w:divBdr>
                                <w:top w:val="none" w:sz="0" w:space="0" w:color="auto"/>
                                <w:left w:val="none" w:sz="0" w:space="0" w:color="auto"/>
                                <w:bottom w:val="none" w:sz="0" w:space="0" w:color="auto"/>
                                <w:right w:val="none" w:sz="0" w:space="0" w:color="auto"/>
                              </w:divBdr>
                              <w:divsChild>
                                <w:div w:id="166411402">
                                  <w:marLeft w:val="0"/>
                                  <w:marRight w:val="0"/>
                                  <w:marTop w:val="0"/>
                                  <w:marBottom w:val="0"/>
                                  <w:divBdr>
                                    <w:top w:val="none" w:sz="0" w:space="0" w:color="auto"/>
                                    <w:left w:val="none" w:sz="0" w:space="0" w:color="auto"/>
                                    <w:bottom w:val="none" w:sz="0" w:space="0" w:color="auto"/>
                                    <w:right w:val="none" w:sz="0" w:space="0" w:color="auto"/>
                                  </w:divBdr>
                                  <w:divsChild>
                                    <w:div w:id="74985379">
                                      <w:marLeft w:val="0"/>
                                      <w:marRight w:val="0"/>
                                      <w:marTop w:val="0"/>
                                      <w:marBottom w:val="0"/>
                                      <w:divBdr>
                                        <w:top w:val="none" w:sz="0" w:space="0" w:color="auto"/>
                                        <w:left w:val="none" w:sz="0" w:space="0" w:color="auto"/>
                                        <w:bottom w:val="none" w:sz="0" w:space="0" w:color="auto"/>
                                        <w:right w:val="none" w:sz="0" w:space="0" w:color="auto"/>
                                      </w:divBdr>
                                      <w:divsChild>
                                        <w:div w:id="1832024096">
                                          <w:marLeft w:val="0"/>
                                          <w:marRight w:val="0"/>
                                          <w:marTop w:val="0"/>
                                          <w:marBottom w:val="0"/>
                                          <w:divBdr>
                                            <w:top w:val="none" w:sz="0" w:space="0" w:color="auto"/>
                                            <w:left w:val="none" w:sz="0" w:space="0" w:color="auto"/>
                                            <w:bottom w:val="none" w:sz="0" w:space="0" w:color="auto"/>
                                            <w:right w:val="none" w:sz="0" w:space="0" w:color="auto"/>
                                          </w:divBdr>
                                          <w:divsChild>
                                            <w:div w:id="349264551">
                                              <w:marLeft w:val="0"/>
                                              <w:marRight w:val="0"/>
                                              <w:marTop w:val="0"/>
                                              <w:marBottom w:val="0"/>
                                              <w:divBdr>
                                                <w:top w:val="none" w:sz="0" w:space="0" w:color="auto"/>
                                                <w:left w:val="none" w:sz="0" w:space="0" w:color="auto"/>
                                                <w:bottom w:val="none" w:sz="0" w:space="0" w:color="auto"/>
                                                <w:right w:val="none" w:sz="0" w:space="0" w:color="auto"/>
                                              </w:divBdr>
                                              <w:divsChild>
                                                <w:div w:id="1465582910">
                                                  <w:marLeft w:val="0"/>
                                                  <w:marRight w:val="0"/>
                                                  <w:marTop w:val="0"/>
                                                  <w:marBottom w:val="0"/>
                                                  <w:divBdr>
                                                    <w:top w:val="none" w:sz="0" w:space="0" w:color="auto"/>
                                                    <w:left w:val="none" w:sz="0" w:space="0" w:color="auto"/>
                                                    <w:bottom w:val="none" w:sz="0" w:space="0" w:color="auto"/>
                                                    <w:right w:val="none" w:sz="0" w:space="0" w:color="auto"/>
                                                  </w:divBdr>
                                                  <w:divsChild>
                                                    <w:div w:id="276646419">
                                                      <w:marLeft w:val="0"/>
                                                      <w:marRight w:val="0"/>
                                                      <w:marTop w:val="0"/>
                                                      <w:marBottom w:val="0"/>
                                                      <w:divBdr>
                                                        <w:top w:val="none" w:sz="0" w:space="0" w:color="auto"/>
                                                        <w:left w:val="none" w:sz="0" w:space="0" w:color="auto"/>
                                                        <w:bottom w:val="none" w:sz="0" w:space="0" w:color="auto"/>
                                                        <w:right w:val="none" w:sz="0" w:space="0" w:color="auto"/>
                                                      </w:divBdr>
                                                      <w:divsChild>
                                                        <w:div w:id="15300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3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footer" Target="footer30.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3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8.xml"/><Relationship Id="rId74" Type="http://schemas.openxmlformats.org/officeDocument/2006/relationships/footer" Target="footer3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header" Target="header3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footer" Target="footer21.xml"/><Relationship Id="rId72" Type="http://schemas.openxmlformats.org/officeDocument/2006/relationships/footer" Target="footer3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2AA99-0837-48C1-81D4-08AC583A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24</Pages>
  <Words>171996</Words>
  <Characters>931104</Characters>
  <Application>Microsoft Office Word</Application>
  <DocSecurity>0</DocSecurity>
  <PresentationFormat/>
  <Lines>25245</Lines>
  <Paragraphs>8146</Paragraphs>
  <ScaleCrop>false</ScaleCrop>
  <HeadingPairs>
    <vt:vector size="2" baseType="variant">
      <vt:variant>
        <vt:lpstr>Title</vt:lpstr>
      </vt:variant>
      <vt:variant>
        <vt:i4>1</vt:i4>
      </vt:variant>
    </vt:vector>
  </HeadingPairs>
  <TitlesOfParts>
    <vt:vector size="1" baseType="lpstr">
      <vt:lpstr>National Health (Highly specialised drugs program) Special Arrangement 2010 (PB 116 of 2010)</vt:lpstr>
    </vt:vector>
  </TitlesOfParts>
  <Manager/>
  <Company/>
  <LinksUpToDate>false</LinksUpToDate>
  <CharactersWithSpaces>1095831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(Highly specialised drugs program) Special Arrangement 2010 (PB 116 of 2010)</dc:title>
  <dc:subject/>
  <dc:creator/>
  <cp:keywords/>
  <dc:description/>
  <cp:lastModifiedBy/>
  <cp:revision>1</cp:revision>
  <cp:lastPrinted>2010-11-28T02:26:00Z</cp:lastPrinted>
  <dcterms:created xsi:type="dcterms:W3CDTF">2020-10-18T22:03:00Z</dcterms:created>
  <dcterms:modified xsi:type="dcterms:W3CDTF">2020-10-18T22:03:00Z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mpilation">
    <vt:lpwstr>Yes</vt:lpwstr>
  </property>
  <property fmtid="{D5CDD505-2E9C-101B-9397-08002B2CF9AE}" pid="9" name="Type">
    <vt:lpwstr>LI</vt:lpwstr>
  </property>
  <property fmtid="{D5CDD505-2E9C-101B-9397-08002B2CF9AE}" pid="10" name="DocType">
    <vt:lpwstr>NEW</vt:lpwstr>
  </property>
  <property fmtid="{D5CDD505-2E9C-101B-9397-08002B2CF9AE}" pid="11" name="Converted">
    <vt:bool>false</vt:bool>
  </property>
  <property fmtid="{D5CDD505-2E9C-101B-9397-08002B2CF9AE}" pid="12" name="ShortT">
    <vt:lpwstr>National Health (Highly specialised drugs program) Special Arrangement 2010 (PB 116 of 2010)</vt:lpwstr>
  </property>
  <property fmtid="{D5CDD505-2E9C-101B-9397-08002B2CF9AE}" pid="13" name="ActNo">
    <vt:lpwstr/>
  </property>
  <property fmtid="{D5CDD505-2E9C-101B-9397-08002B2CF9AE}" pid="14" name="Header">
    <vt:lpwstr>Section</vt:lpwstr>
  </property>
  <property fmtid="{D5CDD505-2E9C-101B-9397-08002B2CF9AE}" pid="15" name="Class">
    <vt:lpwstr/>
  </property>
  <property fmtid="{D5CDD505-2E9C-101B-9397-08002B2CF9AE}" pid="16" name="DateMade">
    <vt:lpwstr> </vt:lpwstr>
  </property>
  <property fmtid="{D5CDD505-2E9C-101B-9397-08002B2CF9AE}" pid="17" name="EXCO">
    <vt:lpwstr> </vt:lpwstr>
  </property>
  <property fmtid="{D5CDD505-2E9C-101B-9397-08002B2CF9AE}" pid="18" name="Authority">
    <vt:lpwstr> </vt:lpwstr>
  </property>
  <property fmtid="{D5CDD505-2E9C-101B-9397-08002B2CF9AE}" pid="19" name="DoNotAsk">
    <vt:lpwstr>0</vt:lpwstr>
  </property>
  <property fmtid="{D5CDD505-2E9C-101B-9397-08002B2CF9AE}" pid="20" name="ChangedTitle">
    <vt:lpwstr/>
  </property>
  <property fmtid="{D5CDD505-2E9C-101B-9397-08002B2CF9AE}" pid="21" name="Classification">
    <vt:lpwstr>UNOFFICIAL</vt:lpwstr>
  </property>
  <property fmtid="{D5CDD505-2E9C-101B-9397-08002B2CF9AE}" pid="22" name="DLM">
    <vt:lpwstr/>
  </property>
  <property fmtid="{D5CDD505-2E9C-101B-9397-08002B2CF9AE}" pid="23" name="CompilationVersion">
    <vt:i4>3</vt:i4>
  </property>
  <property fmtid="{D5CDD505-2E9C-101B-9397-08002B2CF9AE}" pid="24" name="CompilationNumber">
    <vt:lpwstr>111</vt:lpwstr>
  </property>
  <property fmtid="{D5CDD505-2E9C-101B-9397-08002B2CF9AE}" pid="25" name="StartDate">
    <vt:filetime>2020-09-30T13:00:00Z</vt:filetime>
  </property>
  <property fmtid="{D5CDD505-2E9C-101B-9397-08002B2CF9AE}" pid="26" name="PreparedDate">
    <vt:filetime>2016-04-04T14:00:00Z</vt:filetime>
  </property>
  <property fmtid="{D5CDD505-2E9C-101B-9397-08002B2CF9AE}" pid="27" name="RegisteredDate">
    <vt:filetime>2020-10-18T13:00:00Z</vt:filetime>
  </property>
  <property fmtid="{D5CDD505-2E9C-101B-9397-08002B2CF9AE}" pid="28" name="IncludesUpTo">
    <vt:lpwstr>PB 93 of 2020</vt:lpwstr>
  </property>
</Properties>
</file>