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5.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20.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1252" w:rsidRPr="005F1388" w:rsidRDefault="00EA1252" w:rsidP="00EA1252">
      <w:pPr>
        <w:rPr>
          <w:sz w:val="28"/>
        </w:rPr>
      </w:pPr>
      <w:r>
        <w:rPr>
          <w:noProof/>
          <w:lang w:eastAsia="en-AU"/>
        </w:rPr>
        <w:drawing>
          <wp:inline distT="0" distB="0" distL="0" distR="0" wp14:anchorId="1681EDC1" wp14:editId="118AC7A7">
            <wp:extent cx="1419225" cy="1104900"/>
            <wp:effectExtent l="0" t="0" r="9525" b="0"/>
            <wp:docPr id="5" name="Picture 5"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rsidR="00EA1252" w:rsidRDefault="00EA1252" w:rsidP="00EA1252">
      <w:pPr>
        <w:pStyle w:val="ShortT"/>
        <w:spacing w:before="240"/>
      </w:pPr>
      <w:r>
        <w:t>Automotive Transformation Scheme Order 2010</w:t>
      </w:r>
    </w:p>
    <w:p w:rsidR="00EA1252" w:rsidRPr="00685CB9" w:rsidRDefault="00EA1252" w:rsidP="00EA1252">
      <w:pPr>
        <w:pStyle w:val="CompiledActNo"/>
        <w:spacing w:before="240"/>
      </w:pPr>
      <w:r w:rsidRPr="00685CB9">
        <w:t>as amended</w:t>
      </w:r>
    </w:p>
    <w:p w:rsidR="00EA1252" w:rsidRPr="00C540CD" w:rsidRDefault="00EA1252" w:rsidP="00EA1252">
      <w:pPr>
        <w:pStyle w:val="MadeunderText"/>
      </w:pPr>
      <w:r w:rsidRPr="00C540CD">
        <w:t>made under</w:t>
      </w:r>
      <w:r w:rsidR="00545906">
        <w:t xml:space="preserve"> regulations 3.12 and 6.7 of the</w:t>
      </w:r>
    </w:p>
    <w:p w:rsidR="00EA1252" w:rsidRPr="00685CB9" w:rsidRDefault="00545906" w:rsidP="00EA1252">
      <w:pPr>
        <w:pStyle w:val="CompiledMadeUnder"/>
        <w:spacing w:before="240"/>
      </w:pPr>
      <w:r>
        <w:t>Automotive Transformation Scheme Regulations 2010</w:t>
      </w:r>
    </w:p>
    <w:p w:rsidR="00EA1252" w:rsidRPr="00642BE4" w:rsidRDefault="00EA1252" w:rsidP="00EA1252">
      <w:pPr>
        <w:spacing w:before="1000"/>
        <w:rPr>
          <w:rFonts w:cs="Arial"/>
          <w:sz w:val="24"/>
        </w:rPr>
      </w:pPr>
      <w:r w:rsidRPr="00642BE4">
        <w:rPr>
          <w:rFonts w:cs="Arial"/>
          <w:b/>
          <w:sz w:val="24"/>
        </w:rPr>
        <w:t>Compilation start date:</w:t>
      </w:r>
      <w:r>
        <w:rPr>
          <w:rFonts w:cs="Arial"/>
          <w:b/>
          <w:sz w:val="24"/>
        </w:rPr>
        <w:tab/>
      </w:r>
      <w:r>
        <w:rPr>
          <w:rFonts w:cs="Arial"/>
          <w:b/>
          <w:sz w:val="24"/>
        </w:rPr>
        <w:tab/>
      </w:r>
      <w:r w:rsidR="007B026F">
        <w:rPr>
          <w:rFonts w:cs="Arial"/>
          <w:sz w:val="24"/>
        </w:rPr>
        <w:t>4 June 2013</w:t>
      </w:r>
    </w:p>
    <w:p w:rsidR="00EA1252" w:rsidRPr="00642BE4" w:rsidRDefault="00EA1252" w:rsidP="00EA1252">
      <w:pPr>
        <w:spacing w:before="240"/>
        <w:ind w:left="3600" w:hanging="3600"/>
        <w:rPr>
          <w:rFonts w:cs="Arial"/>
          <w:sz w:val="24"/>
        </w:rPr>
      </w:pPr>
      <w:r w:rsidRPr="00642BE4">
        <w:rPr>
          <w:rFonts w:cs="Arial"/>
          <w:b/>
          <w:sz w:val="24"/>
        </w:rPr>
        <w:t>Includes amendments up to:</w:t>
      </w:r>
      <w:r w:rsidRPr="00642BE4">
        <w:rPr>
          <w:rFonts w:cs="Arial"/>
          <w:b/>
          <w:sz w:val="24"/>
        </w:rPr>
        <w:tab/>
      </w:r>
      <w:r>
        <w:rPr>
          <w:rFonts w:cs="Arial"/>
          <w:sz w:val="24"/>
        </w:rPr>
        <w:t>Automotive Transformation Scheme Amendment Order 201</w:t>
      </w:r>
      <w:r w:rsidR="007B026F">
        <w:rPr>
          <w:rFonts w:cs="Arial"/>
          <w:sz w:val="24"/>
        </w:rPr>
        <w:t>3</w:t>
      </w:r>
      <w:r>
        <w:rPr>
          <w:rFonts w:cs="Arial"/>
          <w:sz w:val="24"/>
        </w:rPr>
        <w:t xml:space="preserve"> (No. 1)</w:t>
      </w:r>
    </w:p>
    <w:p w:rsidR="00EA1252" w:rsidRPr="00F11175" w:rsidRDefault="00EA1252" w:rsidP="00EA1252">
      <w:pPr>
        <w:pageBreakBefore/>
        <w:rPr>
          <w:rFonts w:cs="Arial"/>
          <w:b/>
          <w:sz w:val="32"/>
          <w:szCs w:val="32"/>
        </w:rPr>
      </w:pPr>
      <w:r w:rsidRPr="00F11175">
        <w:rPr>
          <w:rFonts w:cs="Arial"/>
          <w:b/>
          <w:sz w:val="32"/>
          <w:szCs w:val="32"/>
        </w:rPr>
        <w:lastRenderedPageBreak/>
        <w:t>About this compilation</w:t>
      </w:r>
    </w:p>
    <w:p w:rsidR="00EA1252" w:rsidRPr="00642BE4" w:rsidRDefault="00EA1252" w:rsidP="00EA1252">
      <w:pPr>
        <w:spacing w:before="120"/>
        <w:rPr>
          <w:rFonts w:cs="Arial"/>
          <w:b/>
          <w:szCs w:val="22"/>
        </w:rPr>
      </w:pPr>
      <w:r w:rsidRPr="00642BE4">
        <w:rPr>
          <w:rFonts w:cs="Arial"/>
          <w:b/>
          <w:szCs w:val="22"/>
        </w:rPr>
        <w:t>The compiled instrument</w:t>
      </w:r>
    </w:p>
    <w:p w:rsidR="00EA1252" w:rsidRPr="00642BE4" w:rsidRDefault="00EA1252" w:rsidP="00EA1252">
      <w:pPr>
        <w:spacing w:before="120" w:after="120"/>
        <w:rPr>
          <w:rFonts w:cs="Arial"/>
          <w:szCs w:val="22"/>
        </w:rPr>
      </w:pPr>
      <w:r w:rsidRPr="00642BE4">
        <w:rPr>
          <w:rFonts w:cs="Arial"/>
          <w:szCs w:val="22"/>
        </w:rPr>
        <w:t xml:space="preserve">This is a compilation of the </w:t>
      </w:r>
      <w:r w:rsidR="00522D9F" w:rsidRPr="00642BE4">
        <w:rPr>
          <w:rFonts w:cs="Arial"/>
          <w:i/>
          <w:szCs w:val="22"/>
        </w:rPr>
        <w:fldChar w:fldCharType="begin"/>
      </w:r>
      <w:r w:rsidRPr="00642BE4">
        <w:rPr>
          <w:rFonts w:cs="Arial"/>
          <w:i/>
          <w:szCs w:val="22"/>
        </w:rPr>
        <w:instrText xml:space="preserve"> STYLEREF  ShortT </w:instrText>
      </w:r>
      <w:r w:rsidR="00522D9F" w:rsidRPr="00642BE4">
        <w:rPr>
          <w:rFonts w:cs="Arial"/>
          <w:i/>
          <w:szCs w:val="22"/>
        </w:rPr>
        <w:fldChar w:fldCharType="separate"/>
      </w:r>
      <w:r w:rsidR="005B0D2C">
        <w:rPr>
          <w:rFonts w:cs="Arial"/>
          <w:i/>
          <w:noProof/>
          <w:szCs w:val="22"/>
        </w:rPr>
        <w:t>Automotive Transformation Scheme Order 2010</w:t>
      </w:r>
      <w:r w:rsidR="00522D9F" w:rsidRPr="00642BE4">
        <w:rPr>
          <w:rFonts w:cs="Arial"/>
          <w:i/>
          <w:szCs w:val="22"/>
        </w:rPr>
        <w:fldChar w:fldCharType="end"/>
      </w:r>
      <w:r w:rsidRPr="00642BE4">
        <w:rPr>
          <w:rFonts w:cs="Arial"/>
          <w:szCs w:val="22"/>
        </w:rPr>
        <w:t xml:space="preserve"> as amended and in force on </w:t>
      </w:r>
      <w:r w:rsidR="007B026F">
        <w:rPr>
          <w:rFonts w:cs="Arial"/>
        </w:rPr>
        <w:t>4 June 2013</w:t>
      </w:r>
      <w:r w:rsidRPr="00642BE4">
        <w:rPr>
          <w:rFonts w:cs="Arial"/>
          <w:szCs w:val="22"/>
        </w:rPr>
        <w:t>. It includes any amendment affecting the compiled instrument to that date.</w:t>
      </w:r>
    </w:p>
    <w:p w:rsidR="00EA1252" w:rsidRPr="00642BE4" w:rsidRDefault="00EA1252" w:rsidP="00EA1252">
      <w:pPr>
        <w:spacing w:after="120"/>
        <w:rPr>
          <w:rFonts w:cs="Arial"/>
          <w:szCs w:val="22"/>
        </w:rPr>
      </w:pPr>
      <w:r w:rsidRPr="00642BE4">
        <w:rPr>
          <w:rFonts w:cs="Arial"/>
          <w:szCs w:val="22"/>
        </w:rPr>
        <w:t xml:space="preserve">This compilation was prepared on </w:t>
      </w:r>
      <w:r w:rsidR="007B026F">
        <w:rPr>
          <w:rFonts w:cs="Arial"/>
        </w:rPr>
        <w:t>18</w:t>
      </w:r>
      <w:r>
        <w:rPr>
          <w:rFonts w:cs="Arial"/>
        </w:rPr>
        <w:t xml:space="preserve"> June 2013</w:t>
      </w:r>
      <w:r w:rsidRPr="00642BE4">
        <w:rPr>
          <w:rFonts w:cs="Arial"/>
          <w:szCs w:val="22"/>
        </w:rPr>
        <w:t>.</w:t>
      </w:r>
    </w:p>
    <w:p w:rsidR="00EA1252" w:rsidRPr="00642BE4" w:rsidRDefault="00EA1252" w:rsidP="00EA1252">
      <w:pPr>
        <w:spacing w:after="120"/>
        <w:rPr>
          <w:rFonts w:cs="Arial"/>
          <w:szCs w:val="22"/>
        </w:rPr>
      </w:pPr>
      <w:r w:rsidRPr="00642BE4">
        <w:rPr>
          <w:rFonts w:cs="Arial"/>
          <w:szCs w:val="22"/>
        </w:rPr>
        <w:t xml:space="preserve">The notes at the end of this compilation (the </w:t>
      </w:r>
      <w:r w:rsidRPr="00642BE4">
        <w:rPr>
          <w:rFonts w:cs="Arial"/>
          <w:b/>
          <w:i/>
          <w:szCs w:val="22"/>
        </w:rPr>
        <w:t>endnotes</w:t>
      </w:r>
      <w:r w:rsidRPr="00642BE4">
        <w:rPr>
          <w:rFonts w:cs="Arial"/>
          <w:szCs w:val="22"/>
        </w:rPr>
        <w:t>) include information about amending Acts and instruments and the amendment history of each amended provision.</w:t>
      </w:r>
    </w:p>
    <w:p w:rsidR="00EA1252" w:rsidRPr="00642BE4" w:rsidRDefault="00EA1252" w:rsidP="00EA1252">
      <w:pPr>
        <w:spacing w:before="80" w:after="120"/>
        <w:rPr>
          <w:rFonts w:cs="Arial"/>
          <w:b/>
          <w:szCs w:val="22"/>
        </w:rPr>
      </w:pPr>
      <w:proofErr w:type="spellStart"/>
      <w:r w:rsidRPr="00642BE4">
        <w:rPr>
          <w:rFonts w:cs="Arial"/>
          <w:b/>
          <w:szCs w:val="22"/>
        </w:rPr>
        <w:t>Uncommenced</w:t>
      </w:r>
      <w:proofErr w:type="spellEnd"/>
      <w:r w:rsidRPr="00642BE4">
        <w:rPr>
          <w:rFonts w:cs="Arial"/>
          <w:b/>
          <w:szCs w:val="22"/>
        </w:rPr>
        <w:t xml:space="preserve"> provisions and amendments</w:t>
      </w:r>
    </w:p>
    <w:p w:rsidR="00EA1252" w:rsidRPr="00642BE4" w:rsidRDefault="00EA1252" w:rsidP="00EA1252">
      <w:pPr>
        <w:spacing w:after="120"/>
        <w:rPr>
          <w:rFonts w:cs="Arial"/>
          <w:szCs w:val="22"/>
        </w:rPr>
      </w:pPr>
      <w:r w:rsidRPr="00642BE4">
        <w:rPr>
          <w:rFonts w:cs="Arial"/>
          <w:szCs w:val="22"/>
        </w:rPr>
        <w:t xml:space="preserve">If a provision of the compiled instrument is affected by an </w:t>
      </w:r>
      <w:proofErr w:type="spellStart"/>
      <w:r w:rsidRPr="00642BE4">
        <w:rPr>
          <w:rFonts w:cs="Arial"/>
          <w:szCs w:val="22"/>
        </w:rPr>
        <w:t>uncommenced</w:t>
      </w:r>
      <w:proofErr w:type="spellEnd"/>
      <w:r w:rsidRPr="00642BE4">
        <w:rPr>
          <w:rFonts w:cs="Arial"/>
          <w:szCs w:val="22"/>
        </w:rPr>
        <w:t xml:space="preserve"> amendme</w:t>
      </w:r>
      <w:r>
        <w:rPr>
          <w:rFonts w:cs="Arial"/>
          <w:szCs w:val="22"/>
        </w:rPr>
        <w:t xml:space="preserve">nt, the text of the </w:t>
      </w:r>
      <w:proofErr w:type="spellStart"/>
      <w:r>
        <w:rPr>
          <w:rFonts w:cs="Arial"/>
          <w:szCs w:val="22"/>
        </w:rPr>
        <w:t>uncommenced</w:t>
      </w:r>
      <w:proofErr w:type="spellEnd"/>
      <w:r>
        <w:rPr>
          <w:rFonts w:cs="Arial"/>
          <w:szCs w:val="22"/>
        </w:rPr>
        <w:t xml:space="preserve"> amendment is set out</w:t>
      </w:r>
      <w:r w:rsidRPr="00642BE4">
        <w:rPr>
          <w:rFonts w:cs="Arial"/>
          <w:szCs w:val="22"/>
        </w:rPr>
        <w:t xml:space="preserve"> in the endnotes.</w:t>
      </w:r>
    </w:p>
    <w:p w:rsidR="00EA1252" w:rsidRPr="00642BE4" w:rsidRDefault="00EA1252" w:rsidP="00EA1252">
      <w:pPr>
        <w:spacing w:before="80" w:after="120"/>
        <w:rPr>
          <w:rFonts w:cs="Arial"/>
          <w:b/>
          <w:szCs w:val="22"/>
        </w:rPr>
      </w:pPr>
      <w:r w:rsidRPr="00642BE4">
        <w:rPr>
          <w:rFonts w:cs="Arial"/>
          <w:b/>
          <w:szCs w:val="22"/>
        </w:rPr>
        <w:t>Application</w:t>
      </w:r>
      <w:r>
        <w:rPr>
          <w:rFonts w:cs="Arial"/>
          <w:b/>
          <w:szCs w:val="22"/>
        </w:rPr>
        <w:t>, saving and transitional</w:t>
      </w:r>
      <w:r w:rsidRPr="00642BE4">
        <w:rPr>
          <w:rFonts w:cs="Arial"/>
          <w:b/>
          <w:szCs w:val="22"/>
        </w:rPr>
        <w:t xml:space="preserve"> provisions for amendments</w:t>
      </w:r>
    </w:p>
    <w:p w:rsidR="00EA1252" w:rsidRPr="00642BE4" w:rsidRDefault="00EA1252" w:rsidP="00EA1252">
      <w:pPr>
        <w:spacing w:after="120"/>
        <w:rPr>
          <w:rFonts w:cs="Arial"/>
          <w:szCs w:val="22"/>
        </w:rPr>
      </w:pPr>
      <w:r w:rsidRPr="00642BE4">
        <w:rPr>
          <w:rFonts w:cs="Arial"/>
          <w:szCs w:val="22"/>
        </w:rPr>
        <w:t>If the operation of an amendment is affected by an application</w:t>
      </w:r>
      <w:r>
        <w:rPr>
          <w:rFonts w:cs="Arial"/>
          <w:szCs w:val="22"/>
        </w:rPr>
        <w:t>, saving or transitional</w:t>
      </w:r>
      <w:r w:rsidRPr="00642BE4">
        <w:rPr>
          <w:rFonts w:cs="Arial"/>
          <w:szCs w:val="22"/>
        </w:rPr>
        <w:t xml:space="preserve"> provision,</w:t>
      </w:r>
      <w:r>
        <w:rPr>
          <w:rFonts w:cs="Arial"/>
          <w:szCs w:val="22"/>
        </w:rPr>
        <w:t xml:space="preserve"> the provision is identified in</w:t>
      </w:r>
      <w:r w:rsidRPr="00642BE4">
        <w:rPr>
          <w:rFonts w:cs="Arial"/>
          <w:szCs w:val="22"/>
        </w:rPr>
        <w:t xml:space="preserve"> the endnotes.</w:t>
      </w:r>
    </w:p>
    <w:p w:rsidR="00EA1252" w:rsidRPr="00642BE4" w:rsidRDefault="00EA1252" w:rsidP="00EA1252">
      <w:pPr>
        <w:spacing w:before="80" w:after="120"/>
        <w:rPr>
          <w:rFonts w:cs="Arial"/>
          <w:b/>
          <w:szCs w:val="22"/>
        </w:rPr>
      </w:pPr>
      <w:r w:rsidRPr="00642BE4">
        <w:rPr>
          <w:rFonts w:cs="Arial"/>
          <w:b/>
          <w:szCs w:val="22"/>
        </w:rPr>
        <w:t>Modifications</w:t>
      </w:r>
    </w:p>
    <w:p w:rsidR="00EA1252" w:rsidRPr="00642BE4" w:rsidRDefault="00EA1252" w:rsidP="00EA1252">
      <w:pPr>
        <w:spacing w:after="120"/>
        <w:rPr>
          <w:rFonts w:cs="Arial"/>
          <w:szCs w:val="22"/>
        </w:rPr>
      </w:pPr>
      <w:r w:rsidRPr="00642BE4">
        <w:rPr>
          <w:rFonts w:cs="Arial"/>
          <w:szCs w:val="22"/>
        </w:rPr>
        <w:t>If a provision of the compiled instrument is affected by a textual modification that is in force, the text of the modifying provision is set out in the endnotes.</w:t>
      </w:r>
    </w:p>
    <w:p w:rsidR="00EA1252" w:rsidRPr="00642BE4" w:rsidRDefault="00EA1252" w:rsidP="00EA1252">
      <w:pPr>
        <w:spacing w:before="80" w:after="120"/>
        <w:rPr>
          <w:rFonts w:cs="Arial"/>
          <w:b/>
          <w:szCs w:val="22"/>
        </w:rPr>
      </w:pPr>
      <w:r w:rsidRPr="00642BE4">
        <w:rPr>
          <w:rFonts w:cs="Arial"/>
          <w:b/>
          <w:szCs w:val="22"/>
        </w:rPr>
        <w:t>Provision ceasing to have effect</w:t>
      </w:r>
    </w:p>
    <w:p w:rsidR="00EA1252" w:rsidRPr="00642BE4" w:rsidRDefault="00EA1252" w:rsidP="00EA1252">
      <w:pPr>
        <w:spacing w:after="120"/>
        <w:rPr>
          <w:rStyle w:val="CharDivNo"/>
          <w:rFonts w:cs="Arial"/>
        </w:rPr>
      </w:pPr>
      <w:r w:rsidRPr="00642BE4">
        <w:rPr>
          <w:rFonts w:cs="Arial"/>
          <w:szCs w:val="22"/>
        </w:rPr>
        <w:t>If a provision of the compiled instrument has expired or otherwise ceased to have effect in accordance with a provision of the instrument, details of the provision are set out in the endnotes.</w:t>
      </w:r>
    </w:p>
    <w:p w:rsidR="00EA1252" w:rsidRDefault="00EA1252" w:rsidP="00EA1252"/>
    <w:p w:rsidR="00EA1252" w:rsidRPr="00ED79B6" w:rsidRDefault="00EA1252" w:rsidP="00EA1252"/>
    <w:p w:rsidR="00EA1252" w:rsidRPr="00ED79B6" w:rsidRDefault="00EA1252" w:rsidP="00EA1252">
      <w:pPr>
        <w:pStyle w:val="Header"/>
        <w:tabs>
          <w:tab w:val="clear" w:pos="4150"/>
          <w:tab w:val="clear" w:pos="8307"/>
        </w:tabs>
      </w:pPr>
      <w:r w:rsidRPr="00ED79B6">
        <w:rPr>
          <w:rStyle w:val="CharChapNo"/>
        </w:rPr>
        <w:t xml:space="preserve"> </w:t>
      </w:r>
      <w:r w:rsidRPr="00ED79B6">
        <w:rPr>
          <w:rStyle w:val="CharChapText"/>
        </w:rPr>
        <w:t xml:space="preserve"> </w:t>
      </w:r>
    </w:p>
    <w:p w:rsidR="00EA1252" w:rsidRPr="00ED79B6" w:rsidRDefault="00EA1252" w:rsidP="00EA1252">
      <w:pPr>
        <w:pStyle w:val="Header"/>
        <w:tabs>
          <w:tab w:val="clear" w:pos="4150"/>
          <w:tab w:val="clear" w:pos="8307"/>
        </w:tabs>
      </w:pPr>
      <w:r w:rsidRPr="00ED79B6">
        <w:rPr>
          <w:rStyle w:val="CharPartNo"/>
        </w:rPr>
        <w:t xml:space="preserve"> </w:t>
      </w:r>
      <w:r w:rsidRPr="00ED79B6">
        <w:rPr>
          <w:rStyle w:val="CharPartText"/>
        </w:rPr>
        <w:t xml:space="preserve"> </w:t>
      </w:r>
    </w:p>
    <w:p w:rsidR="00EE3BE1" w:rsidRPr="00ED79B6" w:rsidRDefault="00EE3BE1" w:rsidP="00EE3BE1">
      <w:pPr>
        <w:pStyle w:val="Header"/>
        <w:tabs>
          <w:tab w:val="clear" w:pos="4150"/>
          <w:tab w:val="clear" w:pos="8307"/>
        </w:tabs>
      </w:pPr>
      <w:r w:rsidRPr="00ED79B6">
        <w:rPr>
          <w:rStyle w:val="CharDivNo"/>
        </w:rPr>
        <w:t xml:space="preserve"> </w:t>
      </w:r>
      <w:r w:rsidRPr="00ED79B6">
        <w:rPr>
          <w:rStyle w:val="CharDivText"/>
        </w:rPr>
        <w:t xml:space="preserve"> </w:t>
      </w:r>
    </w:p>
    <w:p w:rsidR="00EE3BE1" w:rsidRDefault="00EE3BE1" w:rsidP="00EE3BE1">
      <w:pPr>
        <w:sectPr w:rsidR="00EE3BE1" w:rsidSect="00E02272">
          <w:headerReference w:type="even" r:id="rId9"/>
          <w:headerReference w:type="default" r:id="rId10"/>
          <w:footerReference w:type="even" r:id="rId11"/>
          <w:headerReference w:type="first" r:id="rId12"/>
          <w:footerReference w:type="first" r:id="rId13"/>
          <w:pgSz w:w="11907" w:h="16839"/>
          <w:pgMar w:top="1440" w:right="1797" w:bottom="1440" w:left="1797" w:header="720" w:footer="3417" w:gutter="0"/>
          <w:cols w:space="708"/>
          <w:titlePg/>
          <w:docGrid w:linePitch="360"/>
        </w:sectPr>
      </w:pPr>
    </w:p>
    <w:p w:rsidR="002F064D" w:rsidRPr="00C72A74" w:rsidRDefault="002F064D" w:rsidP="00C72A74">
      <w:pPr>
        <w:rPr>
          <w:sz w:val="36"/>
        </w:rPr>
      </w:pPr>
      <w:r w:rsidRPr="00C72A74">
        <w:rPr>
          <w:sz w:val="36"/>
        </w:rPr>
        <w:lastRenderedPageBreak/>
        <w:t>Contents</w:t>
      </w:r>
    </w:p>
    <w:p w:rsidR="000D1512" w:rsidRDefault="00522D9F">
      <w:pPr>
        <w:pStyle w:val="TOC2"/>
        <w:rPr>
          <w:rFonts w:asciiTheme="minorHAnsi" w:eastAsiaTheme="minorEastAsia" w:hAnsiTheme="minorHAnsi" w:cstheme="minorBidi"/>
          <w:b w:val="0"/>
          <w:noProof/>
          <w:kern w:val="0"/>
          <w:sz w:val="22"/>
          <w:szCs w:val="22"/>
        </w:rPr>
      </w:pPr>
      <w:r w:rsidRPr="000D1512">
        <w:fldChar w:fldCharType="begin"/>
      </w:r>
      <w:r w:rsidR="002F064D" w:rsidRPr="00C72A74">
        <w:instrText xml:space="preserve"> TOC \o "1-9" </w:instrText>
      </w:r>
      <w:r w:rsidRPr="000D1512">
        <w:fldChar w:fldCharType="separate"/>
      </w:r>
      <w:r w:rsidR="000D1512">
        <w:rPr>
          <w:noProof/>
        </w:rPr>
        <w:t>Part 1—Preliminary</w:t>
      </w:r>
      <w:r w:rsidR="000D1512" w:rsidRPr="000D1512">
        <w:rPr>
          <w:b w:val="0"/>
          <w:noProof/>
          <w:sz w:val="18"/>
        </w:rPr>
        <w:tab/>
      </w:r>
      <w:r w:rsidR="000D1512" w:rsidRPr="000D1512">
        <w:rPr>
          <w:b w:val="0"/>
          <w:noProof/>
          <w:sz w:val="18"/>
        </w:rPr>
        <w:fldChar w:fldCharType="begin"/>
      </w:r>
      <w:r w:rsidR="000D1512" w:rsidRPr="000D1512">
        <w:rPr>
          <w:b w:val="0"/>
          <w:noProof/>
          <w:sz w:val="18"/>
        </w:rPr>
        <w:instrText xml:space="preserve"> PAGEREF _Toc359833541 \h </w:instrText>
      </w:r>
      <w:r w:rsidR="000D1512" w:rsidRPr="000D1512">
        <w:rPr>
          <w:b w:val="0"/>
          <w:noProof/>
          <w:sz w:val="18"/>
        </w:rPr>
      </w:r>
      <w:r w:rsidR="000D1512" w:rsidRPr="000D1512">
        <w:rPr>
          <w:b w:val="0"/>
          <w:noProof/>
          <w:sz w:val="18"/>
        </w:rPr>
        <w:fldChar w:fldCharType="separate"/>
      </w:r>
      <w:r w:rsidR="00881253">
        <w:rPr>
          <w:b w:val="0"/>
          <w:noProof/>
          <w:sz w:val="18"/>
        </w:rPr>
        <w:t>1</w:t>
      </w:r>
      <w:r w:rsidR="000D1512"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1.1</w:t>
      </w:r>
      <w:r>
        <w:rPr>
          <w:noProof/>
        </w:rPr>
        <w:tab/>
        <w:t>Name of Order</w:t>
      </w:r>
      <w:bookmarkStart w:id="0" w:name="_GoBack"/>
      <w:bookmarkEnd w:id="0"/>
      <w:r w:rsidRPr="000D1512">
        <w:rPr>
          <w:noProof/>
        </w:rPr>
        <w:tab/>
      </w:r>
      <w:r w:rsidRPr="000D1512">
        <w:rPr>
          <w:noProof/>
        </w:rPr>
        <w:fldChar w:fldCharType="begin"/>
      </w:r>
      <w:r w:rsidRPr="000D1512">
        <w:rPr>
          <w:noProof/>
        </w:rPr>
        <w:instrText xml:space="preserve"> PAGEREF _Toc359833542 \h </w:instrText>
      </w:r>
      <w:r w:rsidRPr="000D1512">
        <w:rPr>
          <w:noProof/>
        </w:rPr>
      </w:r>
      <w:r w:rsidRPr="000D1512">
        <w:rPr>
          <w:noProof/>
        </w:rPr>
        <w:fldChar w:fldCharType="separate"/>
      </w:r>
      <w:r w:rsidR="00881253">
        <w:rPr>
          <w:noProof/>
        </w:rPr>
        <w:t>1</w:t>
      </w:r>
      <w:r w:rsidRPr="000D1512">
        <w:rPr>
          <w:noProof/>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1.2</w:t>
      </w:r>
      <w:r>
        <w:rPr>
          <w:noProof/>
        </w:rPr>
        <w:tab/>
        <w:t>Commencement</w:t>
      </w:r>
      <w:r w:rsidRPr="000D1512">
        <w:rPr>
          <w:noProof/>
        </w:rPr>
        <w:tab/>
      </w:r>
      <w:r w:rsidRPr="000D1512">
        <w:rPr>
          <w:noProof/>
        </w:rPr>
        <w:fldChar w:fldCharType="begin"/>
      </w:r>
      <w:r w:rsidRPr="000D1512">
        <w:rPr>
          <w:noProof/>
        </w:rPr>
        <w:instrText xml:space="preserve"> PAGEREF _Toc359833543 \h </w:instrText>
      </w:r>
      <w:r w:rsidRPr="000D1512">
        <w:rPr>
          <w:noProof/>
        </w:rPr>
      </w:r>
      <w:r w:rsidRPr="000D1512">
        <w:rPr>
          <w:noProof/>
        </w:rPr>
        <w:fldChar w:fldCharType="separate"/>
      </w:r>
      <w:r w:rsidR="00881253">
        <w:rPr>
          <w:noProof/>
        </w:rPr>
        <w:t>1</w:t>
      </w:r>
      <w:r w:rsidRPr="000D1512">
        <w:rPr>
          <w:noProof/>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1.3</w:t>
      </w:r>
      <w:r>
        <w:rPr>
          <w:noProof/>
        </w:rPr>
        <w:tab/>
        <w:t>Interpretation</w:t>
      </w:r>
      <w:r w:rsidRPr="000D1512">
        <w:rPr>
          <w:noProof/>
        </w:rPr>
        <w:tab/>
      </w:r>
      <w:r w:rsidRPr="000D1512">
        <w:rPr>
          <w:noProof/>
        </w:rPr>
        <w:fldChar w:fldCharType="begin"/>
      </w:r>
      <w:r w:rsidRPr="000D1512">
        <w:rPr>
          <w:noProof/>
        </w:rPr>
        <w:instrText xml:space="preserve"> PAGEREF _Toc359833544 \h </w:instrText>
      </w:r>
      <w:r w:rsidRPr="000D1512">
        <w:rPr>
          <w:noProof/>
        </w:rPr>
      </w:r>
      <w:r w:rsidRPr="000D1512">
        <w:rPr>
          <w:noProof/>
        </w:rPr>
        <w:fldChar w:fldCharType="separate"/>
      </w:r>
      <w:r w:rsidR="00881253">
        <w:rPr>
          <w:noProof/>
        </w:rPr>
        <w:t>1</w:t>
      </w:r>
      <w:r w:rsidRPr="000D1512">
        <w:rPr>
          <w:noProof/>
        </w:rPr>
        <w:fldChar w:fldCharType="end"/>
      </w:r>
    </w:p>
    <w:p w:rsidR="000D1512" w:rsidRDefault="000D1512">
      <w:pPr>
        <w:pStyle w:val="TOC2"/>
        <w:rPr>
          <w:rFonts w:asciiTheme="minorHAnsi" w:eastAsiaTheme="minorEastAsia" w:hAnsiTheme="minorHAnsi" w:cstheme="minorBidi"/>
          <w:b w:val="0"/>
          <w:noProof/>
          <w:kern w:val="0"/>
          <w:sz w:val="22"/>
          <w:szCs w:val="22"/>
        </w:rPr>
      </w:pPr>
      <w:r>
        <w:rPr>
          <w:noProof/>
        </w:rPr>
        <w:t>Part 2—Working out production and investment amounts for ATS participants</w:t>
      </w:r>
      <w:r w:rsidRPr="000D1512">
        <w:rPr>
          <w:b w:val="0"/>
          <w:noProof/>
          <w:sz w:val="18"/>
        </w:rPr>
        <w:tab/>
      </w:r>
      <w:r w:rsidRPr="000D1512">
        <w:rPr>
          <w:b w:val="0"/>
          <w:noProof/>
          <w:sz w:val="18"/>
        </w:rPr>
        <w:fldChar w:fldCharType="begin"/>
      </w:r>
      <w:r w:rsidRPr="000D1512">
        <w:rPr>
          <w:b w:val="0"/>
          <w:noProof/>
          <w:sz w:val="18"/>
        </w:rPr>
        <w:instrText xml:space="preserve"> PAGEREF _Toc359833545 \h </w:instrText>
      </w:r>
      <w:r w:rsidRPr="000D1512">
        <w:rPr>
          <w:b w:val="0"/>
          <w:noProof/>
          <w:sz w:val="18"/>
        </w:rPr>
      </w:r>
      <w:r w:rsidRPr="000D1512">
        <w:rPr>
          <w:b w:val="0"/>
          <w:noProof/>
          <w:sz w:val="18"/>
        </w:rPr>
        <w:fldChar w:fldCharType="separate"/>
      </w:r>
      <w:r w:rsidR="00881253">
        <w:rPr>
          <w:b w:val="0"/>
          <w:noProof/>
          <w:sz w:val="18"/>
        </w:rPr>
        <w:t>3</w:t>
      </w:r>
      <w:r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2.1</w:t>
      </w:r>
      <w:r>
        <w:rPr>
          <w:noProof/>
        </w:rPr>
        <w:tab/>
        <w:t>Working out production amounts for MVPs</w:t>
      </w:r>
      <w:r w:rsidRPr="000D1512">
        <w:rPr>
          <w:noProof/>
        </w:rPr>
        <w:tab/>
      </w:r>
      <w:r w:rsidRPr="000D1512">
        <w:rPr>
          <w:noProof/>
        </w:rPr>
        <w:fldChar w:fldCharType="begin"/>
      </w:r>
      <w:r w:rsidRPr="000D1512">
        <w:rPr>
          <w:noProof/>
        </w:rPr>
        <w:instrText xml:space="preserve"> PAGEREF _Toc359833546 \h </w:instrText>
      </w:r>
      <w:r w:rsidRPr="000D1512">
        <w:rPr>
          <w:noProof/>
        </w:rPr>
      </w:r>
      <w:r w:rsidRPr="000D1512">
        <w:rPr>
          <w:noProof/>
        </w:rPr>
        <w:fldChar w:fldCharType="separate"/>
      </w:r>
      <w:r w:rsidR="00881253">
        <w:rPr>
          <w:noProof/>
        </w:rPr>
        <w:t>3</w:t>
      </w:r>
      <w:r w:rsidRPr="000D1512">
        <w:rPr>
          <w:noProof/>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2.2</w:t>
      </w:r>
      <w:r>
        <w:rPr>
          <w:noProof/>
        </w:rPr>
        <w:tab/>
        <w:t>Working out capped investment amounts for MVPs</w:t>
      </w:r>
      <w:r w:rsidRPr="000D1512">
        <w:rPr>
          <w:noProof/>
        </w:rPr>
        <w:tab/>
      </w:r>
      <w:r w:rsidRPr="000D1512">
        <w:rPr>
          <w:noProof/>
        </w:rPr>
        <w:fldChar w:fldCharType="begin"/>
      </w:r>
      <w:r w:rsidRPr="000D1512">
        <w:rPr>
          <w:noProof/>
        </w:rPr>
        <w:instrText xml:space="preserve"> PAGEREF _Toc359833547 \h </w:instrText>
      </w:r>
      <w:r w:rsidRPr="000D1512">
        <w:rPr>
          <w:noProof/>
        </w:rPr>
      </w:r>
      <w:r w:rsidRPr="000D1512">
        <w:rPr>
          <w:noProof/>
        </w:rPr>
        <w:fldChar w:fldCharType="separate"/>
      </w:r>
      <w:r w:rsidR="00881253">
        <w:rPr>
          <w:noProof/>
        </w:rPr>
        <w:t>4</w:t>
      </w:r>
      <w:r w:rsidRPr="000D1512">
        <w:rPr>
          <w:noProof/>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2.3</w:t>
      </w:r>
      <w:r>
        <w:rPr>
          <w:noProof/>
        </w:rPr>
        <w:tab/>
        <w:t>Working out capped investment amounts for non</w:t>
      </w:r>
      <w:r>
        <w:rPr>
          <w:noProof/>
        </w:rPr>
        <w:noBreakHyphen/>
        <w:t>MVPs</w:t>
      </w:r>
      <w:r w:rsidRPr="000D1512">
        <w:rPr>
          <w:noProof/>
        </w:rPr>
        <w:tab/>
      </w:r>
      <w:r w:rsidRPr="000D1512">
        <w:rPr>
          <w:noProof/>
        </w:rPr>
        <w:fldChar w:fldCharType="begin"/>
      </w:r>
      <w:r w:rsidRPr="000D1512">
        <w:rPr>
          <w:noProof/>
        </w:rPr>
        <w:instrText xml:space="preserve"> PAGEREF _Toc359833548 \h </w:instrText>
      </w:r>
      <w:r w:rsidRPr="000D1512">
        <w:rPr>
          <w:noProof/>
        </w:rPr>
      </w:r>
      <w:r w:rsidRPr="000D1512">
        <w:rPr>
          <w:noProof/>
        </w:rPr>
        <w:fldChar w:fldCharType="separate"/>
      </w:r>
      <w:r w:rsidR="00881253">
        <w:rPr>
          <w:noProof/>
        </w:rPr>
        <w:t>5</w:t>
      </w:r>
      <w:r w:rsidRPr="000D1512">
        <w:rPr>
          <w:noProof/>
        </w:rPr>
        <w:fldChar w:fldCharType="end"/>
      </w:r>
    </w:p>
    <w:p w:rsidR="000D1512" w:rsidRDefault="000D1512">
      <w:pPr>
        <w:pStyle w:val="TOC2"/>
        <w:rPr>
          <w:rFonts w:asciiTheme="minorHAnsi" w:eastAsiaTheme="minorEastAsia" w:hAnsiTheme="minorHAnsi" w:cstheme="minorBidi"/>
          <w:b w:val="0"/>
          <w:noProof/>
          <w:kern w:val="0"/>
          <w:sz w:val="22"/>
          <w:szCs w:val="22"/>
        </w:rPr>
      </w:pPr>
      <w:r>
        <w:rPr>
          <w:noProof/>
        </w:rPr>
        <w:t>Part 3—Working out quarterly modulation rates and assistance for an ATS year</w:t>
      </w:r>
      <w:r w:rsidRPr="000D1512">
        <w:rPr>
          <w:b w:val="0"/>
          <w:noProof/>
          <w:sz w:val="18"/>
        </w:rPr>
        <w:tab/>
      </w:r>
      <w:r w:rsidRPr="000D1512">
        <w:rPr>
          <w:b w:val="0"/>
          <w:noProof/>
          <w:sz w:val="18"/>
        </w:rPr>
        <w:fldChar w:fldCharType="begin"/>
      </w:r>
      <w:r w:rsidRPr="000D1512">
        <w:rPr>
          <w:b w:val="0"/>
          <w:noProof/>
          <w:sz w:val="18"/>
        </w:rPr>
        <w:instrText xml:space="preserve"> PAGEREF _Toc359833549 \h </w:instrText>
      </w:r>
      <w:r w:rsidRPr="000D1512">
        <w:rPr>
          <w:b w:val="0"/>
          <w:noProof/>
          <w:sz w:val="18"/>
        </w:rPr>
      </w:r>
      <w:r w:rsidRPr="000D1512">
        <w:rPr>
          <w:b w:val="0"/>
          <w:noProof/>
          <w:sz w:val="18"/>
        </w:rPr>
        <w:fldChar w:fldCharType="separate"/>
      </w:r>
      <w:r w:rsidR="00881253">
        <w:rPr>
          <w:b w:val="0"/>
          <w:noProof/>
          <w:sz w:val="18"/>
        </w:rPr>
        <w:t>7</w:t>
      </w:r>
      <w:r w:rsidRPr="000D1512">
        <w:rPr>
          <w:b w:val="0"/>
          <w:noProof/>
          <w:sz w:val="18"/>
        </w:rPr>
        <w:fldChar w:fldCharType="end"/>
      </w:r>
    </w:p>
    <w:p w:rsidR="000D1512" w:rsidRDefault="000D1512">
      <w:pPr>
        <w:pStyle w:val="TOC3"/>
        <w:rPr>
          <w:rFonts w:asciiTheme="minorHAnsi" w:eastAsiaTheme="minorEastAsia" w:hAnsiTheme="minorHAnsi" w:cstheme="minorBidi"/>
          <w:b w:val="0"/>
          <w:noProof/>
          <w:kern w:val="0"/>
          <w:szCs w:val="22"/>
        </w:rPr>
      </w:pPr>
      <w:r>
        <w:rPr>
          <w:noProof/>
        </w:rPr>
        <w:t>Division 3.1—General</w:t>
      </w:r>
      <w:r w:rsidRPr="000D1512">
        <w:rPr>
          <w:b w:val="0"/>
          <w:noProof/>
          <w:sz w:val="18"/>
        </w:rPr>
        <w:tab/>
      </w:r>
      <w:r w:rsidRPr="000D1512">
        <w:rPr>
          <w:b w:val="0"/>
          <w:noProof/>
          <w:sz w:val="18"/>
        </w:rPr>
        <w:fldChar w:fldCharType="begin"/>
      </w:r>
      <w:r w:rsidRPr="000D1512">
        <w:rPr>
          <w:b w:val="0"/>
          <w:noProof/>
          <w:sz w:val="18"/>
        </w:rPr>
        <w:instrText xml:space="preserve"> PAGEREF _Toc359833550 \h </w:instrText>
      </w:r>
      <w:r w:rsidRPr="000D1512">
        <w:rPr>
          <w:b w:val="0"/>
          <w:noProof/>
          <w:sz w:val="18"/>
        </w:rPr>
      </w:r>
      <w:r w:rsidRPr="000D1512">
        <w:rPr>
          <w:b w:val="0"/>
          <w:noProof/>
          <w:sz w:val="18"/>
        </w:rPr>
        <w:fldChar w:fldCharType="separate"/>
      </w:r>
      <w:r w:rsidR="00881253">
        <w:rPr>
          <w:b w:val="0"/>
          <w:noProof/>
          <w:sz w:val="18"/>
        </w:rPr>
        <w:t>7</w:t>
      </w:r>
      <w:r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3.1</w:t>
      </w:r>
      <w:r>
        <w:rPr>
          <w:noProof/>
        </w:rPr>
        <w:tab/>
        <w:t>Secretary to work out modulation rates and assistance for ATS participants</w:t>
      </w:r>
      <w:r w:rsidRPr="000D1512">
        <w:rPr>
          <w:noProof/>
        </w:rPr>
        <w:tab/>
      </w:r>
      <w:r w:rsidRPr="000D1512">
        <w:rPr>
          <w:noProof/>
        </w:rPr>
        <w:fldChar w:fldCharType="begin"/>
      </w:r>
      <w:r w:rsidRPr="000D1512">
        <w:rPr>
          <w:noProof/>
        </w:rPr>
        <w:instrText xml:space="preserve"> PAGEREF _Toc359833551 \h </w:instrText>
      </w:r>
      <w:r w:rsidRPr="000D1512">
        <w:rPr>
          <w:noProof/>
        </w:rPr>
      </w:r>
      <w:r w:rsidRPr="000D1512">
        <w:rPr>
          <w:noProof/>
        </w:rPr>
        <w:fldChar w:fldCharType="separate"/>
      </w:r>
      <w:r w:rsidR="00881253">
        <w:rPr>
          <w:noProof/>
        </w:rPr>
        <w:t>7</w:t>
      </w:r>
      <w:r w:rsidRPr="000D1512">
        <w:rPr>
          <w:noProof/>
        </w:rPr>
        <w:fldChar w:fldCharType="end"/>
      </w:r>
    </w:p>
    <w:p w:rsidR="000D1512" w:rsidRDefault="000D1512">
      <w:pPr>
        <w:pStyle w:val="TOC3"/>
        <w:rPr>
          <w:rFonts w:asciiTheme="minorHAnsi" w:eastAsiaTheme="minorEastAsia" w:hAnsiTheme="minorHAnsi" w:cstheme="minorBidi"/>
          <w:b w:val="0"/>
          <w:noProof/>
          <w:kern w:val="0"/>
          <w:szCs w:val="22"/>
        </w:rPr>
      </w:pPr>
      <w:r>
        <w:rPr>
          <w:noProof/>
        </w:rPr>
        <w:t>Division 3.2—MVP modulation rate for a quarter</w:t>
      </w:r>
      <w:r w:rsidRPr="000D1512">
        <w:rPr>
          <w:b w:val="0"/>
          <w:noProof/>
          <w:sz w:val="18"/>
        </w:rPr>
        <w:tab/>
      </w:r>
      <w:r w:rsidRPr="000D1512">
        <w:rPr>
          <w:b w:val="0"/>
          <w:noProof/>
          <w:sz w:val="18"/>
        </w:rPr>
        <w:fldChar w:fldCharType="begin"/>
      </w:r>
      <w:r w:rsidRPr="000D1512">
        <w:rPr>
          <w:b w:val="0"/>
          <w:noProof/>
          <w:sz w:val="18"/>
        </w:rPr>
        <w:instrText xml:space="preserve"> PAGEREF _Toc359833552 \h </w:instrText>
      </w:r>
      <w:r w:rsidRPr="000D1512">
        <w:rPr>
          <w:b w:val="0"/>
          <w:noProof/>
          <w:sz w:val="18"/>
        </w:rPr>
      </w:r>
      <w:r w:rsidRPr="000D1512">
        <w:rPr>
          <w:b w:val="0"/>
          <w:noProof/>
          <w:sz w:val="18"/>
        </w:rPr>
        <w:fldChar w:fldCharType="separate"/>
      </w:r>
      <w:r w:rsidR="00881253">
        <w:rPr>
          <w:b w:val="0"/>
          <w:noProof/>
          <w:sz w:val="18"/>
        </w:rPr>
        <w:t>8</w:t>
      </w:r>
      <w:r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3.2</w:t>
      </w:r>
      <w:r>
        <w:rPr>
          <w:noProof/>
        </w:rPr>
        <w:tab/>
        <w:t>Working out of modulation rate for certain quarters</w:t>
      </w:r>
      <w:r w:rsidRPr="000D1512">
        <w:rPr>
          <w:noProof/>
        </w:rPr>
        <w:tab/>
      </w:r>
      <w:r w:rsidRPr="000D1512">
        <w:rPr>
          <w:noProof/>
        </w:rPr>
        <w:fldChar w:fldCharType="begin"/>
      </w:r>
      <w:r w:rsidRPr="000D1512">
        <w:rPr>
          <w:noProof/>
        </w:rPr>
        <w:instrText xml:space="preserve"> PAGEREF _Toc359833553 \h </w:instrText>
      </w:r>
      <w:r w:rsidRPr="000D1512">
        <w:rPr>
          <w:noProof/>
        </w:rPr>
      </w:r>
      <w:r w:rsidRPr="000D1512">
        <w:rPr>
          <w:noProof/>
        </w:rPr>
        <w:fldChar w:fldCharType="separate"/>
      </w:r>
      <w:r w:rsidR="00881253">
        <w:rPr>
          <w:noProof/>
        </w:rPr>
        <w:t>8</w:t>
      </w:r>
      <w:r w:rsidRPr="000D1512">
        <w:rPr>
          <w:noProof/>
        </w:rPr>
        <w:fldChar w:fldCharType="end"/>
      </w:r>
    </w:p>
    <w:p w:rsidR="000D1512" w:rsidRDefault="000D1512">
      <w:pPr>
        <w:pStyle w:val="TOC3"/>
        <w:rPr>
          <w:rFonts w:asciiTheme="minorHAnsi" w:eastAsiaTheme="minorEastAsia" w:hAnsiTheme="minorHAnsi" w:cstheme="minorBidi"/>
          <w:b w:val="0"/>
          <w:noProof/>
          <w:kern w:val="0"/>
          <w:szCs w:val="22"/>
        </w:rPr>
      </w:pPr>
      <w:r>
        <w:rPr>
          <w:noProof/>
        </w:rPr>
        <w:t>Division 3.3—Individual MVP quarterly assistance</w:t>
      </w:r>
      <w:r w:rsidRPr="000D1512">
        <w:rPr>
          <w:b w:val="0"/>
          <w:noProof/>
          <w:sz w:val="18"/>
        </w:rPr>
        <w:tab/>
      </w:r>
      <w:r w:rsidRPr="000D1512">
        <w:rPr>
          <w:b w:val="0"/>
          <w:noProof/>
          <w:sz w:val="18"/>
        </w:rPr>
        <w:fldChar w:fldCharType="begin"/>
      </w:r>
      <w:r w:rsidRPr="000D1512">
        <w:rPr>
          <w:b w:val="0"/>
          <w:noProof/>
          <w:sz w:val="18"/>
        </w:rPr>
        <w:instrText xml:space="preserve"> PAGEREF _Toc359833554 \h </w:instrText>
      </w:r>
      <w:r w:rsidRPr="000D1512">
        <w:rPr>
          <w:b w:val="0"/>
          <w:noProof/>
          <w:sz w:val="18"/>
        </w:rPr>
      </w:r>
      <w:r w:rsidRPr="000D1512">
        <w:rPr>
          <w:b w:val="0"/>
          <w:noProof/>
          <w:sz w:val="18"/>
        </w:rPr>
        <w:fldChar w:fldCharType="separate"/>
      </w:r>
      <w:r w:rsidR="00881253">
        <w:rPr>
          <w:b w:val="0"/>
          <w:noProof/>
          <w:sz w:val="18"/>
        </w:rPr>
        <w:t>10</w:t>
      </w:r>
      <w:r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3.3</w:t>
      </w:r>
      <w:r>
        <w:rPr>
          <w:noProof/>
        </w:rPr>
        <w:tab/>
        <w:t>Working out of quarterly assistance for all quarters</w:t>
      </w:r>
      <w:r w:rsidRPr="000D1512">
        <w:rPr>
          <w:noProof/>
        </w:rPr>
        <w:tab/>
      </w:r>
      <w:r w:rsidRPr="000D1512">
        <w:rPr>
          <w:noProof/>
        </w:rPr>
        <w:fldChar w:fldCharType="begin"/>
      </w:r>
      <w:r w:rsidRPr="000D1512">
        <w:rPr>
          <w:noProof/>
        </w:rPr>
        <w:instrText xml:space="preserve"> PAGEREF _Toc359833555 \h </w:instrText>
      </w:r>
      <w:r w:rsidRPr="000D1512">
        <w:rPr>
          <w:noProof/>
        </w:rPr>
      </w:r>
      <w:r w:rsidRPr="000D1512">
        <w:rPr>
          <w:noProof/>
        </w:rPr>
        <w:fldChar w:fldCharType="separate"/>
      </w:r>
      <w:r w:rsidR="00881253">
        <w:rPr>
          <w:noProof/>
        </w:rPr>
        <w:t>10</w:t>
      </w:r>
      <w:r w:rsidRPr="000D1512">
        <w:rPr>
          <w:noProof/>
        </w:rPr>
        <w:fldChar w:fldCharType="end"/>
      </w:r>
    </w:p>
    <w:p w:rsidR="000D1512" w:rsidRDefault="000D1512">
      <w:pPr>
        <w:pStyle w:val="TOC3"/>
        <w:rPr>
          <w:rFonts w:asciiTheme="minorHAnsi" w:eastAsiaTheme="minorEastAsia" w:hAnsiTheme="minorHAnsi" w:cstheme="minorBidi"/>
          <w:b w:val="0"/>
          <w:noProof/>
          <w:kern w:val="0"/>
          <w:szCs w:val="22"/>
        </w:rPr>
      </w:pPr>
      <w:r>
        <w:rPr>
          <w:noProof/>
        </w:rPr>
        <w:t>Division 3.4—Non</w:t>
      </w:r>
      <w:r>
        <w:rPr>
          <w:noProof/>
        </w:rPr>
        <w:noBreakHyphen/>
        <w:t>MVP modulation rate for a quarter</w:t>
      </w:r>
      <w:r w:rsidRPr="000D1512">
        <w:rPr>
          <w:b w:val="0"/>
          <w:noProof/>
          <w:sz w:val="18"/>
        </w:rPr>
        <w:tab/>
      </w:r>
      <w:r w:rsidRPr="000D1512">
        <w:rPr>
          <w:b w:val="0"/>
          <w:noProof/>
          <w:sz w:val="18"/>
        </w:rPr>
        <w:fldChar w:fldCharType="begin"/>
      </w:r>
      <w:r w:rsidRPr="000D1512">
        <w:rPr>
          <w:b w:val="0"/>
          <w:noProof/>
          <w:sz w:val="18"/>
        </w:rPr>
        <w:instrText xml:space="preserve"> PAGEREF _Toc359833556 \h </w:instrText>
      </w:r>
      <w:r w:rsidRPr="000D1512">
        <w:rPr>
          <w:b w:val="0"/>
          <w:noProof/>
          <w:sz w:val="18"/>
        </w:rPr>
      </w:r>
      <w:r w:rsidRPr="000D1512">
        <w:rPr>
          <w:b w:val="0"/>
          <w:noProof/>
          <w:sz w:val="18"/>
        </w:rPr>
        <w:fldChar w:fldCharType="separate"/>
      </w:r>
      <w:r w:rsidR="00881253">
        <w:rPr>
          <w:b w:val="0"/>
          <w:noProof/>
          <w:sz w:val="18"/>
        </w:rPr>
        <w:t>11</w:t>
      </w:r>
      <w:r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3.4</w:t>
      </w:r>
      <w:r>
        <w:rPr>
          <w:noProof/>
        </w:rPr>
        <w:tab/>
        <w:t>Working out of modulation rate for certain quarters</w:t>
      </w:r>
      <w:r w:rsidRPr="000D1512">
        <w:rPr>
          <w:noProof/>
        </w:rPr>
        <w:tab/>
      </w:r>
      <w:r w:rsidRPr="000D1512">
        <w:rPr>
          <w:noProof/>
        </w:rPr>
        <w:fldChar w:fldCharType="begin"/>
      </w:r>
      <w:r w:rsidRPr="000D1512">
        <w:rPr>
          <w:noProof/>
        </w:rPr>
        <w:instrText xml:space="preserve"> PAGEREF _Toc359833557 \h </w:instrText>
      </w:r>
      <w:r w:rsidRPr="000D1512">
        <w:rPr>
          <w:noProof/>
        </w:rPr>
      </w:r>
      <w:r w:rsidRPr="000D1512">
        <w:rPr>
          <w:noProof/>
        </w:rPr>
        <w:fldChar w:fldCharType="separate"/>
      </w:r>
      <w:r w:rsidR="00881253">
        <w:rPr>
          <w:noProof/>
        </w:rPr>
        <w:t>11</w:t>
      </w:r>
      <w:r w:rsidRPr="000D1512">
        <w:rPr>
          <w:noProof/>
        </w:rPr>
        <w:fldChar w:fldCharType="end"/>
      </w:r>
    </w:p>
    <w:p w:rsidR="000D1512" w:rsidRDefault="000D1512">
      <w:pPr>
        <w:pStyle w:val="TOC3"/>
        <w:rPr>
          <w:rFonts w:asciiTheme="minorHAnsi" w:eastAsiaTheme="minorEastAsia" w:hAnsiTheme="minorHAnsi" w:cstheme="minorBidi"/>
          <w:b w:val="0"/>
          <w:noProof/>
          <w:kern w:val="0"/>
          <w:szCs w:val="22"/>
        </w:rPr>
      </w:pPr>
      <w:r>
        <w:rPr>
          <w:noProof/>
        </w:rPr>
        <w:t>Division 3.5—Individual non</w:t>
      </w:r>
      <w:r>
        <w:rPr>
          <w:noProof/>
        </w:rPr>
        <w:noBreakHyphen/>
        <w:t>MVP quarterly assistance</w:t>
      </w:r>
      <w:r w:rsidRPr="000D1512">
        <w:rPr>
          <w:b w:val="0"/>
          <w:noProof/>
          <w:sz w:val="18"/>
        </w:rPr>
        <w:tab/>
      </w:r>
      <w:r w:rsidRPr="000D1512">
        <w:rPr>
          <w:b w:val="0"/>
          <w:noProof/>
          <w:sz w:val="18"/>
        </w:rPr>
        <w:fldChar w:fldCharType="begin"/>
      </w:r>
      <w:r w:rsidRPr="000D1512">
        <w:rPr>
          <w:b w:val="0"/>
          <w:noProof/>
          <w:sz w:val="18"/>
        </w:rPr>
        <w:instrText xml:space="preserve"> PAGEREF _Toc359833558 \h </w:instrText>
      </w:r>
      <w:r w:rsidRPr="000D1512">
        <w:rPr>
          <w:b w:val="0"/>
          <w:noProof/>
          <w:sz w:val="18"/>
        </w:rPr>
      </w:r>
      <w:r w:rsidRPr="000D1512">
        <w:rPr>
          <w:b w:val="0"/>
          <w:noProof/>
          <w:sz w:val="18"/>
        </w:rPr>
        <w:fldChar w:fldCharType="separate"/>
      </w:r>
      <w:r w:rsidR="00881253">
        <w:rPr>
          <w:b w:val="0"/>
          <w:noProof/>
          <w:sz w:val="18"/>
        </w:rPr>
        <w:t>13</w:t>
      </w:r>
      <w:r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3.5</w:t>
      </w:r>
      <w:r>
        <w:rPr>
          <w:noProof/>
        </w:rPr>
        <w:tab/>
        <w:t>Working out of quarterly assistance for all quarters</w:t>
      </w:r>
      <w:r w:rsidRPr="000D1512">
        <w:rPr>
          <w:noProof/>
        </w:rPr>
        <w:tab/>
      </w:r>
      <w:r w:rsidRPr="000D1512">
        <w:rPr>
          <w:noProof/>
        </w:rPr>
        <w:fldChar w:fldCharType="begin"/>
      </w:r>
      <w:r w:rsidRPr="000D1512">
        <w:rPr>
          <w:noProof/>
        </w:rPr>
        <w:instrText xml:space="preserve"> PAGEREF _Toc359833559 \h </w:instrText>
      </w:r>
      <w:r w:rsidRPr="000D1512">
        <w:rPr>
          <w:noProof/>
        </w:rPr>
      </w:r>
      <w:r w:rsidRPr="000D1512">
        <w:rPr>
          <w:noProof/>
        </w:rPr>
        <w:fldChar w:fldCharType="separate"/>
      </w:r>
      <w:r w:rsidR="00881253">
        <w:rPr>
          <w:noProof/>
        </w:rPr>
        <w:t>13</w:t>
      </w:r>
      <w:r w:rsidRPr="000D1512">
        <w:rPr>
          <w:noProof/>
        </w:rPr>
        <w:fldChar w:fldCharType="end"/>
      </w:r>
    </w:p>
    <w:p w:rsidR="000D1512" w:rsidRDefault="000D1512">
      <w:pPr>
        <w:pStyle w:val="TOC2"/>
        <w:rPr>
          <w:rFonts w:asciiTheme="minorHAnsi" w:eastAsiaTheme="minorEastAsia" w:hAnsiTheme="minorHAnsi" w:cstheme="minorBidi"/>
          <w:b w:val="0"/>
          <w:noProof/>
          <w:kern w:val="0"/>
          <w:sz w:val="22"/>
          <w:szCs w:val="22"/>
        </w:rPr>
      </w:pPr>
      <w:r>
        <w:rPr>
          <w:noProof/>
        </w:rPr>
        <w:t>Part 4—Other Commonwealth assistance</w:t>
      </w:r>
      <w:r w:rsidRPr="000D1512">
        <w:rPr>
          <w:b w:val="0"/>
          <w:noProof/>
          <w:sz w:val="18"/>
        </w:rPr>
        <w:tab/>
      </w:r>
      <w:r w:rsidRPr="000D1512">
        <w:rPr>
          <w:b w:val="0"/>
          <w:noProof/>
          <w:sz w:val="18"/>
        </w:rPr>
        <w:fldChar w:fldCharType="begin"/>
      </w:r>
      <w:r w:rsidRPr="000D1512">
        <w:rPr>
          <w:b w:val="0"/>
          <w:noProof/>
          <w:sz w:val="18"/>
        </w:rPr>
        <w:instrText xml:space="preserve"> PAGEREF _Toc359833560 \h </w:instrText>
      </w:r>
      <w:r w:rsidRPr="000D1512">
        <w:rPr>
          <w:b w:val="0"/>
          <w:noProof/>
          <w:sz w:val="18"/>
        </w:rPr>
      </w:r>
      <w:r w:rsidRPr="000D1512">
        <w:rPr>
          <w:b w:val="0"/>
          <w:noProof/>
          <w:sz w:val="18"/>
        </w:rPr>
        <w:fldChar w:fldCharType="separate"/>
      </w:r>
      <w:r w:rsidR="00881253">
        <w:rPr>
          <w:b w:val="0"/>
          <w:noProof/>
          <w:sz w:val="18"/>
        </w:rPr>
        <w:t>14</w:t>
      </w:r>
      <w:r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4.1</w:t>
      </w:r>
      <w:r>
        <w:rPr>
          <w:noProof/>
        </w:rPr>
        <w:tab/>
        <w:t xml:space="preserve">Meaning of </w:t>
      </w:r>
      <w:r w:rsidRPr="00EC18F1">
        <w:rPr>
          <w:i/>
          <w:noProof/>
        </w:rPr>
        <w:t>other Commonwealth assistance</w:t>
      </w:r>
      <w:r w:rsidRPr="000D1512">
        <w:rPr>
          <w:noProof/>
        </w:rPr>
        <w:tab/>
      </w:r>
      <w:r w:rsidRPr="000D1512">
        <w:rPr>
          <w:noProof/>
        </w:rPr>
        <w:fldChar w:fldCharType="begin"/>
      </w:r>
      <w:r w:rsidRPr="000D1512">
        <w:rPr>
          <w:noProof/>
        </w:rPr>
        <w:instrText xml:space="preserve"> PAGEREF _Toc359833561 \h </w:instrText>
      </w:r>
      <w:r w:rsidRPr="000D1512">
        <w:rPr>
          <w:noProof/>
        </w:rPr>
      </w:r>
      <w:r w:rsidRPr="000D1512">
        <w:rPr>
          <w:noProof/>
        </w:rPr>
        <w:fldChar w:fldCharType="separate"/>
      </w:r>
      <w:r w:rsidR="00881253">
        <w:rPr>
          <w:noProof/>
        </w:rPr>
        <w:t>14</w:t>
      </w:r>
      <w:r w:rsidRPr="000D1512">
        <w:rPr>
          <w:noProof/>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4.2</w:t>
      </w:r>
      <w:r>
        <w:rPr>
          <w:noProof/>
        </w:rPr>
        <w:tab/>
        <w:t>Other Commonwealth assistance that is not financial assistance</w:t>
      </w:r>
      <w:r w:rsidRPr="000D1512">
        <w:rPr>
          <w:noProof/>
        </w:rPr>
        <w:tab/>
      </w:r>
      <w:r w:rsidRPr="000D1512">
        <w:rPr>
          <w:noProof/>
        </w:rPr>
        <w:fldChar w:fldCharType="begin"/>
      </w:r>
      <w:r w:rsidRPr="000D1512">
        <w:rPr>
          <w:noProof/>
        </w:rPr>
        <w:instrText xml:space="preserve"> PAGEREF _Toc359833562 \h </w:instrText>
      </w:r>
      <w:r w:rsidRPr="000D1512">
        <w:rPr>
          <w:noProof/>
        </w:rPr>
      </w:r>
      <w:r w:rsidRPr="000D1512">
        <w:rPr>
          <w:noProof/>
        </w:rPr>
        <w:fldChar w:fldCharType="separate"/>
      </w:r>
      <w:r w:rsidR="00881253">
        <w:rPr>
          <w:noProof/>
        </w:rPr>
        <w:t>14</w:t>
      </w:r>
      <w:r w:rsidRPr="000D1512">
        <w:rPr>
          <w:noProof/>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4.3</w:t>
      </w:r>
      <w:r>
        <w:rPr>
          <w:noProof/>
        </w:rPr>
        <w:tab/>
        <w:t>Working out the amount of other Commonwealth assistance</w:t>
      </w:r>
      <w:r w:rsidRPr="000D1512">
        <w:rPr>
          <w:noProof/>
        </w:rPr>
        <w:tab/>
      </w:r>
      <w:r w:rsidRPr="000D1512">
        <w:rPr>
          <w:noProof/>
        </w:rPr>
        <w:fldChar w:fldCharType="begin"/>
      </w:r>
      <w:r w:rsidRPr="000D1512">
        <w:rPr>
          <w:noProof/>
        </w:rPr>
        <w:instrText xml:space="preserve"> PAGEREF _Toc359833563 \h </w:instrText>
      </w:r>
      <w:r w:rsidRPr="000D1512">
        <w:rPr>
          <w:noProof/>
        </w:rPr>
      </w:r>
      <w:r w:rsidRPr="000D1512">
        <w:rPr>
          <w:noProof/>
        </w:rPr>
        <w:fldChar w:fldCharType="separate"/>
      </w:r>
      <w:r w:rsidR="00881253">
        <w:rPr>
          <w:noProof/>
        </w:rPr>
        <w:t>15</w:t>
      </w:r>
      <w:r w:rsidRPr="000D1512">
        <w:rPr>
          <w:noProof/>
        </w:rPr>
        <w:fldChar w:fldCharType="end"/>
      </w:r>
    </w:p>
    <w:p w:rsidR="000D1512" w:rsidRDefault="000D1512">
      <w:pPr>
        <w:pStyle w:val="TOC2"/>
        <w:rPr>
          <w:rFonts w:asciiTheme="minorHAnsi" w:eastAsiaTheme="minorEastAsia" w:hAnsiTheme="minorHAnsi" w:cstheme="minorBidi"/>
          <w:b w:val="0"/>
          <w:noProof/>
          <w:kern w:val="0"/>
          <w:sz w:val="22"/>
          <w:szCs w:val="22"/>
        </w:rPr>
      </w:pPr>
      <w:r>
        <w:rPr>
          <w:noProof/>
        </w:rPr>
        <w:t>Part 5—Miscellaneous</w:t>
      </w:r>
      <w:r w:rsidRPr="000D1512">
        <w:rPr>
          <w:b w:val="0"/>
          <w:noProof/>
          <w:sz w:val="18"/>
        </w:rPr>
        <w:tab/>
      </w:r>
      <w:r w:rsidRPr="000D1512">
        <w:rPr>
          <w:b w:val="0"/>
          <w:noProof/>
          <w:sz w:val="18"/>
        </w:rPr>
        <w:fldChar w:fldCharType="begin"/>
      </w:r>
      <w:r w:rsidRPr="000D1512">
        <w:rPr>
          <w:b w:val="0"/>
          <w:noProof/>
          <w:sz w:val="18"/>
        </w:rPr>
        <w:instrText xml:space="preserve"> PAGEREF _Toc359833564 \h </w:instrText>
      </w:r>
      <w:r w:rsidRPr="000D1512">
        <w:rPr>
          <w:b w:val="0"/>
          <w:noProof/>
          <w:sz w:val="18"/>
        </w:rPr>
      </w:r>
      <w:r w:rsidRPr="000D1512">
        <w:rPr>
          <w:b w:val="0"/>
          <w:noProof/>
          <w:sz w:val="18"/>
        </w:rPr>
        <w:fldChar w:fldCharType="separate"/>
      </w:r>
      <w:r w:rsidR="00881253">
        <w:rPr>
          <w:b w:val="0"/>
          <w:noProof/>
          <w:sz w:val="18"/>
        </w:rPr>
        <w:t>16</w:t>
      </w:r>
      <w:r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5.1</w:t>
      </w:r>
      <w:r>
        <w:rPr>
          <w:noProof/>
        </w:rPr>
        <w:tab/>
        <w:t>Particulars to be included in business plan etc</w:t>
      </w:r>
      <w:r w:rsidRPr="000D1512">
        <w:rPr>
          <w:noProof/>
        </w:rPr>
        <w:tab/>
      </w:r>
      <w:r w:rsidRPr="000D1512">
        <w:rPr>
          <w:noProof/>
        </w:rPr>
        <w:fldChar w:fldCharType="begin"/>
      </w:r>
      <w:r w:rsidRPr="000D1512">
        <w:rPr>
          <w:noProof/>
        </w:rPr>
        <w:instrText xml:space="preserve"> PAGEREF _Toc359833565 \h </w:instrText>
      </w:r>
      <w:r w:rsidRPr="000D1512">
        <w:rPr>
          <w:noProof/>
        </w:rPr>
      </w:r>
      <w:r w:rsidRPr="000D1512">
        <w:rPr>
          <w:noProof/>
        </w:rPr>
        <w:fldChar w:fldCharType="separate"/>
      </w:r>
      <w:r w:rsidR="00881253">
        <w:rPr>
          <w:noProof/>
        </w:rPr>
        <w:t>16</w:t>
      </w:r>
      <w:r w:rsidRPr="000D1512">
        <w:rPr>
          <w:noProof/>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5.2</w:t>
      </w:r>
      <w:r>
        <w:rPr>
          <w:noProof/>
        </w:rPr>
        <w:tab/>
        <w:t>Transitional: relevant quarter for recognition of eligible investments</w:t>
      </w:r>
      <w:r w:rsidRPr="000D1512">
        <w:rPr>
          <w:noProof/>
        </w:rPr>
        <w:tab/>
      </w:r>
      <w:r w:rsidRPr="000D1512">
        <w:rPr>
          <w:noProof/>
        </w:rPr>
        <w:fldChar w:fldCharType="begin"/>
      </w:r>
      <w:r w:rsidRPr="000D1512">
        <w:rPr>
          <w:noProof/>
        </w:rPr>
        <w:instrText xml:space="preserve"> PAGEREF _Toc359833566 \h </w:instrText>
      </w:r>
      <w:r w:rsidRPr="000D1512">
        <w:rPr>
          <w:noProof/>
        </w:rPr>
      </w:r>
      <w:r w:rsidRPr="000D1512">
        <w:rPr>
          <w:noProof/>
        </w:rPr>
        <w:fldChar w:fldCharType="separate"/>
      </w:r>
      <w:r w:rsidR="00881253">
        <w:rPr>
          <w:noProof/>
        </w:rPr>
        <w:t>16</w:t>
      </w:r>
      <w:r w:rsidRPr="000D1512">
        <w:rPr>
          <w:noProof/>
        </w:rPr>
        <w:fldChar w:fldCharType="end"/>
      </w:r>
    </w:p>
    <w:p w:rsidR="000D1512" w:rsidRDefault="000D1512">
      <w:pPr>
        <w:pStyle w:val="TOC2"/>
        <w:rPr>
          <w:rFonts w:asciiTheme="minorHAnsi" w:eastAsiaTheme="minorEastAsia" w:hAnsiTheme="minorHAnsi" w:cstheme="minorBidi"/>
          <w:b w:val="0"/>
          <w:noProof/>
          <w:kern w:val="0"/>
          <w:sz w:val="22"/>
          <w:szCs w:val="22"/>
        </w:rPr>
      </w:pPr>
      <w:r>
        <w:rPr>
          <w:noProof/>
        </w:rPr>
        <w:t>Part 6—Savings and transitional provisions</w:t>
      </w:r>
      <w:r w:rsidRPr="000D1512">
        <w:rPr>
          <w:b w:val="0"/>
          <w:noProof/>
          <w:sz w:val="18"/>
        </w:rPr>
        <w:tab/>
      </w:r>
      <w:r w:rsidRPr="000D1512">
        <w:rPr>
          <w:b w:val="0"/>
          <w:noProof/>
          <w:sz w:val="18"/>
        </w:rPr>
        <w:fldChar w:fldCharType="begin"/>
      </w:r>
      <w:r w:rsidRPr="000D1512">
        <w:rPr>
          <w:b w:val="0"/>
          <w:noProof/>
          <w:sz w:val="18"/>
        </w:rPr>
        <w:instrText xml:space="preserve"> PAGEREF _Toc359833567 \h </w:instrText>
      </w:r>
      <w:r w:rsidRPr="000D1512">
        <w:rPr>
          <w:b w:val="0"/>
          <w:noProof/>
          <w:sz w:val="18"/>
        </w:rPr>
      </w:r>
      <w:r w:rsidRPr="000D1512">
        <w:rPr>
          <w:b w:val="0"/>
          <w:noProof/>
          <w:sz w:val="18"/>
        </w:rPr>
        <w:fldChar w:fldCharType="separate"/>
      </w:r>
      <w:r w:rsidR="00881253">
        <w:rPr>
          <w:b w:val="0"/>
          <w:noProof/>
          <w:sz w:val="18"/>
        </w:rPr>
        <w:t>17</w:t>
      </w:r>
      <w:r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6.1</w:t>
      </w:r>
      <w:r>
        <w:rPr>
          <w:noProof/>
        </w:rPr>
        <w:tab/>
        <w:t xml:space="preserve">Amendments made by the </w:t>
      </w:r>
      <w:r w:rsidRPr="00EC18F1">
        <w:rPr>
          <w:i/>
          <w:noProof/>
        </w:rPr>
        <w:t>Automotive Transformation Scheme Amendment Order 2013 (No. 1)</w:t>
      </w:r>
      <w:r w:rsidRPr="000D1512">
        <w:rPr>
          <w:noProof/>
        </w:rPr>
        <w:tab/>
      </w:r>
      <w:r w:rsidRPr="000D1512">
        <w:rPr>
          <w:noProof/>
        </w:rPr>
        <w:fldChar w:fldCharType="begin"/>
      </w:r>
      <w:r w:rsidRPr="000D1512">
        <w:rPr>
          <w:noProof/>
        </w:rPr>
        <w:instrText xml:space="preserve"> PAGEREF _Toc359833568 \h </w:instrText>
      </w:r>
      <w:r w:rsidRPr="000D1512">
        <w:rPr>
          <w:noProof/>
        </w:rPr>
      </w:r>
      <w:r w:rsidRPr="000D1512">
        <w:rPr>
          <w:noProof/>
        </w:rPr>
        <w:fldChar w:fldCharType="separate"/>
      </w:r>
      <w:r w:rsidR="00881253">
        <w:rPr>
          <w:noProof/>
        </w:rPr>
        <w:t>17</w:t>
      </w:r>
      <w:r w:rsidRPr="000D1512">
        <w:rPr>
          <w:noProof/>
        </w:rPr>
        <w:fldChar w:fldCharType="end"/>
      </w:r>
    </w:p>
    <w:p w:rsidR="000D1512" w:rsidRDefault="000D1512">
      <w:pPr>
        <w:pStyle w:val="TOC1"/>
        <w:rPr>
          <w:rFonts w:asciiTheme="minorHAnsi" w:eastAsiaTheme="minorEastAsia" w:hAnsiTheme="minorHAnsi" w:cstheme="minorBidi"/>
          <w:b w:val="0"/>
          <w:noProof/>
          <w:kern w:val="0"/>
          <w:sz w:val="22"/>
          <w:szCs w:val="22"/>
        </w:rPr>
      </w:pPr>
      <w:r>
        <w:rPr>
          <w:noProof/>
        </w:rPr>
        <w:t>Schedule 1—Criteria for reporting progress on meeting object of Act</w:t>
      </w:r>
      <w:r w:rsidRPr="000D1512">
        <w:rPr>
          <w:b w:val="0"/>
          <w:noProof/>
          <w:sz w:val="18"/>
        </w:rPr>
        <w:tab/>
      </w:r>
      <w:r w:rsidRPr="000D1512">
        <w:rPr>
          <w:b w:val="0"/>
          <w:noProof/>
          <w:sz w:val="18"/>
        </w:rPr>
        <w:fldChar w:fldCharType="begin"/>
      </w:r>
      <w:r w:rsidRPr="000D1512">
        <w:rPr>
          <w:b w:val="0"/>
          <w:noProof/>
          <w:sz w:val="18"/>
        </w:rPr>
        <w:instrText xml:space="preserve"> PAGEREF _Toc359833569 \h </w:instrText>
      </w:r>
      <w:r w:rsidRPr="000D1512">
        <w:rPr>
          <w:b w:val="0"/>
          <w:noProof/>
          <w:sz w:val="18"/>
        </w:rPr>
      </w:r>
      <w:r w:rsidRPr="000D1512">
        <w:rPr>
          <w:b w:val="0"/>
          <w:noProof/>
          <w:sz w:val="18"/>
        </w:rPr>
        <w:fldChar w:fldCharType="separate"/>
      </w:r>
      <w:r w:rsidR="00881253">
        <w:rPr>
          <w:b w:val="0"/>
          <w:noProof/>
          <w:sz w:val="18"/>
        </w:rPr>
        <w:t>18</w:t>
      </w:r>
      <w:r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Reporting criteria for meeting the object in section 3 of the Act</w:t>
      </w:r>
      <w:r w:rsidRPr="000D1512">
        <w:rPr>
          <w:noProof/>
        </w:rPr>
        <w:tab/>
      </w:r>
      <w:r w:rsidRPr="000D1512">
        <w:rPr>
          <w:noProof/>
        </w:rPr>
        <w:fldChar w:fldCharType="begin"/>
      </w:r>
      <w:r w:rsidRPr="000D1512">
        <w:rPr>
          <w:noProof/>
        </w:rPr>
        <w:instrText xml:space="preserve"> PAGEREF _Toc359833570 \h </w:instrText>
      </w:r>
      <w:r w:rsidRPr="000D1512">
        <w:rPr>
          <w:noProof/>
        </w:rPr>
      </w:r>
      <w:r w:rsidRPr="000D1512">
        <w:rPr>
          <w:noProof/>
        </w:rPr>
        <w:fldChar w:fldCharType="separate"/>
      </w:r>
      <w:r w:rsidR="00881253">
        <w:rPr>
          <w:noProof/>
        </w:rPr>
        <w:t>18</w:t>
      </w:r>
      <w:r w:rsidRPr="000D1512">
        <w:rPr>
          <w:noProof/>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Reporting criteria for achieving the object in a way that improves environmental outcomes</w:t>
      </w:r>
      <w:r w:rsidRPr="000D1512">
        <w:rPr>
          <w:noProof/>
        </w:rPr>
        <w:tab/>
      </w:r>
      <w:r w:rsidRPr="000D1512">
        <w:rPr>
          <w:noProof/>
        </w:rPr>
        <w:fldChar w:fldCharType="begin"/>
      </w:r>
      <w:r w:rsidRPr="000D1512">
        <w:rPr>
          <w:noProof/>
        </w:rPr>
        <w:instrText xml:space="preserve"> PAGEREF _Toc359833571 \h </w:instrText>
      </w:r>
      <w:r w:rsidRPr="000D1512">
        <w:rPr>
          <w:noProof/>
        </w:rPr>
      </w:r>
      <w:r w:rsidRPr="000D1512">
        <w:rPr>
          <w:noProof/>
        </w:rPr>
        <w:fldChar w:fldCharType="separate"/>
      </w:r>
      <w:r w:rsidR="00881253">
        <w:rPr>
          <w:noProof/>
        </w:rPr>
        <w:t>18</w:t>
      </w:r>
      <w:r w:rsidRPr="000D1512">
        <w:rPr>
          <w:noProof/>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Reporting criteria for achieving the object in a way that promotes the development of workforce skills</w:t>
      </w:r>
      <w:r w:rsidRPr="000D1512">
        <w:rPr>
          <w:noProof/>
        </w:rPr>
        <w:tab/>
      </w:r>
      <w:r w:rsidRPr="000D1512">
        <w:rPr>
          <w:noProof/>
        </w:rPr>
        <w:fldChar w:fldCharType="begin"/>
      </w:r>
      <w:r w:rsidRPr="000D1512">
        <w:rPr>
          <w:noProof/>
        </w:rPr>
        <w:instrText xml:space="preserve"> PAGEREF _Toc359833572 \h </w:instrText>
      </w:r>
      <w:r w:rsidRPr="000D1512">
        <w:rPr>
          <w:noProof/>
        </w:rPr>
      </w:r>
      <w:r w:rsidRPr="000D1512">
        <w:rPr>
          <w:noProof/>
        </w:rPr>
        <w:fldChar w:fldCharType="separate"/>
      </w:r>
      <w:r w:rsidR="00881253">
        <w:rPr>
          <w:noProof/>
        </w:rPr>
        <w:t>19</w:t>
      </w:r>
      <w:r w:rsidRPr="000D1512">
        <w:rPr>
          <w:noProof/>
        </w:rPr>
        <w:fldChar w:fldCharType="end"/>
      </w:r>
    </w:p>
    <w:p w:rsidR="000D1512" w:rsidRDefault="000D1512">
      <w:pPr>
        <w:pStyle w:val="TOC1"/>
        <w:rPr>
          <w:rFonts w:asciiTheme="minorHAnsi" w:eastAsiaTheme="minorEastAsia" w:hAnsiTheme="minorHAnsi" w:cstheme="minorBidi"/>
          <w:b w:val="0"/>
          <w:noProof/>
          <w:kern w:val="0"/>
          <w:sz w:val="22"/>
          <w:szCs w:val="22"/>
        </w:rPr>
      </w:pPr>
      <w:r>
        <w:rPr>
          <w:noProof/>
        </w:rPr>
        <w:t>Schedule 2—Investment under ACIS regarded as eligible investment for ATS</w:t>
      </w:r>
      <w:r w:rsidRPr="000D1512">
        <w:rPr>
          <w:b w:val="0"/>
          <w:noProof/>
          <w:sz w:val="18"/>
        </w:rPr>
        <w:tab/>
      </w:r>
      <w:r w:rsidRPr="000D1512">
        <w:rPr>
          <w:b w:val="0"/>
          <w:noProof/>
          <w:sz w:val="18"/>
        </w:rPr>
        <w:fldChar w:fldCharType="begin"/>
      </w:r>
      <w:r w:rsidRPr="000D1512">
        <w:rPr>
          <w:b w:val="0"/>
          <w:noProof/>
          <w:sz w:val="18"/>
        </w:rPr>
        <w:instrText xml:space="preserve"> PAGEREF _Toc359833573 \h </w:instrText>
      </w:r>
      <w:r w:rsidRPr="000D1512">
        <w:rPr>
          <w:b w:val="0"/>
          <w:noProof/>
          <w:sz w:val="18"/>
        </w:rPr>
      </w:r>
      <w:r w:rsidRPr="000D1512">
        <w:rPr>
          <w:b w:val="0"/>
          <w:noProof/>
          <w:sz w:val="18"/>
        </w:rPr>
        <w:fldChar w:fldCharType="separate"/>
      </w:r>
      <w:r w:rsidR="00881253">
        <w:rPr>
          <w:b w:val="0"/>
          <w:noProof/>
          <w:sz w:val="18"/>
        </w:rPr>
        <w:t>20</w:t>
      </w:r>
      <w:r w:rsidRPr="000D1512">
        <w:rPr>
          <w:b w:val="0"/>
          <w:noProof/>
          <w:sz w:val="18"/>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ATS Year 1</w:t>
      </w:r>
      <w:r w:rsidRPr="000D1512">
        <w:rPr>
          <w:noProof/>
        </w:rPr>
        <w:tab/>
      </w:r>
      <w:r w:rsidRPr="000D1512">
        <w:rPr>
          <w:noProof/>
        </w:rPr>
        <w:fldChar w:fldCharType="begin"/>
      </w:r>
      <w:r w:rsidRPr="000D1512">
        <w:rPr>
          <w:noProof/>
        </w:rPr>
        <w:instrText xml:space="preserve"> PAGEREF _Toc359833574 \h </w:instrText>
      </w:r>
      <w:r w:rsidRPr="000D1512">
        <w:rPr>
          <w:noProof/>
        </w:rPr>
      </w:r>
      <w:r w:rsidRPr="000D1512">
        <w:rPr>
          <w:noProof/>
        </w:rPr>
        <w:fldChar w:fldCharType="separate"/>
      </w:r>
      <w:r w:rsidR="00881253">
        <w:rPr>
          <w:noProof/>
        </w:rPr>
        <w:t>20</w:t>
      </w:r>
      <w:r w:rsidRPr="000D1512">
        <w:rPr>
          <w:noProof/>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ATS Year 2</w:t>
      </w:r>
      <w:r w:rsidRPr="000D1512">
        <w:rPr>
          <w:noProof/>
        </w:rPr>
        <w:tab/>
      </w:r>
      <w:r w:rsidRPr="000D1512">
        <w:rPr>
          <w:noProof/>
        </w:rPr>
        <w:fldChar w:fldCharType="begin"/>
      </w:r>
      <w:r w:rsidRPr="000D1512">
        <w:rPr>
          <w:noProof/>
        </w:rPr>
        <w:instrText xml:space="preserve"> PAGEREF _Toc359833575 \h </w:instrText>
      </w:r>
      <w:r w:rsidRPr="000D1512">
        <w:rPr>
          <w:noProof/>
        </w:rPr>
      </w:r>
      <w:r w:rsidRPr="000D1512">
        <w:rPr>
          <w:noProof/>
        </w:rPr>
        <w:fldChar w:fldCharType="separate"/>
      </w:r>
      <w:r w:rsidR="00881253">
        <w:rPr>
          <w:noProof/>
        </w:rPr>
        <w:t>21</w:t>
      </w:r>
      <w:r w:rsidRPr="000D1512">
        <w:rPr>
          <w:noProof/>
        </w:rPr>
        <w:fldChar w:fldCharType="end"/>
      </w:r>
    </w:p>
    <w:p w:rsidR="000D1512" w:rsidRDefault="000D1512">
      <w:pPr>
        <w:pStyle w:val="TOC5"/>
        <w:rPr>
          <w:rFonts w:asciiTheme="minorHAnsi" w:eastAsiaTheme="minorEastAsia" w:hAnsiTheme="minorHAnsi" w:cstheme="minorBidi"/>
          <w:noProof/>
          <w:kern w:val="0"/>
          <w:sz w:val="22"/>
          <w:szCs w:val="22"/>
        </w:rPr>
      </w:pPr>
      <w:r>
        <w:rPr>
          <w:noProof/>
        </w:rPr>
        <w:t>ATS Year 3</w:t>
      </w:r>
      <w:r w:rsidRPr="000D1512">
        <w:rPr>
          <w:noProof/>
        </w:rPr>
        <w:tab/>
      </w:r>
      <w:r w:rsidRPr="000D1512">
        <w:rPr>
          <w:noProof/>
        </w:rPr>
        <w:fldChar w:fldCharType="begin"/>
      </w:r>
      <w:r w:rsidRPr="000D1512">
        <w:rPr>
          <w:noProof/>
        </w:rPr>
        <w:instrText xml:space="preserve"> PAGEREF _Toc359833576 \h </w:instrText>
      </w:r>
      <w:r w:rsidRPr="000D1512">
        <w:rPr>
          <w:noProof/>
        </w:rPr>
      </w:r>
      <w:r w:rsidRPr="000D1512">
        <w:rPr>
          <w:noProof/>
        </w:rPr>
        <w:fldChar w:fldCharType="separate"/>
      </w:r>
      <w:r w:rsidR="00881253">
        <w:rPr>
          <w:noProof/>
        </w:rPr>
        <w:t>22</w:t>
      </w:r>
      <w:r w:rsidRPr="000D1512">
        <w:rPr>
          <w:noProof/>
        </w:rPr>
        <w:fldChar w:fldCharType="end"/>
      </w:r>
    </w:p>
    <w:p w:rsidR="000D1512" w:rsidRDefault="000D1512">
      <w:pPr>
        <w:pStyle w:val="TOC2"/>
        <w:rPr>
          <w:rFonts w:asciiTheme="minorHAnsi" w:eastAsiaTheme="minorEastAsia" w:hAnsiTheme="minorHAnsi" w:cstheme="minorBidi"/>
          <w:b w:val="0"/>
          <w:noProof/>
          <w:kern w:val="0"/>
          <w:sz w:val="22"/>
          <w:szCs w:val="22"/>
        </w:rPr>
      </w:pPr>
      <w:r>
        <w:rPr>
          <w:noProof/>
        </w:rPr>
        <w:lastRenderedPageBreak/>
        <w:t>Endnotes</w:t>
      </w:r>
      <w:r w:rsidRPr="000D1512">
        <w:rPr>
          <w:b w:val="0"/>
          <w:noProof/>
          <w:sz w:val="18"/>
        </w:rPr>
        <w:tab/>
      </w:r>
      <w:r w:rsidRPr="000D1512">
        <w:rPr>
          <w:b w:val="0"/>
          <w:noProof/>
          <w:sz w:val="18"/>
        </w:rPr>
        <w:fldChar w:fldCharType="begin"/>
      </w:r>
      <w:r w:rsidRPr="000D1512">
        <w:rPr>
          <w:b w:val="0"/>
          <w:noProof/>
          <w:sz w:val="18"/>
        </w:rPr>
        <w:instrText xml:space="preserve"> PAGEREF _Toc359833577 \h </w:instrText>
      </w:r>
      <w:r w:rsidRPr="000D1512">
        <w:rPr>
          <w:b w:val="0"/>
          <w:noProof/>
          <w:sz w:val="18"/>
        </w:rPr>
      </w:r>
      <w:r w:rsidRPr="000D1512">
        <w:rPr>
          <w:b w:val="0"/>
          <w:noProof/>
          <w:sz w:val="18"/>
        </w:rPr>
        <w:fldChar w:fldCharType="separate"/>
      </w:r>
      <w:r w:rsidR="00881253">
        <w:rPr>
          <w:b w:val="0"/>
          <w:noProof/>
          <w:sz w:val="18"/>
        </w:rPr>
        <w:t>23</w:t>
      </w:r>
      <w:r w:rsidRPr="000D1512">
        <w:rPr>
          <w:b w:val="0"/>
          <w:noProof/>
          <w:sz w:val="18"/>
        </w:rPr>
        <w:fldChar w:fldCharType="end"/>
      </w:r>
    </w:p>
    <w:p w:rsidR="000D1512" w:rsidRDefault="000D1512">
      <w:pPr>
        <w:pStyle w:val="TOC3"/>
        <w:rPr>
          <w:rFonts w:asciiTheme="minorHAnsi" w:eastAsiaTheme="minorEastAsia" w:hAnsiTheme="minorHAnsi" w:cstheme="minorBidi"/>
          <w:b w:val="0"/>
          <w:noProof/>
          <w:kern w:val="0"/>
          <w:szCs w:val="22"/>
        </w:rPr>
      </w:pPr>
      <w:r>
        <w:rPr>
          <w:noProof/>
        </w:rPr>
        <w:t>Endnote 1—Legislation history</w:t>
      </w:r>
      <w:r w:rsidRPr="000D1512">
        <w:rPr>
          <w:b w:val="0"/>
          <w:noProof/>
          <w:sz w:val="18"/>
        </w:rPr>
        <w:tab/>
      </w:r>
      <w:r w:rsidRPr="000D1512">
        <w:rPr>
          <w:b w:val="0"/>
          <w:noProof/>
          <w:sz w:val="18"/>
        </w:rPr>
        <w:fldChar w:fldCharType="begin"/>
      </w:r>
      <w:r w:rsidRPr="000D1512">
        <w:rPr>
          <w:b w:val="0"/>
          <w:noProof/>
          <w:sz w:val="18"/>
        </w:rPr>
        <w:instrText xml:space="preserve"> PAGEREF _Toc359833578 \h </w:instrText>
      </w:r>
      <w:r w:rsidRPr="000D1512">
        <w:rPr>
          <w:b w:val="0"/>
          <w:noProof/>
          <w:sz w:val="18"/>
        </w:rPr>
      </w:r>
      <w:r w:rsidRPr="000D1512">
        <w:rPr>
          <w:b w:val="0"/>
          <w:noProof/>
          <w:sz w:val="18"/>
        </w:rPr>
        <w:fldChar w:fldCharType="separate"/>
      </w:r>
      <w:r w:rsidR="00881253">
        <w:rPr>
          <w:b w:val="0"/>
          <w:noProof/>
          <w:sz w:val="18"/>
        </w:rPr>
        <w:t>23</w:t>
      </w:r>
      <w:r w:rsidRPr="000D1512">
        <w:rPr>
          <w:b w:val="0"/>
          <w:noProof/>
          <w:sz w:val="18"/>
        </w:rPr>
        <w:fldChar w:fldCharType="end"/>
      </w:r>
    </w:p>
    <w:p w:rsidR="000D1512" w:rsidRDefault="000D1512">
      <w:pPr>
        <w:pStyle w:val="TOC3"/>
        <w:rPr>
          <w:rFonts w:asciiTheme="minorHAnsi" w:eastAsiaTheme="minorEastAsia" w:hAnsiTheme="minorHAnsi" w:cstheme="minorBidi"/>
          <w:b w:val="0"/>
          <w:noProof/>
          <w:kern w:val="0"/>
          <w:szCs w:val="22"/>
        </w:rPr>
      </w:pPr>
      <w:r>
        <w:rPr>
          <w:noProof/>
        </w:rPr>
        <w:t>Endnote 2—Amendment history</w:t>
      </w:r>
      <w:r w:rsidRPr="000D1512">
        <w:rPr>
          <w:b w:val="0"/>
          <w:noProof/>
          <w:sz w:val="18"/>
        </w:rPr>
        <w:tab/>
      </w:r>
      <w:r w:rsidRPr="000D1512">
        <w:rPr>
          <w:b w:val="0"/>
          <w:noProof/>
          <w:sz w:val="18"/>
        </w:rPr>
        <w:fldChar w:fldCharType="begin"/>
      </w:r>
      <w:r w:rsidRPr="000D1512">
        <w:rPr>
          <w:b w:val="0"/>
          <w:noProof/>
          <w:sz w:val="18"/>
        </w:rPr>
        <w:instrText xml:space="preserve"> PAGEREF _Toc359833579 \h </w:instrText>
      </w:r>
      <w:r w:rsidRPr="000D1512">
        <w:rPr>
          <w:b w:val="0"/>
          <w:noProof/>
          <w:sz w:val="18"/>
        </w:rPr>
      </w:r>
      <w:r w:rsidRPr="000D1512">
        <w:rPr>
          <w:b w:val="0"/>
          <w:noProof/>
          <w:sz w:val="18"/>
        </w:rPr>
        <w:fldChar w:fldCharType="separate"/>
      </w:r>
      <w:r w:rsidR="00881253">
        <w:rPr>
          <w:b w:val="0"/>
          <w:noProof/>
          <w:sz w:val="18"/>
        </w:rPr>
        <w:t>24</w:t>
      </w:r>
      <w:r w:rsidRPr="000D1512">
        <w:rPr>
          <w:b w:val="0"/>
          <w:noProof/>
          <w:sz w:val="18"/>
        </w:rPr>
        <w:fldChar w:fldCharType="end"/>
      </w:r>
    </w:p>
    <w:p w:rsidR="000D1512" w:rsidRDefault="000D1512">
      <w:pPr>
        <w:pStyle w:val="TOC3"/>
        <w:rPr>
          <w:rFonts w:asciiTheme="minorHAnsi" w:eastAsiaTheme="minorEastAsia" w:hAnsiTheme="minorHAnsi" w:cstheme="minorBidi"/>
          <w:b w:val="0"/>
          <w:noProof/>
          <w:kern w:val="0"/>
          <w:szCs w:val="22"/>
        </w:rPr>
      </w:pPr>
      <w:r>
        <w:rPr>
          <w:noProof/>
        </w:rPr>
        <w:t>Endnote 3—Uncommenced amendments [none]</w:t>
      </w:r>
      <w:r w:rsidRPr="000D1512">
        <w:rPr>
          <w:b w:val="0"/>
          <w:noProof/>
          <w:sz w:val="18"/>
        </w:rPr>
        <w:tab/>
      </w:r>
      <w:r w:rsidRPr="000D1512">
        <w:rPr>
          <w:b w:val="0"/>
          <w:noProof/>
          <w:sz w:val="18"/>
        </w:rPr>
        <w:fldChar w:fldCharType="begin"/>
      </w:r>
      <w:r w:rsidRPr="000D1512">
        <w:rPr>
          <w:b w:val="0"/>
          <w:noProof/>
          <w:sz w:val="18"/>
        </w:rPr>
        <w:instrText xml:space="preserve"> PAGEREF _Toc359833580 \h </w:instrText>
      </w:r>
      <w:r w:rsidRPr="000D1512">
        <w:rPr>
          <w:b w:val="0"/>
          <w:noProof/>
          <w:sz w:val="18"/>
        </w:rPr>
      </w:r>
      <w:r w:rsidRPr="000D1512">
        <w:rPr>
          <w:b w:val="0"/>
          <w:noProof/>
          <w:sz w:val="18"/>
        </w:rPr>
        <w:fldChar w:fldCharType="separate"/>
      </w:r>
      <w:r w:rsidR="00881253">
        <w:rPr>
          <w:b w:val="0"/>
          <w:noProof/>
          <w:sz w:val="18"/>
        </w:rPr>
        <w:t>25</w:t>
      </w:r>
      <w:r w:rsidRPr="000D1512">
        <w:rPr>
          <w:b w:val="0"/>
          <w:noProof/>
          <w:sz w:val="18"/>
        </w:rPr>
        <w:fldChar w:fldCharType="end"/>
      </w:r>
    </w:p>
    <w:p w:rsidR="000D1512" w:rsidRPr="000D1512" w:rsidRDefault="000D1512">
      <w:pPr>
        <w:pStyle w:val="TOC3"/>
        <w:rPr>
          <w:rFonts w:eastAsiaTheme="minorEastAsia"/>
          <w:b w:val="0"/>
          <w:noProof/>
          <w:kern w:val="0"/>
          <w:sz w:val="18"/>
          <w:szCs w:val="22"/>
        </w:rPr>
      </w:pPr>
      <w:r>
        <w:rPr>
          <w:noProof/>
        </w:rPr>
        <w:t>Endnote 4—Misdescribed amendments [none]</w:t>
      </w:r>
      <w:r w:rsidRPr="000D1512">
        <w:rPr>
          <w:b w:val="0"/>
          <w:noProof/>
          <w:sz w:val="18"/>
        </w:rPr>
        <w:tab/>
      </w:r>
      <w:r w:rsidRPr="000D1512">
        <w:rPr>
          <w:b w:val="0"/>
          <w:noProof/>
          <w:sz w:val="18"/>
        </w:rPr>
        <w:fldChar w:fldCharType="begin"/>
      </w:r>
      <w:r w:rsidRPr="000D1512">
        <w:rPr>
          <w:b w:val="0"/>
          <w:noProof/>
          <w:sz w:val="18"/>
        </w:rPr>
        <w:instrText xml:space="preserve"> PAGEREF _Toc359833581 \h </w:instrText>
      </w:r>
      <w:r w:rsidRPr="000D1512">
        <w:rPr>
          <w:b w:val="0"/>
          <w:noProof/>
          <w:sz w:val="18"/>
        </w:rPr>
      </w:r>
      <w:r w:rsidRPr="000D1512">
        <w:rPr>
          <w:b w:val="0"/>
          <w:noProof/>
          <w:sz w:val="18"/>
        </w:rPr>
        <w:fldChar w:fldCharType="separate"/>
      </w:r>
      <w:r w:rsidR="00881253">
        <w:rPr>
          <w:b w:val="0"/>
          <w:noProof/>
          <w:sz w:val="18"/>
        </w:rPr>
        <w:t>26</w:t>
      </w:r>
      <w:r w:rsidRPr="000D1512">
        <w:rPr>
          <w:b w:val="0"/>
          <w:noProof/>
          <w:sz w:val="18"/>
        </w:rPr>
        <w:fldChar w:fldCharType="end"/>
      </w:r>
    </w:p>
    <w:p w:rsidR="002F064D" w:rsidRPr="00C72A74" w:rsidRDefault="00522D9F" w:rsidP="002F064D">
      <w:r w:rsidRPr="000D1512">
        <w:rPr>
          <w:rFonts w:cs="Times New Roman"/>
          <w:sz w:val="18"/>
        </w:rPr>
        <w:fldChar w:fldCharType="end"/>
      </w:r>
    </w:p>
    <w:p w:rsidR="002F064D" w:rsidRPr="00C72A74" w:rsidRDefault="002F064D" w:rsidP="002F064D">
      <w:pPr>
        <w:sectPr w:rsidR="002F064D" w:rsidRPr="00C72A74" w:rsidSect="00E02272">
          <w:headerReference w:type="even" r:id="rId14"/>
          <w:headerReference w:type="default" r:id="rId15"/>
          <w:footerReference w:type="even" r:id="rId16"/>
          <w:footerReference w:type="default" r:id="rId17"/>
          <w:headerReference w:type="first" r:id="rId18"/>
          <w:pgSz w:w="11907" w:h="16839"/>
          <w:pgMar w:top="2385" w:right="1797" w:bottom="1440" w:left="1797" w:header="720" w:footer="709" w:gutter="0"/>
          <w:pgNumType w:fmt="lowerRoman" w:start="1"/>
          <w:cols w:space="708"/>
          <w:docGrid w:linePitch="360"/>
        </w:sectPr>
      </w:pPr>
    </w:p>
    <w:p w:rsidR="000F716A" w:rsidRPr="00C72A74" w:rsidRDefault="002F064D" w:rsidP="002F064D">
      <w:pPr>
        <w:pStyle w:val="ActHead2"/>
      </w:pPr>
      <w:bookmarkStart w:id="1" w:name="_Toc359833541"/>
      <w:r w:rsidRPr="00C72A74">
        <w:rPr>
          <w:rStyle w:val="CharPartNo"/>
        </w:rPr>
        <w:lastRenderedPageBreak/>
        <w:t>Part</w:t>
      </w:r>
      <w:r w:rsidR="00C72A74" w:rsidRPr="00C72A74">
        <w:rPr>
          <w:rStyle w:val="CharPartNo"/>
        </w:rPr>
        <w:t> </w:t>
      </w:r>
      <w:r w:rsidR="000F716A" w:rsidRPr="00C72A74">
        <w:rPr>
          <w:rStyle w:val="CharPartNo"/>
        </w:rPr>
        <w:t>1</w:t>
      </w:r>
      <w:r w:rsidRPr="00C72A74">
        <w:t>—</w:t>
      </w:r>
      <w:r w:rsidR="000F716A" w:rsidRPr="00C72A74">
        <w:rPr>
          <w:rStyle w:val="CharPartText"/>
        </w:rPr>
        <w:t>Preliminary</w:t>
      </w:r>
      <w:bookmarkEnd w:id="1"/>
    </w:p>
    <w:p w:rsidR="00770DDA" w:rsidRPr="00C72A74" w:rsidRDefault="002F064D" w:rsidP="00770DDA">
      <w:pPr>
        <w:pStyle w:val="Header"/>
      </w:pPr>
      <w:r w:rsidRPr="00C72A74">
        <w:rPr>
          <w:rStyle w:val="CharDivNo"/>
        </w:rPr>
        <w:t xml:space="preserve"> </w:t>
      </w:r>
      <w:r w:rsidRPr="00C72A74">
        <w:rPr>
          <w:rStyle w:val="CharDivText"/>
        </w:rPr>
        <w:t xml:space="preserve"> </w:t>
      </w:r>
    </w:p>
    <w:p w:rsidR="000F716A" w:rsidRPr="00C72A74" w:rsidRDefault="000F716A" w:rsidP="002F064D">
      <w:pPr>
        <w:pStyle w:val="ActHead5"/>
      </w:pPr>
      <w:bookmarkStart w:id="2" w:name="_Toc359833542"/>
      <w:r w:rsidRPr="00C72A74">
        <w:rPr>
          <w:rStyle w:val="CharSectno"/>
        </w:rPr>
        <w:t>1.1</w:t>
      </w:r>
      <w:r w:rsidR="002F064D" w:rsidRPr="00C72A74">
        <w:t xml:space="preserve">  </w:t>
      </w:r>
      <w:r w:rsidRPr="00C72A74">
        <w:t xml:space="preserve">Name of </w:t>
      </w:r>
      <w:r w:rsidR="005A5FCE" w:rsidRPr="00C72A74">
        <w:t>Order</w:t>
      </w:r>
      <w:bookmarkEnd w:id="2"/>
    </w:p>
    <w:p w:rsidR="000F716A" w:rsidRPr="00C72A74" w:rsidRDefault="000F716A" w:rsidP="002F064D">
      <w:pPr>
        <w:pStyle w:val="subsection"/>
      </w:pPr>
      <w:r w:rsidRPr="00C72A74">
        <w:tab/>
      </w:r>
      <w:r w:rsidRPr="00C72A74">
        <w:tab/>
        <w:t xml:space="preserve">This Order is the </w:t>
      </w:r>
      <w:r w:rsidRPr="00C72A74">
        <w:rPr>
          <w:i/>
        </w:rPr>
        <w:t>Automotive Transformation Scheme Order</w:t>
      </w:r>
      <w:r w:rsidR="00C72A74">
        <w:rPr>
          <w:i/>
        </w:rPr>
        <w:t> </w:t>
      </w:r>
      <w:r w:rsidRPr="00C72A74">
        <w:rPr>
          <w:i/>
        </w:rPr>
        <w:t>2010</w:t>
      </w:r>
      <w:r w:rsidRPr="00C72A74">
        <w:t>.</w:t>
      </w:r>
    </w:p>
    <w:p w:rsidR="000F716A" w:rsidRPr="00C72A74" w:rsidRDefault="000F716A" w:rsidP="002F064D">
      <w:pPr>
        <w:pStyle w:val="ActHead5"/>
      </w:pPr>
      <w:bookmarkStart w:id="3" w:name="_Toc359833543"/>
      <w:r w:rsidRPr="00C72A74">
        <w:rPr>
          <w:rStyle w:val="CharSectno"/>
        </w:rPr>
        <w:t>1.2</w:t>
      </w:r>
      <w:r w:rsidR="002F064D" w:rsidRPr="00C72A74">
        <w:t xml:space="preserve">  </w:t>
      </w:r>
      <w:r w:rsidRPr="00C72A74">
        <w:t>Commencement</w:t>
      </w:r>
      <w:bookmarkEnd w:id="3"/>
    </w:p>
    <w:p w:rsidR="000F716A" w:rsidRPr="00C72A74" w:rsidRDefault="000F716A" w:rsidP="002F064D">
      <w:pPr>
        <w:pStyle w:val="subsection"/>
      </w:pPr>
      <w:r w:rsidRPr="00C72A74">
        <w:tab/>
      </w:r>
      <w:r w:rsidRPr="00C72A74">
        <w:tab/>
        <w:t>This Order commences on 1</w:t>
      </w:r>
      <w:r w:rsidR="00C72A74">
        <w:t> </w:t>
      </w:r>
      <w:r w:rsidRPr="00C72A74">
        <w:t>July 2010.</w:t>
      </w:r>
    </w:p>
    <w:p w:rsidR="000F716A" w:rsidRPr="00C72A74" w:rsidRDefault="000F716A" w:rsidP="002F064D">
      <w:pPr>
        <w:pStyle w:val="ActHead5"/>
      </w:pPr>
      <w:bookmarkStart w:id="4" w:name="_Toc359833544"/>
      <w:r w:rsidRPr="00C72A74">
        <w:rPr>
          <w:rStyle w:val="CharSectno"/>
        </w:rPr>
        <w:t>1.3</w:t>
      </w:r>
      <w:r w:rsidR="002F064D" w:rsidRPr="00C72A74">
        <w:t xml:space="preserve">  </w:t>
      </w:r>
      <w:r w:rsidRPr="00C72A74">
        <w:t>Interpretation</w:t>
      </w:r>
      <w:bookmarkEnd w:id="4"/>
    </w:p>
    <w:p w:rsidR="000F716A" w:rsidRPr="00C72A74" w:rsidRDefault="000F716A" w:rsidP="002F064D">
      <w:pPr>
        <w:pStyle w:val="subsection"/>
      </w:pPr>
      <w:r w:rsidRPr="00C72A74">
        <w:tab/>
      </w:r>
      <w:r w:rsidRPr="00C72A74">
        <w:tab/>
        <w:t>In this Order, unless the contrary intention appears:</w:t>
      </w:r>
    </w:p>
    <w:p w:rsidR="000F716A" w:rsidRPr="00C72A74" w:rsidRDefault="000F716A" w:rsidP="002F064D">
      <w:pPr>
        <w:pStyle w:val="Definition"/>
      </w:pPr>
      <w:proofErr w:type="spellStart"/>
      <w:r w:rsidRPr="00C72A74">
        <w:rPr>
          <w:b/>
          <w:i/>
        </w:rPr>
        <w:t>ATS</w:t>
      </w:r>
      <w:proofErr w:type="spellEnd"/>
      <w:r w:rsidRPr="00C72A74">
        <w:t xml:space="preserve"> means the Automotive Transformation Scheme prescribed for section</w:t>
      </w:r>
      <w:r w:rsidR="00C72A74">
        <w:t> </w:t>
      </w:r>
      <w:r w:rsidRPr="00C72A74">
        <w:t>5 of the Act.</w:t>
      </w:r>
    </w:p>
    <w:p w:rsidR="000F716A" w:rsidRPr="00C72A74" w:rsidRDefault="000F716A" w:rsidP="002F064D">
      <w:pPr>
        <w:pStyle w:val="Definition"/>
      </w:pPr>
      <w:proofErr w:type="spellStart"/>
      <w:r w:rsidRPr="00C72A74">
        <w:rPr>
          <w:b/>
          <w:i/>
        </w:rPr>
        <w:t>ATS</w:t>
      </w:r>
      <w:proofErr w:type="spellEnd"/>
      <w:r w:rsidRPr="00C72A74">
        <w:rPr>
          <w:b/>
          <w:i/>
        </w:rPr>
        <w:t xml:space="preserve"> stage </w:t>
      </w:r>
      <w:r w:rsidRPr="00C72A74">
        <w:t>means stage 1 or stage 2 (as the case requires) within the meaning of the Act.</w:t>
      </w:r>
    </w:p>
    <w:p w:rsidR="000F716A" w:rsidRPr="00C72A74" w:rsidRDefault="000F716A" w:rsidP="002F064D">
      <w:pPr>
        <w:pStyle w:val="Definition"/>
      </w:pPr>
      <w:r w:rsidRPr="00C72A74">
        <w:rPr>
          <w:b/>
          <w:i/>
        </w:rPr>
        <w:t>final quarter</w:t>
      </w:r>
      <w:r w:rsidRPr="00C72A74">
        <w:t xml:space="preserve"> means the period from 1</w:t>
      </w:r>
      <w:r w:rsidR="00C72A74">
        <w:t> </w:t>
      </w:r>
      <w:r w:rsidRPr="00C72A74">
        <w:t>October to 31</w:t>
      </w:r>
      <w:r w:rsidR="00C72A74">
        <w:t> </w:t>
      </w:r>
      <w:r w:rsidRPr="00C72A74">
        <w:t xml:space="preserve">December in an </w:t>
      </w:r>
      <w:proofErr w:type="spellStart"/>
      <w:r w:rsidRPr="00C72A74">
        <w:t>ATS</w:t>
      </w:r>
      <w:proofErr w:type="spellEnd"/>
      <w:r w:rsidRPr="00C72A74">
        <w:t xml:space="preserve"> year.</w:t>
      </w:r>
    </w:p>
    <w:p w:rsidR="000F716A" w:rsidRPr="00C72A74" w:rsidRDefault="000F716A" w:rsidP="002F064D">
      <w:pPr>
        <w:pStyle w:val="Definition"/>
      </w:pPr>
      <w:proofErr w:type="spellStart"/>
      <w:r w:rsidRPr="00C72A74">
        <w:rPr>
          <w:b/>
          <w:i/>
        </w:rPr>
        <w:t>MVP</w:t>
      </w:r>
      <w:proofErr w:type="spellEnd"/>
      <w:r w:rsidRPr="00C72A74">
        <w:rPr>
          <w:b/>
          <w:i/>
        </w:rPr>
        <w:t xml:space="preserve"> modulation rate</w:t>
      </w:r>
      <w:r w:rsidRPr="00C72A74">
        <w:t xml:space="preserve"> means the modulation rate for </w:t>
      </w:r>
      <w:proofErr w:type="spellStart"/>
      <w:r w:rsidRPr="00C72A74">
        <w:t>MVPs</w:t>
      </w:r>
      <w:proofErr w:type="spellEnd"/>
      <w:r w:rsidRPr="00C72A74">
        <w:t xml:space="preserve"> worked out in accordance with </w:t>
      </w:r>
      <w:r w:rsidR="002F064D" w:rsidRPr="00C72A74">
        <w:t>Part</w:t>
      </w:r>
      <w:r w:rsidR="00C72A74">
        <w:t> </w:t>
      </w:r>
      <w:r w:rsidRPr="00C72A74">
        <w:t>3.</w:t>
      </w:r>
    </w:p>
    <w:p w:rsidR="000F716A" w:rsidRPr="00C72A74" w:rsidRDefault="002F064D" w:rsidP="002F064D">
      <w:pPr>
        <w:pStyle w:val="notetext"/>
      </w:pPr>
      <w:r w:rsidRPr="00C72A74">
        <w:t>Note:</w:t>
      </w:r>
      <w:r w:rsidRPr="00C72A74">
        <w:tab/>
      </w:r>
      <w:r w:rsidR="000F716A" w:rsidRPr="00C72A74">
        <w:t xml:space="preserve">The </w:t>
      </w:r>
      <w:proofErr w:type="spellStart"/>
      <w:r w:rsidR="000F716A" w:rsidRPr="00C72A74">
        <w:t>MVP</w:t>
      </w:r>
      <w:proofErr w:type="spellEnd"/>
      <w:r w:rsidR="000F716A" w:rsidRPr="00C72A74">
        <w:t xml:space="preserve"> modulation rate is used to modulate an amount, in relation to an </w:t>
      </w:r>
      <w:proofErr w:type="spellStart"/>
      <w:r w:rsidR="000F716A" w:rsidRPr="00C72A74">
        <w:t>MVP</w:t>
      </w:r>
      <w:proofErr w:type="spellEnd"/>
      <w:r w:rsidR="000F716A" w:rsidRPr="00C72A74">
        <w:t xml:space="preserve">, to ensure that the funding for the relevant </w:t>
      </w:r>
      <w:proofErr w:type="spellStart"/>
      <w:r w:rsidR="000F716A" w:rsidRPr="00C72A74">
        <w:t>ATS</w:t>
      </w:r>
      <w:proofErr w:type="spellEnd"/>
      <w:r w:rsidR="000F716A" w:rsidRPr="00C72A74">
        <w:t xml:space="preserve"> year and relevant ATS stage is not exceeded.</w:t>
      </w:r>
    </w:p>
    <w:p w:rsidR="000F716A" w:rsidRPr="00C72A74" w:rsidRDefault="000F716A" w:rsidP="002F064D">
      <w:pPr>
        <w:pStyle w:val="Definition"/>
      </w:pPr>
      <w:r w:rsidRPr="00C72A74">
        <w:rPr>
          <w:b/>
          <w:i/>
        </w:rPr>
        <w:t>non–MVP</w:t>
      </w:r>
      <w:r w:rsidRPr="00C72A74">
        <w:t xml:space="preserve"> means an ATS participant who is</w:t>
      </w:r>
      <w:r w:rsidR="000B6D07" w:rsidRPr="00C72A74">
        <w:t xml:space="preserve"> an ACP, AMTP or ASP</w:t>
      </w:r>
      <w:r w:rsidRPr="00C72A74">
        <w:t>.</w:t>
      </w:r>
    </w:p>
    <w:p w:rsidR="000F716A" w:rsidRPr="00C72A74" w:rsidRDefault="002F064D" w:rsidP="002F064D">
      <w:pPr>
        <w:pStyle w:val="notetext"/>
      </w:pPr>
      <w:r w:rsidRPr="00C72A74">
        <w:t>Note:</w:t>
      </w:r>
      <w:r w:rsidRPr="00C72A74">
        <w:tab/>
      </w:r>
      <w:r w:rsidR="000F716A" w:rsidRPr="00C72A74">
        <w:rPr>
          <w:b/>
          <w:i/>
        </w:rPr>
        <w:t>ATS participant</w:t>
      </w:r>
      <w:r w:rsidR="000F716A" w:rsidRPr="00C72A74">
        <w:t xml:space="preserve"> is defined in the Act.</w:t>
      </w:r>
    </w:p>
    <w:p w:rsidR="000F716A" w:rsidRPr="00C72A74" w:rsidRDefault="000F716A" w:rsidP="002F064D">
      <w:pPr>
        <w:pStyle w:val="Definition"/>
      </w:pPr>
      <w:r w:rsidRPr="00C72A74">
        <w:rPr>
          <w:b/>
          <w:i/>
        </w:rPr>
        <w:t>non–MVP modulation rate</w:t>
      </w:r>
      <w:r w:rsidRPr="00C72A74">
        <w:t xml:space="preserve"> means the modulation rate for non</w:t>
      </w:r>
      <w:r w:rsidR="00C72A74">
        <w:noBreakHyphen/>
      </w:r>
      <w:r w:rsidRPr="00C72A74">
        <w:t xml:space="preserve">MVPs worked out in accordance with </w:t>
      </w:r>
      <w:r w:rsidR="002F064D" w:rsidRPr="00C72A74">
        <w:t>Part</w:t>
      </w:r>
      <w:r w:rsidR="00C72A74">
        <w:t> </w:t>
      </w:r>
      <w:r w:rsidRPr="00C72A74">
        <w:t>3.</w:t>
      </w:r>
    </w:p>
    <w:p w:rsidR="000F716A" w:rsidRPr="00C72A74" w:rsidRDefault="002F064D" w:rsidP="002F064D">
      <w:pPr>
        <w:pStyle w:val="notetext"/>
      </w:pPr>
      <w:r w:rsidRPr="00C72A74">
        <w:t>Note:</w:t>
      </w:r>
      <w:r w:rsidRPr="00C72A74">
        <w:tab/>
      </w:r>
      <w:r w:rsidR="000F716A" w:rsidRPr="00C72A74">
        <w:t>The non</w:t>
      </w:r>
      <w:r w:rsidR="00C72A74">
        <w:noBreakHyphen/>
      </w:r>
      <w:r w:rsidR="000F716A" w:rsidRPr="00C72A74">
        <w:t>MVP modulation rate is used to modulate an amount, in relation to a non</w:t>
      </w:r>
      <w:r w:rsidR="00C72A74">
        <w:noBreakHyphen/>
      </w:r>
      <w:r w:rsidR="000F716A" w:rsidRPr="00C72A74">
        <w:t>MVP, to ensure that the funding for the relevant ATS year and relevant ATS stage is not exceeded.</w:t>
      </w:r>
    </w:p>
    <w:p w:rsidR="000B6D07" w:rsidRPr="00C72A74" w:rsidRDefault="000B6D07" w:rsidP="002F064D">
      <w:pPr>
        <w:pStyle w:val="Definition"/>
      </w:pPr>
      <w:r w:rsidRPr="00C72A74">
        <w:rPr>
          <w:b/>
          <w:i/>
        </w:rPr>
        <w:t>other Commonwealth assistance</w:t>
      </w:r>
      <w:r w:rsidRPr="00C72A74">
        <w:t xml:space="preserve"> has the meaning given by section</w:t>
      </w:r>
      <w:r w:rsidR="00C72A74">
        <w:t> </w:t>
      </w:r>
      <w:r w:rsidRPr="00C72A74">
        <w:t>4.1.</w:t>
      </w:r>
    </w:p>
    <w:p w:rsidR="008B6680" w:rsidRPr="00C72A74" w:rsidRDefault="008B6680" w:rsidP="002F064D">
      <w:pPr>
        <w:pStyle w:val="Definition"/>
      </w:pPr>
      <w:r w:rsidRPr="00C72A74">
        <w:rPr>
          <w:b/>
          <w:i/>
        </w:rPr>
        <w:t xml:space="preserve">registration quarter </w:t>
      </w:r>
      <w:r w:rsidRPr="00C72A74">
        <w:t>means the quarter in which a person’s registration as a participant under ACIS took effect.</w:t>
      </w:r>
    </w:p>
    <w:p w:rsidR="000F716A" w:rsidRPr="00C72A74" w:rsidRDefault="000F716A" w:rsidP="002F064D">
      <w:pPr>
        <w:pStyle w:val="Definition"/>
      </w:pPr>
      <w:r w:rsidRPr="00C72A74">
        <w:rPr>
          <w:b/>
          <w:i/>
        </w:rPr>
        <w:t xml:space="preserve">Regulations </w:t>
      </w:r>
      <w:r w:rsidRPr="00C72A74">
        <w:t xml:space="preserve">means the </w:t>
      </w:r>
      <w:r w:rsidRPr="00C72A74">
        <w:rPr>
          <w:i/>
        </w:rPr>
        <w:t>Automotive Transformation Scheme Regulations</w:t>
      </w:r>
      <w:r w:rsidR="00C72A74">
        <w:rPr>
          <w:i/>
        </w:rPr>
        <w:t> </w:t>
      </w:r>
      <w:r w:rsidRPr="00C72A74">
        <w:rPr>
          <w:i/>
        </w:rPr>
        <w:t>2010</w:t>
      </w:r>
      <w:r w:rsidRPr="00C72A74">
        <w:t>.</w:t>
      </w:r>
    </w:p>
    <w:p w:rsidR="000F716A" w:rsidRPr="00C72A74" w:rsidRDefault="000F716A" w:rsidP="002F064D">
      <w:pPr>
        <w:pStyle w:val="Definition"/>
      </w:pPr>
      <w:r w:rsidRPr="00C72A74">
        <w:rPr>
          <w:b/>
          <w:i/>
        </w:rPr>
        <w:t>relevant quarter</w:t>
      </w:r>
      <w:r w:rsidRPr="00C72A74">
        <w:t xml:space="preserve"> means:</w:t>
      </w:r>
    </w:p>
    <w:p w:rsidR="000F716A" w:rsidRPr="00C72A74" w:rsidRDefault="000F716A" w:rsidP="002F064D">
      <w:pPr>
        <w:pStyle w:val="paragraph"/>
      </w:pPr>
      <w:r w:rsidRPr="00C72A74">
        <w:tab/>
        <w:t>(a)</w:t>
      </w:r>
      <w:r w:rsidRPr="00C72A74">
        <w:tab/>
        <w:t xml:space="preserve">in relation to an ATS participant to whom the transitional arrangements under </w:t>
      </w:r>
      <w:r w:rsidR="002F064D" w:rsidRPr="00C72A74">
        <w:t>Part</w:t>
      </w:r>
      <w:r w:rsidR="00C72A74">
        <w:t> </w:t>
      </w:r>
      <w:r w:rsidRPr="00C72A74">
        <w:t>7 of the Regulations do not apply and who provides a return for a particular quarter under regulation</w:t>
      </w:r>
      <w:r w:rsidR="00C72A74">
        <w:t> </w:t>
      </w:r>
      <w:r w:rsidRPr="00C72A74">
        <w:t>3.1, each of the quarters included within the period comprising:</w:t>
      </w:r>
    </w:p>
    <w:p w:rsidR="000F716A" w:rsidRPr="00C72A74" w:rsidRDefault="00873572" w:rsidP="002F064D">
      <w:pPr>
        <w:pStyle w:val="paragraphsub"/>
      </w:pPr>
      <w:r w:rsidRPr="00C72A74">
        <w:tab/>
      </w:r>
      <w:r w:rsidR="000F716A" w:rsidRPr="00C72A74">
        <w:t>(i)</w:t>
      </w:r>
      <w:r w:rsidR="000F716A" w:rsidRPr="00C72A74">
        <w:tab/>
        <w:t xml:space="preserve">if the quarter is the first quarter in an ATS year after an application for registration is granted, the 8 quarters </w:t>
      </w:r>
      <w:r w:rsidR="000B6D07" w:rsidRPr="00C72A74">
        <w:t>before</w:t>
      </w:r>
      <w:r w:rsidR="000F716A" w:rsidRPr="00C72A74">
        <w:t xml:space="preserve"> </w:t>
      </w:r>
      <w:r w:rsidR="000B6D07" w:rsidRPr="00C72A74">
        <w:t>the</w:t>
      </w:r>
      <w:r w:rsidR="000F716A" w:rsidRPr="00C72A74">
        <w:t xml:space="preserve"> quarter; and</w:t>
      </w:r>
    </w:p>
    <w:p w:rsidR="000F716A" w:rsidRPr="00C72A74" w:rsidRDefault="00873572" w:rsidP="002F064D">
      <w:pPr>
        <w:pStyle w:val="paragraphsub"/>
      </w:pPr>
      <w:r w:rsidRPr="00C72A74">
        <w:lastRenderedPageBreak/>
        <w:tab/>
      </w:r>
      <w:r w:rsidR="000F716A" w:rsidRPr="00C72A74">
        <w:t>(ii)</w:t>
      </w:r>
      <w:r w:rsidR="000F716A" w:rsidRPr="00C72A74">
        <w:tab/>
        <w:t xml:space="preserve">if the quarter is the second quarter in an ATS year after an application for registration is granted, the 9 quarters </w:t>
      </w:r>
      <w:r w:rsidR="000B6D07" w:rsidRPr="00C72A74">
        <w:t>before</w:t>
      </w:r>
      <w:r w:rsidR="000F716A" w:rsidRPr="00C72A74">
        <w:t xml:space="preserve"> </w:t>
      </w:r>
      <w:r w:rsidR="000B6D07" w:rsidRPr="00C72A74">
        <w:t>the</w:t>
      </w:r>
      <w:r w:rsidR="000F716A" w:rsidRPr="00C72A74">
        <w:t xml:space="preserve"> quarter; and</w:t>
      </w:r>
    </w:p>
    <w:p w:rsidR="000F716A" w:rsidRPr="00C72A74" w:rsidRDefault="00873572" w:rsidP="002F064D">
      <w:pPr>
        <w:pStyle w:val="paragraphsub"/>
      </w:pPr>
      <w:r w:rsidRPr="00C72A74">
        <w:tab/>
      </w:r>
      <w:r w:rsidR="000F716A" w:rsidRPr="00C72A74">
        <w:t>(iii)</w:t>
      </w:r>
      <w:r w:rsidR="000F716A" w:rsidRPr="00C72A74">
        <w:tab/>
        <w:t xml:space="preserve">if the quarter is the third quarter in an ATS year after an application for registration is granted, the 10 quarters </w:t>
      </w:r>
      <w:r w:rsidR="000B6D07" w:rsidRPr="00C72A74">
        <w:t>before</w:t>
      </w:r>
      <w:r w:rsidR="000F716A" w:rsidRPr="00C72A74">
        <w:t xml:space="preserve"> </w:t>
      </w:r>
      <w:r w:rsidR="000B6D07" w:rsidRPr="00C72A74">
        <w:t>the</w:t>
      </w:r>
      <w:r w:rsidR="000F716A" w:rsidRPr="00C72A74">
        <w:t xml:space="preserve"> quarter; and</w:t>
      </w:r>
    </w:p>
    <w:p w:rsidR="000F716A" w:rsidRPr="00C72A74" w:rsidRDefault="00873572" w:rsidP="002F064D">
      <w:pPr>
        <w:pStyle w:val="paragraphsub"/>
      </w:pPr>
      <w:r w:rsidRPr="00C72A74">
        <w:tab/>
      </w:r>
      <w:r w:rsidR="000F716A" w:rsidRPr="00C72A74">
        <w:t>(iv)</w:t>
      </w:r>
      <w:r w:rsidR="000F716A" w:rsidRPr="00C72A74">
        <w:tab/>
        <w:t xml:space="preserve">if the quarter is the fourth quarter in an ATS year after an application for registration is granted, or any later quarter, the 11 quarters </w:t>
      </w:r>
      <w:r w:rsidR="000B6D07" w:rsidRPr="00C72A74">
        <w:t>before</w:t>
      </w:r>
      <w:r w:rsidR="000F716A" w:rsidRPr="00C72A74">
        <w:t xml:space="preserve"> </w:t>
      </w:r>
      <w:r w:rsidR="000B6D07" w:rsidRPr="00C72A74">
        <w:t>the</w:t>
      </w:r>
      <w:r w:rsidR="000F716A" w:rsidRPr="00C72A74">
        <w:t xml:space="preserve"> quarter; and</w:t>
      </w:r>
    </w:p>
    <w:p w:rsidR="000F716A" w:rsidRPr="00C72A74" w:rsidRDefault="000F716A" w:rsidP="002F064D">
      <w:pPr>
        <w:pStyle w:val="paragraph"/>
      </w:pPr>
      <w:r w:rsidRPr="00C72A74">
        <w:tab/>
        <w:t>(b)</w:t>
      </w:r>
      <w:r w:rsidRPr="00C72A74">
        <w:tab/>
        <w:t xml:space="preserve">in relation to a participant </w:t>
      </w:r>
      <w:r w:rsidR="001153CA" w:rsidRPr="00C72A74">
        <w:t xml:space="preserve">in ACIS whom becomes an ATS participant </w:t>
      </w:r>
      <w:r w:rsidRPr="00C72A74">
        <w:t>and who provides a return for a particular quarter under regulation</w:t>
      </w:r>
      <w:r w:rsidR="00C72A74">
        <w:t> </w:t>
      </w:r>
      <w:r w:rsidRPr="00C72A74">
        <w:t>3.1:</w:t>
      </w:r>
    </w:p>
    <w:p w:rsidR="000F716A" w:rsidRPr="00C72A74" w:rsidRDefault="00873572" w:rsidP="002F064D">
      <w:pPr>
        <w:pStyle w:val="paragraphsub"/>
      </w:pPr>
      <w:r w:rsidRPr="00C72A74">
        <w:tab/>
      </w:r>
      <w:r w:rsidR="000F716A" w:rsidRPr="00C72A74">
        <w:t>(i)</w:t>
      </w:r>
      <w:r w:rsidR="000F716A" w:rsidRPr="00C72A74">
        <w:tab/>
        <w:t xml:space="preserve">until the end of ATS year 3, each of the quarters included within </w:t>
      </w:r>
      <w:r w:rsidR="000B6D07" w:rsidRPr="00C72A74">
        <w:t>a</w:t>
      </w:r>
      <w:r w:rsidR="000F716A" w:rsidRPr="00C72A74">
        <w:t xml:space="preserve"> period set out in</w:t>
      </w:r>
      <w:r w:rsidR="000B6D07" w:rsidRPr="00C72A74">
        <w:t xml:space="preserve"> column 3 of</w:t>
      </w:r>
      <w:r w:rsidR="000F716A" w:rsidRPr="00C72A74">
        <w:t xml:space="preserve"> </w:t>
      </w:r>
      <w:r w:rsidR="002F064D" w:rsidRPr="00C72A74">
        <w:t>Schedule</w:t>
      </w:r>
      <w:r w:rsidR="00C72A74">
        <w:t> </w:t>
      </w:r>
      <w:r w:rsidR="000F716A" w:rsidRPr="00C72A74">
        <w:t>2; and</w:t>
      </w:r>
    </w:p>
    <w:p w:rsidR="000F716A" w:rsidRPr="00C72A74" w:rsidRDefault="00873572" w:rsidP="002F064D">
      <w:pPr>
        <w:pStyle w:val="paragraphsub"/>
      </w:pPr>
      <w:r w:rsidRPr="00C72A74">
        <w:tab/>
      </w:r>
      <w:r w:rsidR="000F716A" w:rsidRPr="00C72A74">
        <w:t>(ii)</w:t>
      </w:r>
      <w:r w:rsidR="000F716A" w:rsidRPr="00C72A74">
        <w:tab/>
        <w:t xml:space="preserve">after the end of ATS year 3, the 11 quarters </w:t>
      </w:r>
      <w:r w:rsidR="000B6D07" w:rsidRPr="00C72A74">
        <w:t>before</w:t>
      </w:r>
      <w:r w:rsidR="000F716A" w:rsidRPr="00C72A74">
        <w:t xml:space="preserve"> the </w:t>
      </w:r>
      <w:r w:rsidR="003E3A4C" w:rsidRPr="00C72A74">
        <w:t xml:space="preserve">particular </w:t>
      </w:r>
      <w:r w:rsidR="000F716A" w:rsidRPr="00C72A74">
        <w:t>quarter.</w:t>
      </w:r>
    </w:p>
    <w:p w:rsidR="000F716A" w:rsidRPr="00C72A74" w:rsidRDefault="002F064D" w:rsidP="002F064D">
      <w:pPr>
        <w:pStyle w:val="notetext"/>
      </w:pPr>
      <w:r w:rsidRPr="00C72A74">
        <w:t>Note:</w:t>
      </w:r>
      <w:r w:rsidRPr="00C72A74">
        <w:tab/>
        <w:t>Schedule</w:t>
      </w:r>
      <w:r w:rsidR="00C72A74">
        <w:t> </w:t>
      </w:r>
      <w:r w:rsidR="000F716A" w:rsidRPr="00C72A74">
        <w:t xml:space="preserve">2 sets out the number of </w:t>
      </w:r>
      <w:r w:rsidR="000B6D07" w:rsidRPr="00C72A74">
        <w:t xml:space="preserve">quarters under </w:t>
      </w:r>
      <w:r w:rsidR="000F716A" w:rsidRPr="00C72A74">
        <w:t>ACIS that may be</w:t>
      </w:r>
      <w:r w:rsidR="000B6D07" w:rsidRPr="00C72A74">
        <w:t xml:space="preserve"> treated as eligible investment under the Scheme</w:t>
      </w:r>
      <w:r w:rsidR="000F716A" w:rsidRPr="00C72A74">
        <w:t>.</w:t>
      </w:r>
      <w:r w:rsidR="000F716A" w:rsidRPr="00C72A74">
        <w:rPr>
          <w:i/>
        </w:rPr>
        <w:t xml:space="preserve">  </w:t>
      </w:r>
    </w:p>
    <w:p w:rsidR="000F716A" w:rsidRPr="00C72A74" w:rsidRDefault="000F716A" w:rsidP="002F064D">
      <w:pPr>
        <w:pStyle w:val="Definition"/>
      </w:pPr>
      <w:r w:rsidRPr="00C72A74">
        <w:rPr>
          <w:b/>
          <w:i/>
        </w:rPr>
        <w:t>Scheme</w:t>
      </w:r>
      <w:r w:rsidRPr="00C72A74">
        <w:rPr>
          <w:i/>
        </w:rPr>
        <w:t xml:space="preserve"> </w:t>
      </w:r>
      <w:r w:rsidRPr="00C72A74">
        <w:t>means the ATS.</w:t>
      </w:r>
    </w:p>
    <w:p w:rsidR="00C3092C" w:rsidRPr="00C72A74" w:rsidRDefault="00C3092C" w:rsidP="002F064D">
      <w:pPr>
        <w:pStyle w:val="Definition"/>
      </w:pPr>
      <w:r w:rsidRPr="00C72A74">
        <w:rPr>
          <w:b/>
          <w:i/>
        </w:rPr>
        <w:t>Scheme debt capped offset amount</w:t>
      </w:r>
      <w:r w:rsidRPr="00C72A74">
        <w:t xml:space="preserve"> means the amount of </w:t>
      </w:r>
      <w:r w:rsidR="0001691F" w:rsidRPr="00C72A74">
        <w:t xml:space="preserve">capped assistance that is </w:t>
      </w:r>
      <w:r w:rsidRPr="00C72A74">
        <w:t xml:space="preserve">Scheme debt </w:t>
      </w:r>
      <w:r w:rsidR="0001691F" w:rsidRPr="00C72A74">
        <w:t>being recovered by offsetting under regulation</w:t>
      </w:r>
      <w:r w:rsidR="00C72A74">
        <w:t> </w:t>
      </w:r>
      <w:r w:rsidR="0001691F" w:rsidRPr="00C72A74">
        <w:t>4.2.</w:t>
      </w:r>
    </w:p>
    <w:p w:rsidR="0001691F" w:rsidRPr="00C72A74" w:rsidRDefault="006F12AE" w:rsidP="002F064D">
      <w:pPr>
        <w:pStyle w:val="Definition"/>
        <w:rPr>
          <w:b/>
          <w:i/>
        </w:rPr>
      </w:pPr>
      <w:r w:rsidRPr="00C72A74">
        <w:rPr>
          <w:b/>
          <w:i/>
        </w:rPr>
        <w:t>Scheme debt uncapped offset amount</w:t>
      </w:r>
      <w:r w:rsidRPr="00C72A74">
        <w:t xml:space="preserve"> means the amount of uncapped assistance that is Scheme debt being recovered by offsetting under regulation</w:t>
      </w:r>
      <w:r w:rsidR="00C72A74">
        <w:t> </w:t>
      </w:r>
      <w:r w:rsidRPr="00C72A74">
        <w:t>4.2.</w:t>
      </w:r>
    </w:p>
    <w:p w:rsidR="003B7D26" w:rsidRPr="00C72A74" w:rsidRDefault="002F064D" w:rsidP="002F064D">
      <w:pPr>
        <w:pStyle w:val="notetext"/>
      </w:pPr>
      <w:r w:rsidRPr="00C72A74">
        <w:t>Note:</w:t>
      </w:r>
      <w:r w:rsidRPr="00C72A74">
        <w:tab/>
      </w:r>
      <w:r w:rsidR="003B7D26" w:rsidRPr="00C72A74">
        <w:t>Several other words and expressions used in th</w:t>
      </w:r>
      <w:r w:rsidR="00D91965" w:rsidRPr="00C72A74">
        <w:t>ese</w:t>
      </w:r>
      <w:r w:rsidR="003B7D26" w:rsidRPr="00C72A74">
        <w:t xml:space="preserve"> </w:t>
      </w:r>
      <w:r w:rsidR="00D91965" w:rsidRPr="00C72A74">
        <w:t>O</w:t>
      </w:r>
      <w:r w:rsidR="003B7D26" w:rsidRPr="00C72A74">
        <w:t>rder</w:t>
      </w:r>
      <w:r w:rsidR="00D91965" w:rsidRPr="00C72A74">
        <w:t xml:space="preserve">s have the meaning </w:t>
      </w:r>
      <w:r w:rsidR="003B7D26" w:rsidRPr="00C72A74">
        <w:t>given by regulation</w:t>
      </w:r>
      <w:r w:rsidR="00C72A74">
        <w:t> </w:t>
      </w:r>
      <w:r w:rsidR="003B7D26" w:rsidRPr="00C72A74">
        <w:t>1.5 of the Regulations. For example:</w:t>
      </w:r>
    </w:p>
    <w:p w:rsidR="003B7D26" w:rsidRPr="00C72A74" w:rsidRDefault="003B7D26" w:rsidP="003A444C">
      <w:pPr>
        <w:pStyle w:val="notepara"/>
        <w:numPr>
          <w:ilvl w:val="0"/>
          <w:numId w:val="35"/>
        </w:numPr>
        <w:ind w:left="2410" w:hanging="425"/>
      </w:pPr>
      <w:r w:rsidRPr="00C72A74">
        <w:t>ACP</w:t>
      </w:r>
    </w:p>
    <w:p w:rsidR="003B7D26" w:rsidRPr="00C72A74" w:rsidRDefault="003B7D26" w:rsidP="003A444C">
      <w:pPr>
        <w:pStyle w:val="notepara"/>
        <w:numPr>
          <w:ilvl w:val="0"/>
          <w:numId w:val="35"/>
        </w:numPr>
        <w:ind w:left="2410" w:hanging="425"/>
      </w:pPr>
      <w:r w:rsidRPr="00C72A74">
        <w:t>allowable plant and equipment</w:t>
      </w:r>
    </w:p>
    <w:p w:rsidR="003B7D26" w:rsidRPr="00C72A74" w:rsidRDefault="003B7D26" w:rsidP="003A444C">
      <w:pPr>
        <w:pStyle w:val="notepara"/>
        <w:numPr>
          <w:ilvl w:val="0"/>
          <w:numId w:val="35"/>
        </w:numPr>
        <w:ind w:left="2410" w:hanging="425"/>
      </w:pPr>
      <w:r w:rsidRPr="00C72A74">
        <w:t>allowable research and development</w:t>
      </w:r>
    </w:p>
    <w:p w:rsidR="003B7D26" w:rsidRPr="00C72A74" w:rsidRDefault="003B7D26" w:rsidP="003A444C">
      <w:pPr>
        <w:pStyle w:val="notepara"/>
        <w:numPr>
          <w:ilvl w:val="0"/>
          <w:numId w:val="35"/>
        </w:numPr>
        <w:ind w:left="2410" w:hanging="425"/>
      </w:pPr>
      <w:r w:rsidRPr="00C72A74">
        <w:t>AMTP</w:t>
      </w:r>
    </w:p>
    <w:p w:rsidR="003B7D26" w:rsidRPr="00C72A74" w:rsidRDefault="003B7D26" w:rsidP="003A444C">
      <w:pPr>
        <w:pStyle w:val="notepara"/>
        <w:numPr>
          <w:ilvl w:val="0"/>
          <w:numId w:val="35"/>
        </w:numPr>
        <w:ind w:left="2410" w:hanging="425"/>
      </w:pPr>
      <w:r w:rsidRPr="00C72A74">
        <w:t>ASP</w:t>
      </w:r>
    </w:p>
    <w:p w:rsidR="003B7D26" w:rsidRPr="00C72A74" w:rsidRDefault="003B7D26" w:rsidP="003A444C">
      <w:pPr>
        <w:pStyle w:val="notepara"/>
        <w:numPr>
          <w:ilvl w:val="0"/>
          <w:numId w:val="35"/>
        </w:numPr>
        <w:ind w:left="2410" w:hanging="425"/>
      </w:pPr>
      <w:r w:rsidRPr="00C72A74">
        <w:t>ATS year</w:t>
      </w:r>
    </w:p>
    <w:p w:rsidR="003B7D26" w:rsidRPr="00C72A74" w:rsidRDefault="003B7D26" w:rsidP="003A444C">
      <w:pPr>
        <w:pStyle w:val="notepara"/>
        <w:numPr>
          <w:ilvl w:val="0"/>
          <w:numId w:val="35"/>
        </w:numPr>
        <w:ind w:left="2410" w:hanging="425"/>
      </w:pPr>
      <w:r w:rsidRPr="00C72A74">
        <w:t>automotive component</w:t>
      </w:r>
    </w:p>
    <w:p w:rsidR="003B7D26" w:rsidRPr="00C72A74" w:rsidRDefault="003B7D26" w:rsidP="003A444C">
      <w:pPr>
        <w:pStyle w:val="notepara"/>
        <w:numPr>
          <w:ilvl w:val="0"/>
          <w:numId w:val="35"/>
        </w:numPr>
        <w:ind w:left="2410" w:hanging="425"/>
      </w:pPr>
      <w:r w:rsidRPr="00C72A74">
        <w:t xml:space="preserve">automotive machine tools </w:t>
      </w:r>
    </w:p>
    <w:p w:rsidR="003B7D26" w:rsidRPr="00C72A74" w:rsidRDefault="003B7D26" w:rsidP="003A444C">
      <w:pPr>
        <w:pStyle w:val="notepara"/>
        <w:numPr>
          <w:ilvl w:val="0"/>
          <w:numId w:val="35"/>
        </w:numPr>
        <w:ind w:left="2410" w:hanging="425"/>
      </w:pPr>
      <w:r w:rsidRPr="00C72A74">
        <w:t>automotive services</w:t>
      </w:r>
    </w:p>
    <w:p w:rsidR="003B7D26" w:rsidRPr="00C72A74" w:rsidRDefault="003B7D26" w:rsidP="003A444C">
      <w:pPr>
        <w:pStyle w:val="notepara"/>
        <w:numPr>
          <w:ilvl w:val="0"/>
          <w:numId w:val="35"/>
        </w:numPr>
        <w:ind w:left="2410" w:hanging="425"/>
      </w:pPr>
      <w:r w:rsidRPr="00C72A74">
        <w:t>automotive tooling</w:t>
      </w:r>
    </w:p>
    <w:p w:rsidR="003B7D26" w:rsidRPr="00C72A74" w:rsidRDefault="003B7D26" w:rsidP="003A444C">
      <w:pPr>
        <w:pStyle w:val="notepara"/>
        <w:numPr>
          <w:ilvl w:val="0"/>
          <w:numId w:val="35"/>
        </w:numPr>
        <w:ind w:left="2410" w:hanging="425"/>
      </w:pPr>
      <w:r w:rsidRPr="00C72A74">
        <w:t>eligible investment</w:t>
      </w:r>
    </w:p>
    <w:p w:rsidR="003B7D26" w:rsidRPr="00C72A74" w:rsidRDefault="003B7D26" w:rsidP="003A444C">
      <w:pPr>
        <w:pStyle w:val="notepara"/>
        <w:numPr>
          <w:ilvl w:val="0"/>
          <w:numId w:val="35"/>
        </w:numPr>
        <w:ind w:left="2410" w:hanging="425"/>
      </w:pPr>
      <w:r w:rsidRPr="00C72A74">
        <w:t>engine</w:t>
      </w:r>
    </w:p>
    <w:p w:rsidR="003B7D26" w:rsidRPr="00C72A74" w:rsidRDefault="003B7D26" w:rsidP="003A444C">
      <w:pPr>
        <w:pStyle w:val="notepara"/>
        <w:numPr>
          <w:ilvl w:val="0"/>
          <w:numId w:val="35"/>
        </w:numPr>
        <w:ind w:left="2410" w:hanging="425"/>
      </w:pPr>
      <w:r w:rsidRPr="00C72A74">
        <w:t>engine components</w:t>
      </w:r>
    </w:p>
    <w:p w:rsidR="003B7D26" w:rsidRPr="00C72A74" w:rsidRDefault="003B7D26" w:rsidP="003A444C">
      <w:pPr>
        <w:pStyle w:val="notepara"/>
        <w:numPr>
          <w:ilvl w:val="0"/>
          <w:numId w:val="35"/>
        </w:numPr>
        <w:ind w:left="2410" w:hanging="425"/>
      </w:pPr>
      <w:r w:rsidRPr="00C72A74">
        <w:t>MVP</w:t>
      </w:r>
    </w:p>
    <w:p w:rsidR="003B7D26" w:rsidRPr="00C72A74" w:rsidRDefault="003B7D26" w:rsidP="003A444C">
      <w:pPr>
        <w:pStyle w:val="notepara"/>
        <w:numPr>
          <w:ilvl w:val="0"/>
          <w:numId w:val="35"/>
        </w:numPr>
        <w:ind w:left="2410" w:hanging="425"/>
      </w:pPr>
      <w:r w:rsidRPr="00C72A74">
        <w:t>MVP’s own use.</w:t>
      </w:r>
    </w:p>
    <w:p w:rsidR="000F716A" w:rsidRPr="00C72A74" w:rsidRDefault="000F716A" w:rsidP="002F064D">
      <w:pPr>
        <w:pStyle w:val="ActHead2"/>
        <w:pageBreakBefore/>
      </w:pPr>
      <w:bookmarkStart w:id="5" w:name="_Toc359833545"/>
      <w:r w:rsidRPr="00C72A74">
        <w:rPr>
          <w:rStyle w:val="CharPartNo"/>
        </w:rPr>
        <w:lastRenderedPageBreak/>
        <w:t>Part</w:t>
      </w:r>
      <w:r w:rsidR="00C72A74" w:rsidRPr="00C72A74">
        <w:rPr>
          <w:rStyle w:val="CharPartNo"/>
        </w:rPr>
        <w:t> </w:t>
      </w:r>
      <w:r w:rsidRPr="00C72A74">
        <w:rPr>
          <w:rStyle w:val="CharPartNo"/>
        </w:rPr>
        <w:t>2</w:t>
      </w:r>
      <w:r w:rsidR="002F064D" w:rsidRPr="00C72A74">
        <w:t>—</w:t>
      </w:r>
      <w:r w:rsidRPr="00C72A74">
        <w:rPr>
          <w:rStyle w:val="CharPartText"/>
        </w:rPr>
        <w:t>Working out production and investment amounts for ATS participants</w:t>
      </w:r>
      <w:bookmarkEnd w:id="5"/>
    </w:p>
    <w:p w:rsidR="00770DDA" w:rsidRPr="00C72A74" w:rsidRDefault="002F064D" w:rsidP="00770DDA">
      <w:pPr>
        <w:pStyle w:val="Header"/>
      </w:pPr>
      <w:r w:rsidRPr="00C72A74">
        <w:rPr>
          <w:rStyle w:val="CharDivNo"/>
        </w:rPr>
        <w:t xml:space="preserve"> </w:t>
      </w:r>
      <w:r w:rsidRPr="00C72A74">
        <w:rPr>
          <w:rStyle w:val="CharDivText"/>
        </w:rPr>
        <w:t xml:space="preserve"> </w:t>
      </w:r>
    </w:p>
    <w:p w:rsidR="000F716A" w:rsidRPr="00AE3607" w:rsidRDefault="003A444C" w:rsidP="000F716A">
      <w:pPr>
        <w:pBdr>
          <w:top w:val="single" w:sz="4" w:space="6" w:color="auto"/>
          <w:left w:val="single" w:sz="4" w:space="4" w:color="auto"/>
          <w:bottom w:val="single" w:sz="4" w:space="6" w:color="auto"/>
          <w:right w:val="single" w:sz="4" w:space="4" w:color="auto"/>
        </w:pBdr>
        <w:spacing w:after="120"/>
        <w:rPr>
          <w:sz w:val="18"/>
          <w:szCs w:val="18"/>
        </w:rPr>
      </w:pPr>
      <w:r w:rsidRPr="00AE3607">
        <w:rPr>
          <w:sz w:val="18"/>
          <w:szCs w:val="18"/>
        </w:rPr>
        <w:t>General notes:</w:t>
      </w:r>
    </w:p>
    <w:p w:rsidR="000F716A" w:rsidRPr="003A444C" w:rsidRDefault="000F716A" w:rsidP="000F716A">
      <w:pPr>
        <w:pBdr>
          <w:top w:val="single" w:sz="4" w:space="6" w:color="auto"/>
          <w:left w:val="single" w:sz="4" w:space="4" w:color="auto"/>
          <w:bottom w:val="single" w:sz="4" w:space="6" w:color="auto"/>
          <w:right w:val="single" w:sz="4" w:space="4" w:color="auto"/>
        </w:pBdr>
        <w:spacing w:after="120"/>
        <w:rPr>
          <w:sz w:val="18"/>
          <w:szCs w:val="18"/>
        </w:rPr>
      </w:pPr>
      <w:r w:rsidRPr="003A444C">
        <w:rPr>
          <w:sz w:val="18"/>
          <w:szCs w:val="18"/>
        </w:rPr>
        <w:t>There are several matters for which provision is made by the Regulations that are taken into account in working out amounts in the Order, including the following:</w:t>
      </w:r>
    </w:p>
    <w:p w:rsidR="000F716A" w:rsidRPr="003A444C" w:rsidRDefault="000F716A" w:rsidP="000F716A">
      <w:pPr>
        <w:pBdr>
          <w:top w:val="single" w:sz="4" w:space="6" w:color="auto"/>
          <w:left w:val="single" w:sz="4" w:space="4" w:color="auto"/>
          <w:bottom w:val="single" w:sz="4" w:space="6" w:color="auto"/>
          <w:right w:val="single" w:sz="4" w:space="4" w:color="auto"/>
        </w:pBdr>
        <w:spacing w:after="120"/>
        <w:rPr>
          <w:sz w:val="18"/>
          <w:szCs w:val="18"/>
        </w:rPr>
      </w:pPr>
      <w:r w:rsidRPr="003A444C">
        <w:rPr>
          <w:sz w:val="18"/>
          <w:szCs w:val="18"/>
        </w:rPr>
        <w:t>Regulation</w:t>
      </w:r>
      <w:r w:rsidR="00C72A74" w:rsidRPr="003A444C">
        <w:rPr>
          <w:sz w:val="18"/>
          <w:szCs w:val="18"/>
        </w:rPr>
        <w:t> </w:t>
      </w:r>
      <w:r w:rsidRPr="003A444C">
        <w:rPr>
          <w:sz w:val="18"/>
          <w:szCs w:val="18"/>
        </w:rPr>
        <w:t xml:space="preserve">1.18 provides for a </w:t>
      </w:r>
      <w:r w:rsidRPr="003A444C">
        <w:rPr>
          <w:b/>
          <w:i/>
          <w:sz w:val="18"/>
          <w:szCs w:val="18"/>
        </w:rPr>
        <w:t>maximum claimable value for allowable plant and equipment</w:t>
      </w:r>
      <w:r w:rsidRPr="003A444C">
        <w:rPr>
          <w:sz w:val="18"/>
          <w:szCs w:val="18"/>
        </w:rPr>
        <w:t xml:space="preserve"> for an MVP and regulation</w:t>
      </w:r>
      <w:r w:rsidR="00C72A74" w:rsidRPr="003A444C">
        <w:rPr>
          <w:sz w:val="18"/>
          <w:szCs w:val="18"/>
        </w:rPr>
        <w:t> </w:t>
      </w:r>
      <w:r w:rsidRPr="003A444C">
        <w:rPr>
          <w:sz w:val="18"/>
          <w:szCs w:val="18"/>
        </w:rPr>
        <w:t>1.19 does the same for a non</w:t>
      </w:r>
      <w:r w:rsidR="00C72A74" w:rsidRPr="003A444C">
        <w:rPr>
          <w:sz w:val="18"/>
          <w:szCs w:val="18"/>
        </w:rPr>
        <w:noBreakHyphen/>
      </w:r>
      <w:r w:rsidRPr="003A444C">
        <w:rPr>
          <w:sz w:val="18"/>
          <w:szCs w:val="18"/>
        </w:rPr>
        <w:t>MVP.</w:t>
      </w:r>
      <w:r w:rsidR="00AE01D7" w:rsidRPr="003A444C">
        <w:rPr>
          <w:sz w:val="18"/>
          <w:szCs w:val="18"/>
        </w:rPr>
        <w:t xml:space="preserve">  Regulation</w:t>
      </w:r>
      <w:r w:rsidR="00C72A74" w:rsidRPr="003A444C">
        <w:rPr>
          <w:sz w:val="18"/>
          <w:szCs w:val="18"/>
        </w:rPr>
        <w:t> </w:t>
      </w:r>
      <w:r w:rsidR="00883AE4" w:rsidRPr="003A444C">
        <w:rPr>
          <w:sz w:val="18"/>
          <w:szCs w:val="18"/>
        </w:rPr>
        <w:t xml:space="preserve">1.17 defines </w:t>
      </w:r>
      <w:r w:rsidR="00883AE4" w:rsidRPr="003A444C">
        <w:rPr>
          <w:b/>
          <w:i/>
          <w:sz w:val="18"/>
          <w:szCs w:val="18"/>
        </w:rPr>
        <w:t>allowable plant and equipment</w:t>
      </w:r>
      <w:r w:rsidR="00883AE4" w:rsidRPr="003A444C">
        <w:rPr>
          <w:sz w:val="18"/>
          <w:szCs w:val="18"/>
        </w:rPr>
        <w:t>.</w:t>
      </w:r>
    </w:p>
    <w:p w:rsidR="000F716A" w:rsidRPr="003A444C" w:rsidRDefault="000F716A" w:rsidP="000F716A">
      <w:pPr>
        <w:pBdr>
          <w:top w:val="single" w:sz="4" w:space="6" w:color="auto"/>
          <w:left w:val="single" w:sz="4" w:space="4" w:color="auto"/>
          <w:bottom w:val="single" w:sz="4" w:space="6" w:color="auto"/>
          <w:right w:val="single" w:sz="4" w:space="4" w:color="auto"/>
        </w:pBdr>
        <w:spacing w:after="120"/>
        <w:rPr>
          <w:sz w:val="18"/>
          <w:szCs w:val="18"/>
        </w:rPr>
      </w:pPr>
      <w:r w:rsidRPr="003A444C">
        <w:rPr>
          <w:sz w:val="18"/>
          <w:szCs w:val="18"/>
        </w:rPr>
        <w:t>Regulation</w:t>
      </w:r>
      <w:r w:rsidR="00C72A74" w:rsidRPr="003A444C">
        <w:rPr>
          <w:sz w:val="18"/>
          <w:szCs w:val="18"/>
        </w:rPr>
        <w:t> </w:t>
      </w:r>
      <w:r w:rsidRPr="003A444C">
        <w:rPr>
          <w:sz w:val="18"/>
          <w:szCs w:val="18"/>
        </w:rPr>
        <w:t xml:space="preserve">1.21 provides for a </w:t>
      </w:r>
      <w:r w:rsidRPr="003A444C">
        <w:rPr>
          <w:b/>
          <w:i/>
          <w:sz w:val="18"/>
          <w:szCs w:val="18"/>
        </w:rPr>
        <w:t>maximum claimable value for allowable research and development</w:t>
      </w:r>
      <w:r w:rsidRPr="003A444C">
        <w:rPr>
          <w:sz w:val="18"/>
          <w:szCs w:val="18"/>
        </w:rPr>
        <w:t xml:space="preserve"> for an MVP and regulation</w:t>
      </w:r>
      <w:r w:rsidR="00C72A74" w:rsidRPr="003A444C">
        <w:rPr>
          <w:sz w:val="18"/>
          <w:szCs w:val="18"/>
        </w:rPr>
        <w:t> </w:t>
      </w:r>
      <w:r w:rsidRPr="003A444C">
        <w:rPr>
          <w:sz w:val="18"/>
          <w:szCs w:val="18"/>
        </w:rPr>
        <w:t>1.22 does the same for a non</w:t>
      </w:r>
      <w:r w:rsidR="00C72A74" w:rsidRPr="003A444C">
        <w:rPr>
          <w:sz w:val="18"/>
          <w:szCs w:val="18"/>
        </w:rPr>
        <w:noBreakHyphen/>
      </w:r>
      <w:r w:rsidRPr="003A444C">
        <w:rPr>
          <w:sz w:val="18"/>
          <w:szCs w:val="18"/>
        </w:rPr>
        <w:t>MVP.</w:t>
      </w:r>
      <w:r w:rsidR="00883AE4" w:rsidRPr="003A444C">
        <w:rPr>
          <w:sz w:val="18"/>
          <w:szCs w:val="18"/>
        </w:rPr>
        <w:t xml:space="preserve"> Regulation</w:t>
      </w:r>
      <w:r w:rsidR="00C72A74" w:rsidRPr="003A444C">
        <w:rPr>
          <w:sz w:val="18"/>
          <w:szCs w:val="18"/>
        </w:rPr>
        <w:t> </w:t>
      </w:r>
      <w:r w:rsidR="00883AE4" w:rsidRPr="003A444C">
        <w:rPr>
          <w:sz w:val="18"/>
          <w:szCs w:val="18"/>
        </w:rPr>
        <w:t xml:space="preserve">1.20 defines </w:t>
      </w:r>
      <w:r w:rsidR="00883AE4" w:rsidRPr="003A444C">
        <w:rPr>
          <w:b/>
          <w:i/>
          <w:sz w:val="18"/>
          <w:szCs w:val="18"/>
        </w:rPr>
        <w:t>allowable research and development</w:t>
      </w:r>
      <w:r w:rsidR="00883AE4" w:rsidRPr="003A444C">
        <w:rPr>
          <w:sz w:val="18"/>
          <w:szCs w:val="18"/>
        </w:rPr>
        <w:t>.</w:t>
      </w:r>
    </w:p>
    <w:p w:rsidR="000F716A" w:rsidRPr="003A444C" w:rsidRDefault="000F716A" w:rsidP="000F716A">
      <w:pPr>
        <w:pBdr>
          <w:top w:val="single" w:sz="4" w:space="6" w:color="auto"/>
          <w:left w:val="single" w:sz="4" w:space="4" w:color="auto"/>
          <w:bottom w:val="single" w:sz="4" w:space="6" w:color="auto"/>
          <w:right w:val="single" w:sz="4" w:space="4" w:color="auto"/>
        </w:pBdr>
        <w:spacing w:after="120"/>
        <w:rPr>
          <w:sz w:val="18"/>
          <w:szCs w:val="18"/>
        </w:rPr>
      </w:pPr>
      <w:r w:rsidRPr="003A444C">
        <w:rPr>
          <w:sz w:val="18"/>
          <w:szCs w:val="18"/>
        </w:rPr>
        <w:t>Regulation</w:t>
      </w:r>
      <w:r w:rsidR="00C72A74" w:rsidRPr="003A444C">
        <w:rPr>
          <w:sz w:val="18"/>
          <w:szCs w:val="18"/>
        </w:rPr>
        <w:t> </w:t>
      </w:r>
      <w:r w:rsidRPr="003A444C">
        <w:rPr>
          <w:sz w:val="18"/>
          <w:szCs w:val="18"/>
        </w:rPr>
        <w:t xml:space="preserve">1.25 provides for </w:t>
      </w:r>
      <w:r w:rsidRPr="003A444C">
        <w:rPr>
          <w:b/>
          <w:i/>
          <w:sz w:val="18"/>
          <w:szCs w:val="18"/>
        </w:rPr>
        <w:t>maximum claimable value for allowable production</w:t>
      </w:r>
      <w:r w:rsidR="00883AE4" w:rsidRPr="003A444C">
        <w:rPr>
          <w:b/>
          <w:i/>
          <w:sz w:val="18"/>
          <w:szCs w:val="18"/>
        </w:rPr>
        <w:t xml:space="preserve"> for an MVP</w:t>
      </w:r>
      <w:r w:rsidRPr="003A444C">
        <w:rPr>
          <w:sz w:val="18"/>
          <w:szCs w:val="18"/>
        </w:rPr>
        <w:t>.</w:t>
      </w:r>
    </w:p>
    <w:p w:rsidR="000F716A" w:rsidRPr="003A444C" w:rsidRDefault="000F716A" w:rsidP="000F716A">
      <w:pPr>
        <w:pBdr>
          <w:top w:val="single" w:sz="4" w:space="6" w:color="auto"/>
          <w:left w:val="single" w:sz="4" w:space="4" w:color="auto"/>
          <w:bottom w:val="single" w:sz="4" w:space="6" w:color="auto"/>
          <w:right w:val="single" w:sz="4" w:space="4" w:color="auto"/>
        </w:pBdr>
        <w:spacing w:after="120"/>
        <w:rPr>
          <w:sz w:val="18"/>
          <w:szCs w:val="18"/>
        </w:rPr>
      </w:pPr>
      <w:r w:rsidRPr="003A444C">
        <w:rPr>
          <w:sz w:val="18"/>
          <w:szCs w:val="18"/>
        </w:rPr>
        <w:t>Regulation</w:t>
      </w:r>
      <w:r w:rsidR="00C72A74" w:rsidRPr="003A444C">
        <w:rPr>
          <w:sz w:val="18"/>
          <w:szCs w:val="18"/>
        </w:rPr>
        <w:t> </w:t>
      </w:r>
      <w:r w:rsidRPr="003A444C">
        <w:rPr>
          <w:sz w:val="18"/>
          <w:szCs w:val="18"/>
        </w:rPr>
        <w:t>3.11 provides for a sales</w:t>
      </w:r>
      <w:r w:rsidR="00C72A74" w:rsidRPr="003A444C">
        <w:rPr>
          <w:sz w:val="18"/>
          <w:szCs w:val="18"/>
        </w:rPr>
        <w:noBreakHyphen/>
      </w:r>
      <w:r w:rsidRPr="003A444C">
        <w:rPr>
          <w:sz w:val="18"/>
          <w:szCs w:val="18"/>
        </w:rPr>
        <w:t>based cap for the payment of assistance.</w:t>
      </w:r>
    </w:p>
    <w:p w:rsidR="000F716A" w:rsidRPr="003A444C" w:rsidRDefault="000F716A" w:rsidP="000F716A">
      <w:pPr>
        <w:pBdr>
          <w:top w:val="single" w:sz="4" w:space="6" w:color="auto"/>
          <w:left w:val="single" w:sz="4" w:space="4" w:color="auto"/>
          <w:bottom w:val="single" w:sz="4" w:space="6" w:color="auto"/>
          <w:right w:val="single" w:sz="4" w:space="4" w:color="auto"/>
        </w:pBdr>
        <w:spacing w:after="120"/>
        <w:rPr>
          <w:sz w:val="18"/>
          <w:szCs w:val="18"/>
        </w:rPr>
      </w:pPr>
      <w:r w:rsidRPr="003A444C">
        <w:rPr>
          <w:sz w:val="18"/>
          <w:szCs w:val="18"/>
        </w:rPr>
        <w:t>Also, under regulation</w:t>
      </w:r>
      <w:r w:rsidR="00C72A74" w:rsidRPr="003A444C">
        <w:rPr>
          <w:sz w:val="18"/>
          <w:szCs w:val="18"/>
        </w:rPr>
        <w:t> </w:t>
      </w:r>
      <w:r w:rsidRPr="003A444C">
        <w:rPr>
          <w:sz w:val="18"/>
          <w:szCs w:val="18"/>
        </w:rPr>
        <w:t>3.10, capped assistance is to be divided 55% to 45% in an ATS year in favour of MVPs over non</w:t>
      </w:r>
      <w:r w:rsidR="00C72A74" w:rsidRPr="003A444C">
        <w:rPr>
          <w:sz w:val="18"/>
          <w:szCs w:val="18"/>
        </w:rPr>
        <w:noBreakHyphen/>
      </w:r>
      <w:r w:rsidRPr="003A444C">
        <w:rPr>
          <w:sz w:val="18"/>
          <w:szCs w:val="18"/>
        </w:rPr>
        <w:t>MVPs.</w:t>
      </w:r>
    </w:p>
    <w:p w:rsidR="000F716A" w:rsidRPr="003A444C" w:rsidRDefault="006531B0" w:rsidP="000F716A">
      <w:pPr>
        <w:pBdr>
          <w:top w:val="single" w:sz="4" w:space="6" w:color="auto"/>
          <w:left w:val="single" w:sz="4" w:space="4" w:color="auto"/>
          <w:bottom w:val="single" w:sz="4" w:space="6" w:color="auto"/>
          <w:right w:val="single" w:sz="4" w:space="4" w:color="auto"/>
        </w:pBdr>
        <w:spacing w:after="120"/>
        <w:rPr>
          <w:sz w:val="18"/>
          <w:szCs w:val="18"/>
        </w:rPr>
      </w:pPr>
      <w:r w:rsidRPr="003A444C">
        <w:rPr>
          <w:sz w:val="18"/>
          <w:szCs w:val="18"/>
        </w:rPr>
        <w:t>P</w:t>
      </w:r>
      <w:r w:rsidR="000F716A" w:rsidRPr="003A444C">
        <w:rPr>
          <w:sz w:val="18"/>
          <w:szCs w:val="18"/>
        </w:rPr>
        <w:t xml:space="preserve">ayment </w:t>
      </w:r>
      <w:r w:rsidRPr="003A444C">
        <w:rPr>
          <w:sz w:val="18"/>
          <w:szCs w:val="18"/>
        </w:rPr>
        <w:t xml:space="preserve">of capped investment </w:t>
      </w:r>
      <w:r w:rsidR="000F716A" w:rsidRPr="003A444C">
        <w:rPr>
          <w:sz w:val="18"/>
          <w:szCs w:val="18"/>
        </w:rPr>
        <w:t xml:space="preserve">amounts under the Order </w:t>
      </w:r>
      <w:r w:rsidRPr="003A444C">
        <w:rPr>
          <w:sz w:val="18"/>
          <w:szCs w:val="18"/>
        </w:rPr>
        <w:t xml:space="preserve">are to </w:t>
      </w:r>
      <w:r w:rsidR="000F716A" w:rsidRPr="003A444C">
        <w:rPr>
          <w:sz w:val="18"/>
          <w:szCs w:val="18"/>
        </w:rPr>
        <w:t xml:space="preserve">be </w:t>
      </w:r>
      <w:r w:rsidR="00735372" w:rsidRPr="003A444C">
        <w:rPr>
          <w:sz w:val="18"/>
          <w:szCs w:val="18"/>
        </w:rPr>
        <w:t>worked out</w:t>
      </w:r>
      <w:r w:rsidR="000F716A" w:rsidRPr="003A444C">
        <w:rPr>
          <w:sz w:val="18"/>
          <w:szCs w:val="18"/>
        </w:rPr>
        <w:t xml:space="preserve"> using a rolling average based on the number of relevant quarters applicable t</w:t>
      </w:r>
      <w:r w:rsidR="00FF0729" w:rsidRPr="003A444C">
        <w:rPr>
          <w:sz w:val="18"/>
          <w:szCs w:val="18"/>
        </w:rPr>
        <w:t>o the ATS participant. Division</w:t>
      </w:r>
      <w:r w:rsidR="00C72A74" w:rsidRPr="003A444C">
        <w:rPr>
          <w:sz w:val="18"/>
          <w:szCs w:val="18"/>
        </w:rPr>
        <w:t> </w:t>
      </w:r>
      <w:r w:rsidR="000F716A" w:rsidRPr="003A444C">
        <w:rPr>
          <w:sz w:val="18"/>
          <w:szCs w:val="18"/>
        </w:rPr>
        <w:t>3.</w:t>
      </w:r>
      <w:r w:rsidR="003B7D26" w:rsidRPr="003A444C">
        <w:rPr>
          <w:sz w:val="18"/>
          <w:szCs w:val="18"/>
        </w:rPr>
        <w:t>1</w:t>
      </w:r>
      <w:r w:rsidR="000F716A" w:rsidRPr="003A444C">
        <w:rPr>
          <w:sz w:val="18"/>
          <w:szCs w:val="18"/>
        </w:rPr>
        <w:t xml:space="preserve"> of the Regulations requires a</w:t>
      </w:r>
      <w:r w:rsidR="003A2D0C" w:rsidRPr="003A444C">
        <w:rPr>
          <w:sz w:val="18"/>
          <w:szCs w:val="18"/>
        </w:rPr>
        <w:t>n ATS</w:t>
      </w:r>
      <w:r w:rsidR="000F716A" w:rsidRPr="003A444C">
        <w:rPr>
          <w:sz w:val="18"/>
          <w:szCs w:val="18"/>
        </w:rPr>
        <w:t xml:space="preserve"> participant to prepare and lodge quarterly returns and provides for the content of those returns.</w:t>
      </w:r>
    </w:p>
    <w:p w:rsidR="000F716A" w:rsidRPr="00C72A74" w:rsidRDefault="000F716A" w:rsidP="002F064D">
      <w:pPr>
        <w:pStyle w:val="ActHead5"/>
      </w:pPr>
      <w:bookmarkStart w:id="6" w:name="_Toc359833546"/>
      <w:r w:rsidRPr="00C72A74">
        <w:rPr>
          <w:rStyle w:val="CharSectno"/>
        </w:rPr>
        <w:t>2.1</w:t>
      </w:r>
      <w:r w:rsidR="002F064D" w:rsidRPr="00C72A74">
        <w:t xml:space="preserve">  </w:t>
      </w:r>
      <w:r w:rsidRPr="00C72A74">
        <w:t>Working out production amounts for MVPs</w:t>
      </w:r>
      <w:bookmarkEnd w:id="6"/>
    </w:p>
    <w:p w:rsidR="000F716A" w:rsidRPr="00C72A74" w:rsidRDefault="000F716A" w:rsidP="002F064D">
      <w:pPr>
        <w:pStyle w:val="subsection"/>
      </w:pPr>
      <w:r w:rsidRPr="00C72A74">
        <w:tab/>
        <w:t>(1)</w:t>
      </w:r>
      <w:r w:rsidRPr="00C72A74">
        <w:tab/>
        <w:t xml:space="preserve">As soon as practicable after an MVP provides a return to the Secretary for a quarter, the Secretary must work out the uncapped production amount for the MVP for </w:t>
      </w:r>
      <w:r w:rsidR="000B6D07" w:rsidRPr="00C72A74">
        <w:t>the</w:t>
      </w:r>
      <w:r w:rsidRPr="00C72A74">
        <w:t xml:space="preserve"> quarter in accordance with the formula:</w:t>
      </w:r>
    </w:p>
    <w:p w:rsidR="000F716A" w:rsidRPr="00C72A74" w:rsidRDefault="002F064D" w:rsidP="002F064D">
      <w:pPr>
        <w:pStyle w:val="subsection"/>
        <w:spacing w:before="120" w:after="120"/>
      </w:pPr>
      <w:r w:rsidRPr="00C72A74">
        <w:tab/>
      </w:r>
      <w:r w:rsidRPr="00C72A74">
        <w:tab/>
      </w:r>
      <w:r w:rsidR="005B0D2C">
        <w:rPr>
          <w:noProof/>
        </w:rPr>
        <w:drawing>
          <wp:inline distT="0" distB="0" distL="0" distR="0">
            <wp:extent cx="685800" cy="182880"/>
            <wp:effectExtent l="0" t="0" r="0" b="762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85800" cy="182880"/>
                    </a:xfrm>
                    <a:prstGeom prst="rect">
                      <a:avLst/>
                    </a:prstGeom>
                    <a:noFill/>
                    <a:ln>
                      <a:noFill/>
                    </a:ln>
                  </pic:spPr>
                </pic:pic>
              </a:graphicData>
            </a:graphic>
          </wp:inline>
        </w:drawing>
      </w:r>
    </w:p>
    <w:p w:rsidR="000F716A" w:rsidRPr="00C72A74" w:rsidRDefault="000F716A" w:rsidP="002F064D">
      <w:pPr>
        <w:pStyle w:val="subsection2"/>
      </w:pPr>
      <w:r w:rsidRPr="00C72A74">
        <w:t>where:</w:t>
      </w:r>
    </w:p>
    <w:p w:rsidR="000F716A" w:rsidRPr="00C72A74" w:rsidRDefault="000F716A" w:rsidP="002F064D">
      <w:pPr>
        <w:pStyle w:val="Definition"/>
      </w:pPr>
      <w:r w:rsidRPr="00C72A74">
        <w:rPr>
          <w:b/>
          <w:i/>
        </w:rPr>
        <w:t>A</w:t>
      </w:r>
      <w:r w:rsidRPr="00C72A74">
        <w:t xml:space="preserve"> is the maximum claimable value for allowable production for </w:t>
      </w:r>
      <w:r w:rsidR="00655B25" w:rsidRPr="00C72A74">
        <w:t>an</w:t>
      </w:r>
      <w:r w:rsidRPr="00C72A74">
        <w:t xml:space="preserve"> MVP in the quarter.</w:t>
      </w:r>
    </w:p>
    <w:p w:rsidR="000F716A" w:rsidRPr="00C72A74" w:rsidRDefault="000F716A" w:rsidP="002F064D">
      <w:pPr>
        <w:pStyle w:val="Definition"/>
      </w:pPr>
      <w:r w:rsidRPr="00C72A74">
        <w:rPr>
          <w:b/>
          <w:i/>
        </w:rPr>
        <w:t>B</w:t>
      </w:r>
      <w:r w:rsidRPr="00C72A74">
        <w:t xml:space="preserve"> is the assistance multiplier, if any, for the ATS year mentioned in column </w:t>
      </w:r>
      <w:r w:rsidR="00092D51" w:rsidRPr="00C72A74">
        <w:t>1</w:t>
      </w:r>
      <w:r w:rsidRPr="00C72A74">
        <w:t xml:space="preserve"> of the following table, being the multiplier, if any, mentioned in column</w:t>
      </w:r>
      <w:r w:rsidR="003B7D26" w:rsidRPr="00C72A74">
        <w:t> </w:t>
      </w:r>
      <w:r w:rsidRPr="00C72A74">
        <w:t>3</w:t>
      </w:r>
      <w:r w:rsidR="00092D51" w:rsidRPr="00C72A74">
        <w:t xml:space="preserve"> for the year.</w:t>
      </w:r>
      <w:r w:rsidRPr="00C72A74">
        <w:t xml:space="preserve"> </w:t>
      </w:r>
    </w:p>
    <w:p w:rsidR="000F716A" w:rsidRPr="00C72A74" w:rsidRDefault="000F716A" w:rsidP="002F064D">
      <w:pPr>
        <w:pStyle w:val="Definition"/>
      </w:pPr>
      <w:r w:rsidRPr="00C72A74">
        <w:rPr>
          <w:b/>
          <w:i/>
        </w:rPr>
        <w:t>C</w:t>
      </w:r>
      <w:r w:rsidRPr="00C72A74">
        <w:t xml:space="preserve"> is the assistance rate, if any, for the ATS year mentioned in column </w:t>
      </w:r>
      <w:r w:rsidR="00092D51" w:rsidRPr="00C72A74">
        <w:t>1</w:t>
      </w:r>
      <w:r w:rsidRPr="00C72A74">
        <w:t xml:space="preserve"> of the </w:t>
      </w:r>
      <w:r w:rsidR="0003641A" w:rsidRPr="00C72A74">
        <w:t xml:space="preserve">following </w:t>
      </w:r>
      <w:r w:rsidRPr="00C72A74">
        <w:t>table, being the rate mentioned in column 4</w:t>
      </w:r>
      <w:r w:rsidR="00092D51" w:rsidRPr="00C72A74">
        <w:t xml:space="preserve"> for the year</w:t>
      </w:r>
      <w:r w:rsidRPr="00C72A74">
        <w:t>.</w:t>
      </w:r>
    </w:p>
    <w:p w:rsidR="002F064D" w:rsidRPr="00C72A74" w:rsidRDefault="002F064D" w:rsidP="002F064D">
      <w:pPr>
        <w:pStyle w:val="Tabletext"/>
      </w:pPr>
    </w:p>
    <w:tbl>
      <w:tblPr>
        <w:tblW w:w="7447" w:type="dxa"/>
        <w:tblInd w:w="1102" w:type="dxa"/>
        <w:tblBorders>
          <w:top w:val="single" w:sz="4" w:space="0" w:color="auto"/>
          <w:bottom w:val="single" w:sz="2" w:space="0" w:color="auto"/>
          <w:insideH w:val="single" w:sz="4" w:space="0" w:color="auto"/>
        </w:tblBorders>
        <w:tblLook w:val="00A0" w:firstRow="1" w:lastRow="0" w:firstColumn="1" w:lastColumn="0" w:noHBand="0" w:noVBand="0"/>
      </w:tblPr>
      <w:tblGrid>
        <w:gridCol w:w="1050"/>
        <w:gridCol w:w="1176"/>
        <w:gridCol w:w="2785"/>
        <w:gridCol w:w="2436"/>
      </w:tblGrid>
      <w:tr w:rsidR="00FF0729" w:rsidRPr="00C72A74" w:rsidTr="00AE3607">
        <w:trPr>
          <w:tblHeader/>
        </w:trPr>
        <w:tc>
          <w:tcPr>
            <w:tcW w:w="1050" w:type="dxa"/>
            <w:tcBorders>
              <w:top w:val="single" w:sz="12" w:space="0" w:color="auto"/>
              <w:bottom w:val="single" w:sz="12" w:space="0" w:color="auto"/>
            </w:tcBorders>
            <w:shd w:val="clear" w:color="auto" w:fill="auto"/>
          </w:tcPr>
          <w:p w:rsidR="000F716A" w:rsidRPr="00C72A74" w:rsidRDefault="00092D51" w:rsidP="002F064D">
            <w:pPr>
              <w:pStyle w:val="TableHeading"/>
            </w:pPr>
            <w:r w:rsidRPr="00C72A74">
              <w:t xml:space="preserve">ATS year </w:t>
            </w:r>
          </w:p>
        </w:tc>
        <w:tc>
          <w:tcPr>
            <w:tcW w:w="1176" w:type="dxa"/>
            <w:tcBorders>
              <w:top w:val="single" w:sz="12" w:space="0" w:color="auto"/>
              <w:bottom w:val="single" w:sz="12" w:space="0" w:color="auto"/>
            </w:tcBorders>
            <w:shd w:val="clear" w:color="auto" w:fill="auto"/>
          </w:tcPr>
          <w:p w:rsidR="000F716A" w:rsidRPr="00C72A74" w:rsidRDefault="00092D51" w:rsidP="002F064D">
            <w:pPr>
              <w:pStyle w:val="TableHeading"/>
            </w:pPr>
            <w:r w:rsidRPr="00C72A74">
              <w:t>ATS Stage</w:t>
            </w:r>
          </w:p>
        </w:tc>
        <w:tc>
          <w:tcPr>
            <w:tcW w:w="2785" w:type="dxa"/>
            <w:tcBorders>
              <w:top w:val="single" w:sz="12" w:space="0" w:color="auto"/>
              <w:bottom w:val="single" w:sz="12" w:space="0" w:color="auto"/>
            </w:tcBorders>
            <w:shd w:val="clear" w:color="auto" w:fill="auto"/>
          </w:tcPr>
          <w:p w:rsidR="000F716A" w:rsidRPr="00C72A74" w:rsidRDefault="000F716A" w:rsidP="002F064D">
            <w:pPr>
              <w:pStyle w:val="TableHeading"/>
            </w:pPr>
            <w:r w:rsidRPr="00C72A74">
              <w:t>Assistance multiplier (B) (%)</w:t>
            </w:r>
          </w:p>
        </w:tc>
        <w:tc>
          <w:tcPr>
            <w:tcW w:w="2436" w:type="dxa"/>
            <w:tcBorders>
              <w:top w:val="single" w:sz="12" w:space="0" w:color="auto"/>
              <w:bottom w:val="single" w:sz="12" w:space="0" w:color="auto"/>
            </w:tcBorders>
            <w:shd w:val="clear" w:color="auto" w:fill="auto"/>
          </w:tcPr>
          <w:p w:rsidR="000F716A" w:rsidRPr="00C72A74" w:rsidRDefault="000F716A" w:rsidP="002F064D">
            <w:pPr>
              <w:pStyle w:val="TableHeading"/>
            </w:pPr>
            <w:r w:rsidRPr="00C72A74">
              <w:t xml:space="preserve">Assistance rate </w:t>
            </w:r>
            <w:r w:rsidR="00092D51" w:rsidRPr="00C72A74">
              <w:t xml:space="preserve">(C) </w:t>
            </w:r>
            <w:r w:rsidRPr="00C72A74">
              <w:t>(%)</w:t>
            </w:r>
          </w:p>
        </w:tc>
      </w:tr>
      <w:tr w:rsidR="00FF0729" w:rsidRPr="00C72A74" w:rsidTr="00AE3607">
        <w:tc>
          <w:tcPr>
            <w:tcW w:w="1050" w:type="dxa"/>
            <w:tcBorders>
              <w:top w:val="single" w:sz="12" w:space="0" w:color="auto"/>
              <w:bottom w:val="single" w:sz="4" w:space="0" w:color="auto"/>
              <w:right w:val="nil"/>
            </w:tcBorders>
            <w:shd w:val="clear" w:color="auto" w:fill="auto"/>
          </w:tcPr>
          <w:p w:rsidR="00092D51" w:rsidRPr="00C72A74" w:rsidRDefault="00092D51" w:rsidP="002F064D">
            <w:pPr>
              <w:pStyle w:val="Tabletext"/>
            </w:pPr>
            <w:r w:rsidRPr="00C72A74">
              <w:t>1</w:t>
            </w:r>
          </w:p>
        </w:tc>
        <w:tc>
          <w:tcPr>
            <w:tcW w:w="1176" w:type="dxa"/>
            <w:tcBorders>
              <w:top w:val="single" w:sz="12" w:space="0" w:color="auto"/>
              <w:left w:val="nil"/>
              <w:bottom w:val="single" w:sz="4" w:space="0" w:color="auto"/>
              <w:right w:val="nil"/>
            </w:tcBorders>
            <w:shd w:val="clear" w:color="auto" w:fill="auto"/>
          </w:tcPr>
          <w:p w:rsidR="00092D51" w:rsidRPr="00C72A74" w:rsidRDefault="00092D51" w:rsidP="002F064D">
            <w:pPr>
              <w:pStyle w:val="Tabletext"/>
            </w:pPr>
            <w:r w:rsidRPr="00C72A74">
              <w:t>1</w:t>
            </w:r>
          </w:p>
        </w:tc>
        <w:tc>
          <w:tcPr>
            <w:tcW w:w="2785" w:type="dxa"/>
            <w:tcBorders>
              <w:top w:val="single" w:sz="12" w:space="0" w:color="auto"/>
              <w:left w:val="nil"/>
              <w:bottom w:val="single" w:sz="4" w:space="0" w:color="auto"/>
              <w:right w:val="nil"/>
            </w:tcBorders>
            <w:shd w:val="clear" w:color="auto" w:fill="auto"/>
          </w:tcPr>
          <w:p w:rsidR="00092D51" w:rsidRPr="00C72A74" w:rsidRDefault="00092D51" w:rsidP="002F064D">
            <w:pPr>
              <w:pStyle w:val="Tabletext"/>
            </w:pPr>
            <w:r w:rsidRPr="00C72A74">
              <w:t>10.0</w:t>
            </w:r>
          </w:p>
        </w:tc>
        <w:tc>
          <w:tcPr>
            <w:tcW w:w="2436" w:type="dxa"/>
            <w:tcBorders>
              <w:top w:val="single" w:sz="12" w:space="0" w:color="auto"/>
              <w:left w:val="nil"/>
              <w:bottom w:val="single" w:sz="4" w:space="0" w:color="auto"/>
            </w:tcBorders>
            <w:shd w:val="clear" w:color="auto" w:fill="auto"/>
          </w:tcPr>
          <w:p w:rsidR="00092D51" w:rsidRPr="00C72A74" w:rsidRDefault="00092D51" w:rsidP="002F064D">
            <w:pPr>
              <w:pStyle w:val="Tabletext"/>
            </w:pPr>
            <w:r w:rsidRPr="00C72A74">
              <w:t>15</w:t>
            </w:r>
          </w:p>
        </w:tc>
      </w:tr>
      <w:tr w:rsidR="00FF0729" w:rsidRPr="00C72A74" w:rsidTr="00AE3607">
        <w:tc>
          <w:tcPr>
            <w:tcW w:w="1050" w:type="dxa"/>
            <w:tcBorders>
              <w:top w:val="single" w:sz="4" w:space="0" w:color="auto"/>
              <w:bottom w:val="single" w:sz="4" w:space="0" w:color="auto"/>
              <w:right w:val="nil"/>
            </w:tcBorders>
            <w:shd w:val="clear" w:color="auto" w:fill="auto"/>
          </w:tcPr>
          <w:p w:rsidR="00092D51" w:rsidRPr="00C72A74" w:rsidRDefault="00092D51" w:rsidP="002F064D">
            <w:pPr>
              <w:pStyle w:val="Tabletext"/>
            </w:pPr>
            <w:r w:rsidRPr="00C72A74">
              <w:t>2</w:t>
            </w:r>
          </w:p>
        </w:tc>
        <w:tc>
          <w:tcPr>
            <w:tcW w:w="1176"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1</w:t>
            </w:r>
          </w:p>
        </w:tc>
        <w:tc>
          <w:tcPr>
            <w:tcW w:w="2785"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8.5</w:t>
            </w:r>
          </w:p>
        </w:tc>
        <w:tc>
          <w:tcPr>
            <w:tcW w:w="2436" w:type="dxa"/>
            <w:tcBorders>
              <w:top w:val="single" w:sz="4" w:space="0" w:color="auto"/>
              <w:left w:val="nil"/>
              <w:bottom w:val="single" w:sz="4" w:space="0" w:color="auto"/>
            </w:tcBorders>
            <w:shd w:val="clear" w:color="auto" w:fill="auto"/>
          </w:tcPr>
          <w:p w:rsidR="00092D51" w:rsidRPr="00C72A74" w:rsidRDefault="00092D51" w:rsidP="002F064D">
            <w:pPr>
              <w:pStyle w:val="Tabletext"/>
            </w:pPr>
            <w:r w:rsidRPr="00C72A74">
              <w:t>15</w:t>
            </w:r>
          </w:p>
        </w:tc>
      </w:tr>
      <w:tr w:rsidR="00FF0729" w:rsidRPr="00C72A74" w:rsidTr="00AE3607">
        <w:tc>
          <w:tcPr>
            <w:tcW w:w="1050" w:type="dxa"/>
            <w:tcBorders>
              <w:top w:val="single" w:sz="4" w:space="0" w:color="auto"/>
              <w:bottom w:val="single" w:sz="4" w:space="0" w:color="auto"/>
              <w:right w:val="nil"/>
            </w:tcBorders>
            <w:shd w:val="clear" w:color="auto" w:fill="auto"/>
          </w:tcPr>
          <w:p w:rsidR="00092D51" w:rsidRPr="00C72A74" w:rsidRDefault="00092D51" w:rsidP="002F064D">
            <w:pPr>
              <w:pStyle w:val="Tabletext"/>
            </w:pPr>
            <w:r w:rsidRPr="00C72A74">
              <w:t>3</w:t>
            </w:r>
          </w:p>
        </w:tc>
        <w:tc>
          <w:tcPr>
            <w:tcW w:w="1176"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1</w:t>
            </w:r>
          </w:p>
        </w:tc>
        <w:tc>
          <w:tcPr>
            <w:tcW w:w="2785"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7.0</w:t>
            </w:r>
          </w:p>
        </w:tc>
        <w:tc>
          <w:tcPr>
            <w:tcW w:w="2436" w:type="dxa"/>
            <w:tcBorders>
              <w:top w:val="single" w:sz="4" w:space="0" w:color="auto"/>
              <w:left w:val="nil"/>
              <w:bottom w:val="single" w:sz="4" w:space="0" w:color="auto"/>
            </w:tcBorders>
            <w:shd w:val="clear" w:color="auto" w:fill="auto"/>
          </w:tcPr>
          <w:p w:rsidR="00092D51" w:rsidRPr="00C72A74" w:rsidRDefault="00092D51" w:rsidP="002F064D">
            <w:pPr>
              <w:pStyle w:val="Tabletext"/>
            </w:pPr>
            <w:r w:rsidRPr="00C72A74">
              <w:t>15</w:t>
            </w:r>
          </w:p>
        </w:tc>
      </w:tr>
      <w:tr w:rsidR="00FF0729" w:rsidRPr="00C72A74" w:rsidTr="00AE3607">
        <w:tc>
          <w:tcPr>
            <w:tcW w:w="1050" w:type="dxa"/>
            <w:tcBorders>
              <w:top w:val="single" w:sz="4" w:space="0" w:color="auto"/>
              <w:bottom w:val="single" w:sz="4" w:space="0" w:color="auto"/>
              <w:right w:val="nil"/>
            </w:tcBorders>
            <w:shd w:val="clear" w:color="auto" w:fill="auto"/>
          </w:tcPr>
          <w:p w:rsidR="00092D51" w:rsidRPr="00C72A74" w:rsidRDefault="00092D51" w:rsidP="002F064D">
            <w:pPr>
              <w:pStyle w:val="Tabletext"/>
            </w:pPr>
            <w:r w:rsidRPr="00C72A74">
              <w:t>4</w:t>
            </w:r>
          </w:p>
        </w:tc>
        <w:tc>
          <w:tcPr>
            <w:tcW w:w="1176"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1</w:t>
            </w:r>
          </w:p>
        </w:tc>
        <w:tc>
          <w:tcPr>
            <w:tcW w:w="2785"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5.5</w:t>
            </w:r>
          </w:p>
        </w:tc>
        <w:tc>
          <w:tcPr>
            <w:tcW w:w="2436" w:type="dxa"/>
            <w:tcBorders>
              <w:top w:val="single" w:sz="4" w:space="0" w:color="auto"/>
              <w:left w:val="nil"/>
              <w:bottom w:val="single" w:sz="4" w:space="0" w:color="auto"/>
            </w:tcBorders>
            <w:shd w:val="clear" w:color="auto" w:fill="auto"/>
          </w:tcPr>
          <w:p w:rsidR="00092D51" w:rsidRPr="00C72A74" w:rsidRDefault="00092D51" w:rsidP="002F064D">
            <w:pPr>
              <w:pStyle w:val="Tabletext"/>
            </w:pPr>
            <w:r w:rsidRPr="00C72A74">
              <w:t>15</w:t>
            </w:r>
          </w:p>
        </w:tc>
      </w:tr>
      <w:tr w:rsidR="00FF0729" w:rsidRPr="00C72A74" w:rsidTr="00AE3607">
        <w:tc>
          <w:tcPr>
            <w:tcW w:w="1050" w:type="dxa"/>
            <w:tcBorders>
              <w:top w:val="single" w:sz="4" w:space="0" w:color="auto"/>
              <w:bottom w:val="single" w:sz="4" w:space="0" w:color="auto"/>
              <w:right w:val="nil"/>
            </w:tcBorders>
            <w:shd w:val="clear" w:color="auto" w:fill="auto"/>
          </w:tcPr>
          <w:p w:rsidR="00092D51" w:rsidRPr="00C72A74" w:rsidRDefault="00092D51" w:rsidP="002F064D">
            <w:pPr>
              <w:pStyle w:val="Tabletext"/>
            </w:pPr>
            <w:r w:rsidRPr="00C72A74">
              <w:t>5</w:t>
            </w:r>
          </w:p>
        </w:tc>
        <w:tc>
          <w:tcPr>
            <w:tcW w:w="1176"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1</w:t>
            </w:r>
          </w:p>
        </w:tc>
        <w:tc>
          <w:tcPr>
            <w:tcW w:w="2785"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4.0</w:t>
            </w:r>
          </w:p>
        </w:tc>
        <w:tc>
          <w:tcPr>
            <w:tcW w:w="2436" w:type="dxa"/>
            <w:tcBorders>
              <w:top w:val="single" w:sz="4" w:space="0" w:color="auto"/>
              <w:left w:val="nil"/>
              <w:bottom w:val="single" w:sz="4" w:space="0" w:color="auto"/>
            </w:tcBorders>
            <w:shd w:val="clear" w:color="auto" w:fill="auto"/>
          </w:tcPr>
          <w:p w:rsidR="00092D51" w:rsidRPr="00C72A74" w:rsidRDefault="00092D51" w:rsidP="002F064D">
            <w:pPr>
              <w:pStyle w:val="Tabletext"/>
            </w:pPr>
            <w:r w:rsidRPr="00C72A74">
              <w:t>15</w:t>
            </w:r>
          </w:p>
        </w:tc>
      </w:tr>
      <w:tr w:rsidR="00FF0729" w:rsidRPr="00C72A74" w:rsidTr="00AE3607">
        <w:tc>
          <w:tcPr>
            <w:tcW w:w="1050" w:type="dxa"/>
            <w:tcBorders>
              <w:top w:val="single" w:sz="4" w:space="0" w:color="auto"/>
              <w:bottom w:val="single" w:sz="4" w:space="0" w:color="auto"/>
              <w:right w:val="nil"/>
            </w:tcBorders>
            <w:shd w:val="clear" w:color="auto" w:fill="auto"/>
          </w:tcPr>
          <w:p w:rsidR="00092D51" w:rsidRPr="00C72A74" w:rsidRDefault="00092D51" w:rsidP="002F064D">
            <w:pPr>
              <w:pStyle w:val="Tabletext"/>
            </w:pPr>
            <w:r w:rsidRPr="00C72A74">
              <w:lastRenderedPageBreak/>
              <w:t>6</w:t>
            </w:r>
          </w:p>
        </w:tc>
        <w:tc>
          <w:tcPr>
            <w:tcW w:w="1176"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2</w:t>
            </w:r>
          </w:p>
        </w:tc>
        <w:tc>
          <w:tcPr>
            <w:tcW w:w="2785"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2.5</w:t>
            </w:r>
          </w:p>
        </w:tc>
        <w:tc>
          <w:tcPr>
            <w:tcW w:w="2436" w:type="dxa"/>
            <w:tcBorders>
              <w:top w:val="single" w:sz="4" w:space="0" w:color="auto"/>
              <w:left w:val="nil"/>
              <w:bottom w:val="single" w:sz="4" w:space="0" w:color="auto"/>
            </w:tcBorders>
            <w:shd w:val="clear" w:color="auto" w:fill="auto"/>
          </w:tcPr>
          <w:p w:rsidR="00092D51" w:rsidRPr="00C72A74" w:rsidRDefault="00092D51" w:rsidP="002F064D">
            <w:pPr>
              <w:pStyle w:val="Tabletext"/>
            </w:pPr>
            <w:r w:rsidRPr="00C72A74">
              <w:t>15</w:t>
            </w:r>
          </w:p>
        </w:tc>
      </w:tr>
      <w:tr w:rsidR="00FF0729" w:rsidRPr="00C72A74" w:rsidTr="00AE3607">
        <w:tc>
          <w:tcPr>
            <w:tcW w:w="1050" w:type="dxa"/>
            <w:tcBorders>
              <w:top w:val="single" w:sz="4" w:space="0" w:color="auto"/>
              <w:bottom w:val="single" w:sz="4" w:space="0" w:color="auto"/>
              <w:right w:val="nil"/>
            </w:tcBorders>
            <w:shd w:val="clear" w:color="auto" w:fill="auto"/>
          </w:tcPr>
          <w:p w:rsidR="00092D51" w:rsidRPr="00C72A74" w:rsidRDefault="00092D51" w:rsidP="002F064D">
            <w:pPr>
              <w:pStyle w:val="Tabletext"/>
            </w:pPr>
            <w:r w:rsidRPr="00C72A74">
              <w:t>7</w:t>
            </w:r>
          </w:p>
        </w:tc>
        <w:tc>
          <w:tcPr>
            <w:tcW w:w="1176"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2</w:t>
            </w:r>
          </w:p>
        </w:tc>
        <w:tc>
          <w:tcPr>
            <w:tcW w:w="2785"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1.0</w:t>
            </w:r>
          </w:p>
        </w:tc>
        <w:tc>
          <w:tcPr>
            <w:tcW w:w="2436" w:type="dxa"/>
            <w:tcBorders>
              <w:top w:val="single" w:sz="4" w:space="0" w:color="auto"/>
              <w:left w:val="nil"/>
              <w:bottom w:val="single" w:sz="4" w:space="0" w:color="auto"/>
            </w:tcBorders>
            <w:shd w:val="clear" w:color="auto" w:fill="auto"/>
          </w:tcPr>
          <w:p w:rsidR="00092D51" w:rsidRPr="00C72A74" w:rsidRDefault="00092D51" w:rsidP="002F064D">
            <w:pPr>
              <w:pStyle w:val="Tabletext"/>
            </w:pPr>
            <w:r w:rsidRPr="00C72A74">
              <w:t>15</w:t>
            </w:r>
          </w:p>
        </w:tc>
      </w:tr>
      <w:tr w:rsidR="00FF0729" w:rsidRPr="00C72A74" w:rsidTr="00AE3607">
        <w:tc>
          <w:tcPr>
            <w:tcW w:w="1050" w:type="dxa"/>
            <w:tcBorders>
              <w:top w:val="single" w:sz="4" w:space="0" w:color="auto"/>
              <w:bottom w:val="single" w:sz="4" w:space="0" w:color="auto"/>
              <w:right w:val="nil"/>
            </w:tcBorders>
            <w:shd w:val="clear" w:color="auto" w:fill="auto"/>
          </w:tcPr>
          <w:p w:rsidR="00092D51" w:rsidRPr="00C72A74" w:rsidRDefault="00092D51" w:rsidP="002F064D">
            <w:pPr>
              <w:pStyle w:val="Tabletext"/>
            </w:pPr>
            <w:r w:rsidRPr="00C72A74">
              <w:t>8</w:t>
            </w:r>
          </w:p>
        </w:tc>
        <w:tc>
          <w:tcPr>
            <w:tcW w:w="1176"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2</w:t>
            </w:r>
          </w:p>
        </w:tc>
        <w:tc>
          <w:tcPr>
            <w:tcW w:w="2785"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0.0</w:t>
            </w:r>
          </w:p>
        </w:tc>
        <w:tc>
          <w:tcPr>
            <w:tcW w:w="2436" w:type="dxa"/>
            <w:tcBorders>
              <w:top w:val="single" w:sz="4" w:space="0" w:color="auto"/>
              <w:left w:val="nil"/>
              <w:bottom w:val="single" w:sz="4" w:space="0" w:color="auto"/>
            </w:tcBorders>
            <w:shd w:val="clear" w:color="auto" w:fill="auto"/>
          </w:tcPr>
          <w:p w:rsidR="00092D51" w:rsidRPr="00C72A74" w:rsidRDefault="00092D51" w:rsidP="002F064D">
            <w:pPr>
              <w:pStyle w:val="Tabletext"/>
            </w:pPr>
            <w:r w:rsidRPr="00C72A74">
              <w:t>0</w:t>
            </w:r>
          </w:p>
        </w:tc>
      </w:tr>
      <w:tr w:rsidR="00FF0729" w:rsidRPr="00C72A74" w:rsidTr="00AE3607">
        <w:tc>
          <w:tcPr>
            <w:tcW w:w="1050" w:type="dxa"/>
            <w:tcBorders>
              <w:top w:val="single" w:sz="4" w:space="0" w:color="auto"/>
              <w:bottom w:val="single" w:sz="4" w:space="0" w:color="auto"/>
              <w:right w:val="nil"/>
            </w:tcBorders>
            <w:shd w:val="clear" w:color="auto" w:fill="auto"/>
          </w:tcPr>
          <w:p w:rsidR="00092D51" w:rsidRPr="00C72A74" w:rsidRDefault="00092D51" w:rsidP="002F064D">
            <w:pPr>
              <w:pStyle w:val="Tabletext"/>
            </w:pPr>
            <w:r w:rsidRPr="00C72A74">
              <w:t>9</w:t>
            </w:r>
          </w:p>
        </w:tc>
        <w:tc>
          <w:tcPr>
            <w:tcW w:w="1176"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2</w:t>
            </w:r>
          </w:p>
        </w:tc>
        <w:tc>
          <w:tcPr>
            <w:tcW w:w="2785" w:type="dxa"/>
            <w:tcBorders>
              <w:top w:val="single" w:sz="4" w:space="0" w:color="auto"/>
              <w:left w:val="nil"/>
              <w:bottom w:val="single" w:sz="4" w:space="0" w:color="auto"/>
              <w:right w:val="nil"/>
            </w:tcBorders>
            <w:shd w:val="clear" w:color="auto" w:fill="auto"/>
          </w:tcPr>
          <w:p w:rsidR="00092D51" w:rsidRPr="00C72A74" w:rsidRDefault="00092D51" w:rsidP="002F064D">
            <w:pPr>
              <w:pStyle w:val="Tabletext"/>
            </w:pPr>
            <w:r w:rsidRPr="00C72A74">
              <w:t>0.0</w:t>
            </w:r>
          </w:p>
        </w:tc>
        <w:tc>
          <w:tcPr>
            <w:tcW w:w="2436" w:type="dxa"/>
            <w:tcBorders>
              <w:top w:val="single" w:sz="4" w:space="0" w:color="auto"/>
              <w:left w:val="nil"/>
              <w:bottom w:val="single" w:sz="4" w:space="0" w:color="auto"/>
            </w:tcBorders>
            <w:shd w:val="clear" w:color="auto" w:fill="auto"/>
          </w:tcPr>
          <w:p w:rsidR="00092D51" w:rsidRPr="00C72A74" w:rsidRDefault="00092D51" w:rsidP="002F064D">
            <w:pPr>
              <w:pStyle w:val="Tabletext"/>
            </w:pPr>
            <w:r w:rsidRPr="00C72A74">
              <w:t>0</w:t>
            </w:r>
          </w:p>
        </w:tc>
      </w:tr>
      <w:tr w:rsidR="00FF0729" w:rsidRPr="00C72A74" w:rsidTr="00AE3607">
        <w:tc>
          <w:tcPr>
            <w:tcW w:w="1050" w:type="dxa"/>
            <w:tcBorders>
              <w:top w:val="single" w:sz="4" w:space="0" w:color="auto"/>
              <w:bottom w:val="single" w:sz="12" w:space="0" w:color="auto"/>
              <w:right w:val="nil"/>
            </w:tcBorders>
            <w:shd w:val="clear" w:color="auto" w:fill="auto"/>
          </w:tcPr>
          <w:p w:rsidR="00092D51" w:rsidRPr="00C72A74" w:rsidRDefault="00092D51" w:rsidP="002F064D">
            <w:pPr>
              <w:pStyle w:val="Tabletext"/>
            </w:pPr>
            <w:r w:rsidRPr="00C72A74">
              <w:t>10</w:t>
            </w:r>
          </w:p>
        </w:tc>
        <w:tc>
          <w:tcPr>
            <w:tcW w:w="1176" w:type="dxa"/>
            <w:tcBorders>
              <w:top w:val="single" w:sz="4" w:space="0" w:color="auto"/>
              <w:left w:val="nil"/>
              <w:bottom w:val="single" w:sz="12" w:space="0" w:color="auto"/>
              <w:right w:val="nil"/>
            </w:tcBorders>
            <w:shd w:val="clear" w:color="auto" w:fill="auto"/>
          </w:tcPr>
          <w:p w:rsidR="00092D51" w:rsidRPr="00C72A74" w:rsidRDefault="00092D51" w:rsidP="002F064D">
            <w:pPr>
              <w:pStyle w:val="Tabletext"/>
            </w:pPr>
            <w:r w:rsidRPr="00C72A74">
              <w:t>2</w:t>
            </w:r>
          </w:p>
        </w:tc>
        <w:tc>
          <w:tcPr>
            <w:tcW w:w="2785" w:type="dxa"/>
            <w:tcBorders>
              <w:top w:val="single" w:sz="4" w:space="0" w:color="auto"/>
              <w:left w:val="nil"/>
              <w:bottom w:val="single" w:sz="12" w:space="0" w:color="auto"/>
              <w:right w:val="nil"/>
            </w:tcBorders>
            <w:shd w:val="clear" w:color="auto" w:fill="auto"/>
          </w:tcPr>
          <w:p w:rsidR="00092D51" w:rsidRPr="00C72A74" w:rsidRDefault="00092D51" w:rsidP="002F064D">
            <w:pPr>
              <w:pStyle w:val="Tabletext"/>
            </w:pPr>
            <w:r w:rsidRPr="00C72A74">
              <w:t>0.0</w:t>
            </w:r>
          </w:p>
        </w:tc>
        <w:tc>
          <w:tcPr>
            <w:tcW w:w="2436" w:type="dxa"/>
            <w:tcBorders>
              <w:top w:val="single" w:sz="4" w:space="0" w:color="auto"/>
              <w:left w:val="nil"/>
              <w:bottom w:val="single" w:sz="12" w:space="0" w:color="auto"/>
            </w:tcBorders>
            <w:shd w:val="clear" w:color="auto" w:fill="auto"/>
          </w:tcPr>
          <w:p w:rsidR="00092D51" w:rsidRPr="00C72A74" w:rsidRDefault="00092D51" w:rsidP="002F064D">
            <w:pPr>
              <w:pStyle w:val="Tabletext"/>
            </w:pPr>
            <w:r w:rsidRPr="00C72A74">
              <w:t>0</w:t>
            </w:r>
          </w:p>
        </w:tc>
      </w:tr>
    </w:tbl>
    <w:p w:rsidR="000F716A" w:rsidRPr="00C72A74" w:rsidRDefault="000F716A" w:rsidP="002F064D">
      <w:pPr>
        <w:pStyle w:val="subsection"/>
      </w:pPr>
      <w:r w:rsidRPr="00C72A74">
        <w:tab/>
        <w:t>(2)</w:t>
      </w:r>
      <w:r w:rsidRPr="00C72A74">
        <w:tab/>
        <w:t xml:space="preserve">As soon as practicable after an MVP provides a return to the Secretary for a quarter, the Secretary must work out the capped production amount for the MVP for </w:t>
      </w:r>
      <w:r w:rsidR="000B6D07" w:rsidRPr="00C72A74">
        <w:t>the</w:t>
      </w:r>
      <w:r w:rsidRPr="00C72A74">
        <w:t xml:space="preserve"> quarter in accordance with the formula:</w:t>
      </w:r>
    </w:p>
    <w:p w:rsidR="000F716A" w:rsidRPr="00C72A74" w:rsidRDefault="002F064D" w:rsidP="002F064D">
      <w:pPr>
        <w:pStyle w:val="subsection"/>
        <w:spacing w:before="120" w:after="120"/>
      </w:pPr>
      <w:r w:rsidRPr="00C72A74">
        <w:tab/>
      </w:r>
      <w:r w:rsidRPr="00C72A74">
        <w:tab/>
      </w:r>
      <w:r w:rsidR="005B0D2C">
        <w:rPr>
          <w:noProof/>
        </w:rPr>
        <w:drawing>
          <wp:inline distT="0" distB="0" distL="0" distR="0">
            <wp:extent cx="868680" cy="1828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68680" cy="182880"/>
                    </a:xfrm>
                    <a:prstGeom prst="rect">
                      <a:avLst/>
                    </a:prstGeom>
                    <a:noFill/>
                    <a:ln>
                      <a:noFill/>
                    </a:ln>
                  </pic:spPr>
                </pic:pic>
              </a:graphicData>
            </a:graphic>
          </wp:inline>
        </w:drawing>
      </w:r>
    </w:p>
    <w:p w:rsidR="000F716A" w:rsidRPr="00C72A74" w:rsidRDefault="000F716A" w:rsidP="002F064D">
      <w:pPr>
        <w:pStyle w:val="subsection2"/>
      </w:pPr>
      <w:r w:rsidRPr="00C72A74">
        <w:t>where:</w:t>
      </w:r>
    </w:p>
    <w:p w:rsidR="000F716A" w:rsidRPr="00C72A74" w:rsidRDefault="000F716A" w:rsidP="002F064D">
      <w:pPr>
        <w:pStyle w:val="Definition"/>
      </w:pPr>
      <w:r w:rsidRPr="00C72A74">
        <w:rPr>
          <w:b/>
          <w:i/>
        </w:rPr>
        <w:t>A</w:t>
      </w:r>
      <w:r w:rsidRPr="00C72A74">
        <w:t xml:space="preserve"> is the maximum claimable value for allowable production for </w:t>
      </w:r>
      <w:r w:rsidR="00655B25" w:rsidRPr="00C72A74">
        <w:t>an</w:t>
      </w:r>
      <w:r w:rsidRPr="00C72A74">
        <w:t xml:space="preserve"> MVP in the quarter.</w:t>
      </w:r>
    </w:p>
    <w:p w:rsidR="000F716A" w:rsidRPr="00C72A74" w:rsidRDefault="000F716A" w:rsidP="002F064D">
      <w:pPr>
        <w:pStyle w:val="Definition"/>
      </w:pPr>
      <w:r w:rsidRPr="00C72A74">
        <w:rPr>
          <w:b/>
          <w:i/>
        </w:rPr>
        <w:t>CA</w:t>
      </w:r>
      <w:r w:rsidRPr="00C72A74">
        <w:t xml:space="preserve"> is the total amount of other Commonwealth assistance</w:t>
      </w:r>
      <w:r w:rsidR="003B7D26" w:rsidRPr="00C72A74">
        <w:t xml:space="preserve">, </w:t>
      </w:r>
      <w:r w:rsidRPr="00C72A74">
        <w:t>if any</w:t>
      </w:r>
      <w:r w:rsidR="003B7D26" w:rsidRPr="00C72A74">
        <w:t>,</w:t>
      </w:r>
      <w:r w:rsidRPr="00C72A74">
        <w:t xml:space="preserve"> received by the MVP in relation to the </w:t>
      </w:r>
      <w:r w:rsidR="00092D51" w:rsidRPr="00C72A74">
        <w:t xml:space="preserve">allowable </w:t>
      </w:r>
      <w:r w:rsidRPr="00C72A74">
        <w:t>pr</w:t>
      </w:r>
      <w:r w:rsidR="003B7D26" w:rsidRPr="00C72A74">
        <w:t>oduction described in component </w:t>
      </w:r>
      <w:r w:rsidRPr="00C72A74">
        <w:t>A of the formula</w:t>
      </w:r>
      <w:r w:rsidR="00092D51" w:rsidRPr="00C72A74">
        <w:t>.</w:t>
      </w:r>
    </w:p>
    <w:p w:rsidR="00092D51" w:rsidRPr="00C72A74" w:rsidRDefault="002F064D" w:rsidP="002F064D">
      <w:pPr>
        <w:pStyle w:val="notetext"/>
      </w:pPr>
      <w:r w:rsidRPr="00C72A74">
        <w:t>Note:</w:t>
      </w:r>
      <w:r w:rsidRPr="00C72A74">
        <w:tab/>
      </w:r>
      <w:r w:rsidR="00092D51" w:rsidRPr="00C72A74">
        <w:t>Section</w:t>
      </w:r>
      <w:r w:rsidR="00C72A74">
        <w:t> </w:t>
      </w:r>
      <w:r w:rsidR="00092D51" w:rsidRPr="00C72A74">
        <w:t>4.3 sets out how the amount of other Commonwealth assistance is worked out.</w:t>
      </w:r>
    </w:p>
    <w:p w:rsidR="000F716A" w:rsidRPr="00C72A74" w:rsidRDefault="000F716A" w:rsidP="002F064D">
      <w:pPr>
        <w:pStyle w:val="ActHead5"/>
      </w:pPr>
      <w:bookmarkStart w:id="7" w:name="_Toc359833547"/>
      <w:r w:rsidRPr="00C72A74">
        <w:rPr>
          <w:rStyle w:val="CharSectno"/>
        </w:rPr>
        <w:t>2.2</w:t>
      </w:r>
      <w:r w:rsidR="002F064D" w:rsidRPr="00C72A74">
        <w:t xml:space="preserve">  </w:t>
      </w:r>
      <w:r w:rsidRPr="00C72A74">
        <w:t>Working out capped investment amounts for MVPs</w:t>
      </w:r>
      <w:bookmarkEnd w:id="7"/>
    </w:p>
    <w:p w:rsidR="000F716A" w:rsidRPr="00C72A74" w:rsidRDefault="000F716A" w:rsidP="002F064D">
      <w:pPr>
        <w:pStyle w:val="subsection"/>
      </w:pPr>
      <w:r w:rsidRPr="00C72A74">
        <w:tab/>
        <w:t>(1)</w:t>
      </w:r>
      <w:r w:rsidRPr="00C72A74">
        <w:tab/>
        <w:t xml:space="preserve">As soon as practicable after an MVP provides a return for a quarter, the Secretary must work out the capped investment amounts for the MVP for </w:t>
      </w:r>
      <w:r w:rsidR="000B6D07" w:rsidRPr="00C72A74">
        <w:t>the</w:t>
      </w:r>
      <w:r w:rsidRPr="00C72A74">
        <w:t xml:space="preserve"> quarter for investments to which regulation</w:t>
      </w:r>
      <w:r w:rsidR="00C72A74">
        <w:t> </w:t>
      </w:r>
      <w:r w:rsidRPr="00C72A74">
        <w:t xml:space="preserve">1.18 or 1.21 applies. </w:t>
      </w:r>
    </w:p>
    <w:p w:rsidR="000F716A" w:rsidRPr="00C72A74" w:rsidRDefault="000F716A" w:rsidP="002F064D">
      <w:pPr>
        <w:pStyle w:val="subsection"/>
      </w:pPr>
      <w:r w:rsidRPr="00C72A74">
        <w:tab/>
        <w:t>(2)</w:t>
      </w:r>
      <w:r w:rsidRPr="00C72A74">
        <w:tab/>
        <w:t xml:space="preserve">The Secretary must work out the investment amount for the MVP for </w:t>
      </w:r>
      <w:r w:rsidR="000B6D07" w:rsidRPr="00C72A74">
        <w:t>the</w:t>
      </w:r>
      <w:r w:rsidRPr="00C72A74">
        <w:t xml:space="preserve"> quarter for allowable plant and equipment to which regulation</w:t>
      </w:r>
      <w:r w:rsidR="00C72A74">
        <w:t> </w:t>
      </w:r>
      <w:r w:rsidRPr="00C72A74">
        <w:t>1.18 applies in accordance with the formula:</w:t>
      </w:r>
    </w:p>
    <w:p w:rsidR="000F716A" w:rsidRPr="00C72A74" w:rsidRDefault="002F064D" w:rsidP="002F064D">
      <w:pPr>
        <w:pStyle w:val="subsection"/>
        <w:spacing w:before="120" w:after="120"/>
      </w:pPr>
      <w:r w:rsidRPr="00C72A74">
        <w:tab/>
      </w:r>
      <w:r w:rsidRPr="00C72A74">
        <w:tab/>
      </w:r>
      <w:r w:rsidR="005B0D2C">
        <w:rPr>
          <w:noProof/>
        </w:rPr>
        <w:drawing>
          <wp:inline distT="0" distB="0" distL="0" distR="0">
            <wp:extent cx="1303020" cy="419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03020" cy="419100"/>
                    </a:xfrm>
                    <a:prstGeom prst="rect">
                      <a:avLst/>
                    </a:prstGeom>
                    <a:noFill/>
                    <a:ln>
                      <a:noFill/>
                    </a:ln>
                  </pic:spPr>
                </pic:pic>
              </a:graphicData>
            </a:graphic>
          </wp:inline>
        </w:drawing>
      </w:r>
    </w:p>
    <w:p w:rsidR="000F716A" w:rsidRPr="00C72A74" w:rsidRDefault="000F716A" w:rsidP="002F064D">
      <w:pPr>
        <w:pStyle w:val="subsection2"/>
      </w:pPr>
      <w:r w:rsidRPr="00C72A74">
        <w:t>where:</w:t>
      </w:r>
    </w:p>
    <w:p w:rsidR="000F716A" w:rsidRPr="00C72A74" w:rsidRDefault="000F716A" w:rsidP="002F064D">
      <w:pPr>
        <w:pStyle w:val="Definition"/>
      </w:pPr>
      <w:r w:rsidRPr="00C72A74">
        <w:rPr>
          <w:b/>
          <w:i/>
        </w:rPr>
        <w:t>CA</w:t>
      </w:r>
      <w:r w:rsidRPr="00C72A74">
        <w:t xml:space="preserve"> is the total amount of other Commonwealth assistance</w:t>
      </w:r>
      <w:r w:rsidR="003B7D26" w:rsidRPr="00C72A74">
        <w:t xml:space="preserve">, </w:t>
      </w:r>
      <w:r w:rsidRPr="00C72A74">
        <w:t>if any</w:t>
      </w:r>
      <w:r w:rsidR="003B7D26" w:rsidRPr="00C72A74">
        <w:t>,</w:t>
      </w:r>
      <w:r w:rsidRPr="00C72A74">
        <w:t xml:space="preserve"> received by the MVP in relation to investment mentioned in component</w:t>
      </w:r>
      <w:r w:rsidR="003B7D26" w:rsidRPr="00C72A74">
        <w:t>s</w:t>
      </w:r>
      <w:r w:rsidRPr="00C72A74">
        <w:t xml:space="preserve"> D and E of the formula.</w:t>
      </w:r>
    </w:p>
    <w:p w:rsidR="000F716A" w:rsidRPr="00C72A74" w:rsidRDefault="002F064D" w:rsidP="002F064D">
      <w:pPr>
        <w:pStyle w:val="notetext"/>
      </w:pPr>
      <w:r w:rsidRPr="00C72A74">
        <w:t>Note:</w:t>
      </w:r>
      <w:r w:rsidRPr="00C72A74">
        <w:tab/>
      </w:r>
      <w:r w:rsidR="00092D51" w:rsidRPr="00C72A74">
        <w:t>Section</w:t>
      </w:r>
      <w:r w:rsidR="00C72A74">
        <w:t> </w:t>
      </w:r>
      <w:r w:rsidR="00092D51" w:rsidRPr="00C72A74">
        <w:t>4.3</w:t>
      </w:r>
      <w:r w:rsidR="000F716A" w:rsidRPr="00C72A74">
        <w:t xml:space="preserve"> sets out how the amount of other Commonwealth assistance is</w:t>
      </w:r>
      <w:r w:rsidR="00092D51" w:rsidRPr="00C72A74">
        <w:t xml:space="preserve"> worked out</w:t>
      </w:r>
      <w:r w:rsidR="000F716A" w:rsidRPr="00C72A74">
        <w:t>.</w:t>
      </w:r>
    </w:p>
    <w:p w:rsidR="000F716A" w:rsidRPr="00C72A74" w:rsidRDefault="000F716A" w:rsidP="002F064D">
      <w:pPr>
        <w:pStyle w:val="Definition"/>
      </w:pPr>
      <w:r w:rsidRPr="00C72A74">
        <w:rPr>
          <w:b/>
          <w:i/>
        </w:rPr>
        <w:t>D</w:t>
      </w:r>
      <w:r w:rsidRPr="00C72A74">
        <w:t xml:space="preserve"> is the amount of investment in allowable plant and equipment</w:t>
      </w:r>
      <w:r w:rsidR="00F11989" w:rsidRPr="00C72A74">
        <w:t>,</w:t>
      </w:r>
      <w:r w:rsidRPr="00C72A74">
        <w:t xml:space="preserve"> </w:t>
      </w:r>
      <w:r w:rsidR="00F11989" w:rsidRPr="00C72A74">
        <w:t xml:space="preserve">to </w:t>
      </w:r>
      <w:r w:rsidRPr="00C72A74">
        <w:t>which regulation</w:t>
      </w:r>
      <w:r w:rsidR="00C72A74">
        <w:t> </w:t>
      </w:r>
      <w:r w:rsidRPr="00C72A74">
        <w:t>1.18 applies</w:t>
      </w:r>
      <w:r w:rsidR="00F11989" w:rsidRPr="00C72A74">
        <w:t>,</w:t>
      </w:r>
      <w:r w:rsidRPr="00C72A74">
        <w:t xml:space="preserve"> undertaken by </w:t>
      </w:r>
      <w:r w:rsidR="000B6D07" w:rsidRPr="00C72A74">
        <w:t>the</w:t>
      </w:r>
      <w:r w:rsidRPr="00C72A74">
        <w:t xml:space="preserve"> MVP in the quarter.</w:t>
      </w:r>
    </w:p>
    <w:p w:rsidR="000F716A" w:rsidRPr="00C72A74" w:rsidRDefault="000F716A" w:rsidP="002F064D">
      <w:pPr>
        <w:pStyle w:val="Definition"/>
      </w:pPr>
      <w:r w:rsidRPr="00C72A74">
        <w:rPr>
          <w:b/>
          <w:i/>
        </w:rPr>
        <w:t xml:space="preserve">E </w:t>
      </w:r>
      <w:r w:rsidRPr="00C72A74">
        <w:t xml:space="preserve">is the total investment in </w:t>
      </w:r>
      <w:r w:rsidR="000B6D07" w:rsidRPr="00C72A74">
        <w:t>the</w:t>
      </w:r>
      <w:r w:rsidRPr="00C72A74">
        <w:t xml:space="preserve"> allowable plant and equipment undertaken by </w:t>
      </w:r>
      <w:r w:rsidR="000B6D07" w:rsidRPr="00C72A74">
        <w:t>the</w:t>
      </w:r>
      <w:r w:rsidRPr="00C72A74">
        <w:t xml:space="preserve"> MVP in all relevant quarters </w:t>
      </w:r>
      <w:r w:rsidR="000B6D07" w:rsidRPr="00C72A74">
        <w:t>before</w:t>
      </w:r>
      <w:r w:rsidRPr="00C72A74">
        <w:t xml:space="preserve"> </w:t>
      </w:r>
      <w:r w:rsidR="000B6D07" w:rsidRPr="00C72A74">
        <w:t>the</w:t>
      </w:r>
      <w:r w:rsidRPr="00C72A74">
        <w:t xml:space="preserve"> quarter.</w:t>
      </w:r>
    </w:p>
    <w:p w:rsidR="000F716A" w:rsidRPr="00C72A74" w:rsidRDefault="000F716A" w:rsidP="002F064D">
      <w:pPr>
        <w:pStyle w:val="Definition"/>
      </w:pPr>
      <w:r w:rsidRPr="00C72A74">
        <w:rPr>
          <w:b/>
          <w:i/>
        </w:rPr>
        <w:t>RQ</w:t>
      </w:r>
      <w:r w:rsidRPr="00C72A74">
        <w:t xml:space="preserve"> is the total number of relevant quarters in relation to </w:t>
      </w:r>
      <w:r w:rsidR="000B6D07" w:rsidRPr="00C72A74">
        <w:t>the</w:t>
      </w:r>
      <w:r w:rsidRPr="00C72A74">
        <w:t xml:space="preserve"> quarter.</w:t>
      </w:r>
    </w:p>
    <w:p w:rsidR="000F716A" w:rsidRPr="00C72A74" w:rsidRDefault="000F716A" w:rsidP="002F064D">
      <w:pPr>
        <w:pStyle w:val="subsection"/>
      </w:pPr>
      <w:r w:rsidRPr="00C72A74">
        <w:lastRenderedPageBreak/>
        <w:tab/>
        <w:t>(3)</w:t>
      </w:r>
      <w:r w:rsidRPr="00C72A74">
        <w:tab/>
        <w:t xml:space="preserve">The Secretary must work out the investment amount for the MVP for </w:t>
      </w:r>
      <w:r w:rsidR="000B6D07" w:rsidRPr="00C72A74">
        <w:t>the</w:t>
      </w:r>
      <w:r w:rsidRPr="00C72A74">
        <w:t xml:space="preserve"> quarter for allowable research and development to which regulation</w:t>
      </w:r>
      <w:r w:rsidR="00C72A74">
        <w:t> </w:t>
      </w:r>
      <w:r w:rsidRPr="00C72A74">
        <w:t>1.21 applies in accordance with the formula:</w:t>
      </w:r>
    </w:p>
    <w:p w:rsidR="000F716A" w:rsidRPr="00C72A74" w:rsidRDefault="002F064D" w:rsidP="002F064D">
      <w:pPr>
        <w:pStyle w:val="subsection"/>
        <w:spacing w:before="120" w:after="120"/>
      </w:pPr>
      <w:r w:rsidRPr="00C72A74">
        <w:tab/>
      </w:r>
      <w:r w:rsidRPr="00C72A74">
        <w:tab/>
      </w:r>
      <w:r w:rsidR="005B0D2C">
        <w:rPr>
          <w:noProof/>
        </w:rPr>
        <w:drawing>
          <wp:inline distT="0" distB="0" distL="0" distR="0">
            <wp:extent cx="1303020" cy="419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03020" cy="419100"/>
                    </a:xfrm>
                    <a:prstGeom prst="rect">
                      <a:avLst/>
                    </a:prstGeom>
                    <a:noFill/>
                    <a:ln>
                      <a:noFill/>
                    </a:ln>
                  </pic:spPr>
                </pic:pic>
              </a:graphicData>
            </a:graphic>
          </wp:inline>
        </w:drawing>
      </w:r>
    </w:p>
    <w:p w:rsidR="000F716A" w:rsidRPr="00C72A74" w:rsidRDefault="000F716A" w:rsidP="002F064D">
      <w:pPr>
        <w:pStyle w:val="subsection2"/>
      </w:pPr>
      <w:r w:rsidRPr="00C72A74">
        <w:t>where:</w:t>
      </w:r>
    </w:p>
    <w:p w:rsidR="000F716A" w:rsidRPr="00C72A74" w:rsidRDefault="000F716A" w:rsidP="002F064D">
      <w:pPr>
        <w:pStyle w:val="Definition"/>
      </w:pPr>
      <w:r w:rsidRPr="00C72A74">
        <w:rPr>
          <w:b/>
          <w:i/>
        </w:rPr>
        <w:t>CA</w:t>
      </w:r>
      <w:r w:rsidRPr="00C72A74">
        <w:t xml:space="preserve"> is the total amount of other Commonwealth </w:t>
      </w:r>
      <w:r w:rsidR="00F11989" w:rsidRPr="00C72A74">
        <w:t xml:space="preserve">assistance, </w:t>
      </w:r>
      <w:r w:rsidRPr="00C72A74">
        <w:t>if any</w:t>
      </w:r>
      <w:r w:rsidR="00F11989" w:rsidRPr="00C72A74">
        <w:t>,</w:t>
      </w:r>
      <w:r w:rsidRPr="00C72A74">
        <w:t xml:space="preserve"> received by the MVP in relation to investment mentioned in component</w:t>
      </w:r>
      <w:r w:rsidR="00F11989" w:rsidRPr="00C72A74">
        <w:t>s</w:t>
      </w:r>
      <w:r w:rsidRPr="00C72A74">
        <w:t xml:space="preserve"> F and G of the formula.</w:t>
      </w:r>
    </w:p>
    <w:p w:rsidR="000F716A" w:rsidRPr="00C72A74" w:rsidRDefault="002F064D" w:rsidP="002F064D">
      <w:pPr>
        <w:pStyle w:val="notetext"/>
      </w:pPr>
      <w:r w:rsidRPr="00C72A74">
        <w:t>Note:</w:t>
      </w:r>
      <w:r w:rsidRPr="00C72A74">
        <w:tab/>
      </w:r>
      <w:r w:rsidR="00092D51" w:rsidRPr="00C72A74">
        <w:t>Section</w:t>
      </w:r>
      <w:r w:rsidR="00C72A74">
        <w:t> </w:t>
      </w:r>
      <w:r w:rsidR="00092D51" w:rsidRPr="00C72A74">
        <w:t>4.3</w:t>
      </w:r>
      <w:r w:rsidR="000F716A" w:rsidRPr="00C72A74">
        <w:t xml:space="preserve"> sets out how the amount of other Commonwealth assistance is</w:t>
      </w:r>
      <w:r w:rsidR="00092D51" w:rsidRPr="00C72A74">
        <w:t xml:space="preserve"> worked out</w:t>
      </w:r>
      <w:r w:rsidR="000F716A" w:rsidRPr="00C72A74">
        <w:t>.</w:t>
      </w:r>
    </w:p>
    <w:p w:rsidR="000F716A" w:rsidRPr="00C72A74" w:rsidRDefault="000F716A" w:rsidP="002F064D">
      <w:pPr>
        <w:pStyle w:val="Definition"/>
      </w:pPr>
      <w:r w:rsidRPr="00C72A74">
        <w:rPr>
          <w:b/>
          <w:i/>
        </w:rPr>
        <w:t>F</w:t>
      </w:r>
      <w:r w:rsidRPr="00C72A74">
        <w:t xml:space="preserve"> is the amount of investment in allowable research and development to which regulation</w:t>
      </w:r>
      <w:r w:rsidR="00C72A74">
        <w:t> </w:t>
      </w:r>
      <w:r w:rsidRPr="00C72A74">
        <w:t xml:space="preserve">1.21 applies undertaken by </w:t>
      </w:r>
      <w:r w:rsidR="000B6D07" w:rsidRPr="00C72A74">
        <w:t>the</w:t>
      </w:r>
      <w:r w:rsidRPr="00C72A74">
        <w:t xml:space="preserve"> MVP in the quarter.</w:t>
      </w:r>
    </w:p>
    <w:p w:rsidR="000F716A" w:rsidRPr="00C72A74" w:rsidRDefault="000F716A" w:rsidP="002F064D">
      <w:pPr>
        <w:pStyle w:val="Definition"/>
      </w:pPr>
      <w:r w:rsidRPr="00C72A74">
        <w:rPr>
          <w:b/>
          <w:i/>
        </w:rPr>
        <w:t xml:space="preserve">G </w:t>
      </w:r>
      <w:r w:rsidRPr="00C72A74">
        <w:t xml:space="preserve">is the total amount of investment in </w:t>
      </w:r>
      <w:r w:rsidR="000B6D07" w:rsidRPr="00C72A74">
        <w:t>the</w:t>
      </w:r>
      <w:r w:rsidRPr="00C72A74">
        <w:t xml:space="preserve"> allowable research and development undertaken by </w:t>
      </w:r>
      <w:r w:rsidR="000B6D07" w:rsidRPr="00C72A74">
        <w:t>the</w:t>
      </w:r>
      <w:r w:rsidRPr="00C72A74">
        <w:t xml:space="preserve"> MVP in all relevant quarters </w:t>
      </w:r>
      <w:r w:rsidR="000B6D07" w:rsidRPr="00C72A74">
        <w:t>before</w:t>
      </w:r>
      <w:r w:rsidRPr="00C72A74">
        <w:t xml:space="preserve"> </w:t>
      </w:r>
      <w:r w:rsidR="000B6D07" w:rsidRPr="00C72A74">
        <w:t>the</w:t>
      </w:r>
      <w:r w:rsidRPr="00C72A74">
        <w:t xml:space="preserve"> quarter.</w:t>
      </w:r>
    </w:p>
    <w:p w:rsidR="000F716A" w:rsidRPr="00C72A74" w:rsidRDefault="000F716A" w:rsidP="002F064D">
      <w:pPr>
        <w:pStyle w:val="Definition"/>
      </w:pPr>
      <w:r w:rsidRPr="00C72A74">
        <w:rPr>
          <w:b/>
          <w:i/>
        </w:rPr>
        <w:t>RQ</w:t>
      </w:r>
      <w:r w:rsidRPr="00C72A74">
        <w:t xml:space="preserve"> is the total number of relevant quarters in relation to </w:t>
      </w:r>
      <w:r w:rsidR="000B6D07" w:rsidRPr="00C72A74">
        <w:t>the</w:t>
      </w:r>
      <w:r w:rsidRPr="00C72A74">
        <w:t xml:space="preserve"> quarter.</w:t>
      </w:r>
    </w:p>
    <w:p w:rsidR="000F716A" w:rsidRPr="00C72A74" w:rsidRDefault="000F716A" w:rsidP="002F064D">
      <w:pPr>
        <w:pStyle w:val="ActHead5"/>
      </w:pPr>
      <w:bookmarkStart w:id="8" w:name="_Toc359833548"/>
      <w:r w:rsidRPr="00C72A74">
        <w:rPr>
          <w:rStyle w:val="CharSectno"/>
        </w:rPr>
        <w:t>2.3</w:t>
      </w:r>
      <w:r w:rsidR="002F064D" w:rsidRPr="00C72A74">
        <w:t xml:space="preserve">  </w:t>
      </w:r>
      <w:r w:rsidRPr="00C72A74">
        <w:t>Working out capped investment amounts for non</w:t>
      </w:r>
      <w:r w:rsidR="00C72A74">
        <w:noBreakHyphen/>
      </w:r>
      <w:r w:rsidRPr="00C72A74">
        <w:t>MVPs</w:t>
      </w:r>
      <w:bookmarkEnd w:id="8"/>
    </w:p>
    <w:p w:rsidR="000F716A" w:rsidRPr="00C72A74" w:rsidRDefault="000F716A" w:rsidP="002F064D">
      <w:pPr>
        <w:pStyle w:val="subsection"/>
      </w:pPr>
      <w:r w:rsidRPr="00C72A74">
        <w:tab/>
        <w:t>(1)</w:t>
      </w:r>
      <w:r w:rsidRPr="00C72A74">
        <w:tab/>
        <w:t>As soon as practicable after a non</w:t>
      </w:r>
      <w:r w:rsidR="00C72A74">
        <w:noBreakHyphen/>
      </w:r>
      <w:r w:rsidRPr="00C72A74">
        <w:t>MVP provides a return for a quarter, the Secretary must work out the capped investment amounts for the non</w:t>
      </w:r>
      <w:r w:rsidR="00C72A74">
        <w:noBreakHyphen/>
      </w:r>
      <w:r w:rsidRPr="00C72A74">
        <w:t xml:space="preserve">MVP for </w:t>
      </w:r>
      <w:r w:rsidR="000B6D07" w:rsidRPr="00C72A74">
        <w:t>the</w:t>
      </w:r>
      <w:r w:rsidRPr="00C72A74">
        <w:t xml:space="preserve"> quarter for investments to which regulation</w:t>
      </w:r>
      <w:r w:rsidR="00C72A74">
        <w:t> </w:t>
      </w:r>
      <w:r w:rsidRPr="00C72A74">
        <w:t>1.19 or 1.22 applies.</w:t>
      </w:r>
    </w:p>
    <w:p w:rsidR="000F716A" w:rsidRPr="00C72A74" w:rsidRDefault="000F716A" w:rsidP="002F064D">
      <w:pPr>
        <w:pStyle w:val="subsection"/>
      </w:pPr>
      <w:r w:rsidRPr="00C72A74">
        <w:tab/>
        <w:t>(2)</w:t>
      </w:r>
      <w:r w:rsidRPr="00C72A74">
        <w:tab/>
        <w:t>The Secretary must work out the investment amount for the non</w:t>
      </w:r>
      <w:r w:rsidR="00C72A74">
        <w:noBreakHyphen/>
      </w:r>
      <w:r w:rsidRPr="00C72A74">
        <w:t xml:space="preserve">MVP for </w:t>
      </w:r>
      <w:r w:rsidR="000B6D07" w:rsidRPr="00C72A74">
        <w:t>the</w:t>
      </w:r>
      <w:r w:rsidRPr="00C72A74">
        <w:t xml:space="preserve"> quarter for allowable plant and equipment to which regulation</w:t>
      </w:r>
      <w:r w:rsidR="00C72A74">
        <w:t> </w:t>
      </w:r>
      <w:r w:rsidRPr="00C72A74">
        <w:t>1.19 applies in accordance with the formula:</w:t>
      </w:r>
    </w:p>
    <w:p w:rsidR="000F716A" w:rsidRPr="00C72A74" w:rsidRDefault="002F064D" w:rsidP="002F064D">
      <w:pPr>
        <w:pStyle w:val="subsection"/>
        <w:spacing w:before="120" w:after="120"/>
      </w:pPr>
      <w:r w:rsidRPr="00C72A74">
        <w:tab/>
      </w:r>
      <w:r w:rsidRPr="00C72A74">
        <w:tab/>
      </w:r>
      <w:r w:rsidR="005B0D2C">
        <w:rPr>
          <w:noProof/>
        </w:rPr>
        <w:drawing>
          <wp:inline distT="0" distB="0" distL="0" distR="0">
            <wp:extent cx="1303020" cy="419100"/>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303020" cy="419100"/>
                    </a:xfrm>
                    <a:prstGeom prst="rect">
                      <a:avLst/>
                    </a:prstGeom>
                    <a:noFill/>
                    <a:ln>
                      <a:noFill/>
                    </a:ln>
                  </pic:spPr>
                </pic:pic>
              </a:graphicData>
            </a:graphic>
          </wp:inline>
        </w:drawing>
      </w:r>
    </w:p>
    <w:p w:rsidR="000F716A" w:rsidRPr="00C72A74" w:rsidRDefault="000F716A" w:rsidP="002F064D">
      <w:pPr>
        <w:pStyle w:val="subsection2"/>
      </w:pPr>
      <w:r w:rsidRPr="00C72A74">
        <w:t>where:</w:t>
      </w:r>
    </w:p>
    <w:p w:rsidR="000F716A" w:rsidRPr="00C72A74" w:rsidRDefault="000F716A" w:rsidP="002F064D">
      <w:pPr>
        <w:pStyle w:val="Definition"/>
      </w:pPr>
      <w:r w:rsidRPr="00C72A74">
        <w:rPr>
          <w:b/>
          <w:i/>
        </w:rPr>
        <w:t>CA</w:t>
      </w:r>
      <w:r w:rsidRPr="00C72A74">
        <w:t xml:space="preserve"> is the total amount of other Commonwealth assistance</w:t>
      </w:r>
      <w:r w:rsidR="008451E9" w:rsidRPr="00C72A74">
        <w:t xml:space="preserve">, </w:t>
      </w:r>
      <w:r w:rsidRPr="00C72A74">
        <w:t>if any</w:t>
      </w:r>
      <w:r w:rsidR="008451E9" w:rsidRPr="00C72A74">
        <w:t>,</w:t>
      </w:r>
      <w:r w:rsidRPr="00C72A74">
        <w:t xml:space="preserve"> received by the non</w:t>
      </w:r>
      <w:r w:rsidR="00C72A74">
        <w:noBreakHyphen/>
      </w:r>
      <w:r w:rsidRPr="00C72A74">
        <w:t>MVP in relation to investment mentioned in component</w:t>
      </w:r>
      <w:r w:rsidR="008451E9" w:rsidRPr="00C72A74">
        <w:t>s</w:t>
      </w:r>
      <w:r w:rsidRPr="00C72A74">
        <w:t xml:space="preserve"> H and I of the formula.</w:t>
      </w:r>
    </w:p>
    <w:p w:rsidR="000F716A" w:rsidRPr="00C72A74" w:rsidRDefault="002F064D" w:rsidP="002F064D">
      <w:pPr>
        <w:pStyle w:val="notetext"/>
      </w:pPr>
      <w:r w:rsidRPr="00C72A74">
        <w:t>Note:</w:t>
      </w:r>
      <w:r w:rsidRPr="00C72A74">
        <w:tab/>
      </w:r>
      <w:r w:rsidR="00092D51" w:rsidRPr="00C72A74">
        <w:t>Section</w:t>
      </w:r>
      <w:r w:rsidR="00C72A74">
        <w:t> </w:t>
      </w:r>
      <w:r w:rsidR="00092D51" w:rsidRPr="00C72A74">
        <w:t>4.3</w:t>
      </w:r>
      <w:r w:rsidR="000F716A" w:rsidRPr="00C72A74">
        <w:t xml:space="preserve"> sets out how the amount of other Commonwealth assistance is</w:t>
      </w:r>
      <w:r w:rsidR="00092D51" w:rsidRPr="00C72A74">
        <w:t xml:space="preserve"> worked out</w:t>
      </w:r>
      <w:r w:rsidR="000F716A" w:rsidRPr="00C72A74">
        <w:t>.</w:t>
      </w:r>
    </w:p>
    <w:p w:rsidR="000F716A" w:rsidRPr="00C72A74" w:rsidRDefault="000F716A" w:rsidP="002F064D">
      <w:pPr>
        <w:pStyle w:val="Definition"/>
      </w:pPr>
      <w:r w:rsidRPr="00C72A74">
        <w:rPr>
          <w:b/>
          <w:i/>
        </w:rPr>
        <w:t>H</w:t>
      </w:r>
      <w:r w:rsidRPr="00C72A74">
        <w:t xml:space="preserve"> is the amount of investment in allowable plant and equipment</w:t>
      </w:r>
      <w:r w:rsidR="008451E9" w:rsidRPr="00C72A74">
        <w:t>, to</w:t>
      </w:r>
      <w:r w:rsidRPr="00C72A74">
        <w:t xml:space="preserve"> which regulation</w:t>
      </w:r>
      <w:r w:rsidR="00C72A74">
        <w:t> </w:t>
      </w:r>
      <w:r w:rsidRPr="00C72A74">
        <w:t>1.19 applies</w:t>
      </w:r>
      <w:r w:rsidR="008451E9" w:rsidRPr="00C72A74">
        <w:t>,</w:t>
      </w:r>
      <w:r w:rsidRPr="00C72A74">
        <w:t xml:space="preserve"> undertaken by </w:t>
      </w:r>
      <w:r w:rsidR="000B6D07" w:rsidRPr="00C72A74">
        <w:t>the</w:t>
      </w:r>
      <w:r w:rsidRPr="00C72A74">
        <w:t xml:space="preserve"> non</w:t>
      </w:r>
      <w:r w:rsidR="00C72A74">
        <w:noBreakHyphen/>
      </w:r>
      <w:r w:rsidRPr="00C72A74">
        <w:t>MVP in the quarter.</w:t>
      </w:r>
    </w:p>
    <w:p w:rsidR="000F716A" w:rsidRPr="00C72A74" w:rsidRDefault="000F716A" w:rsidP="002F064D">
      <w:pPr>
        <w:pStyle w:val="Definition"/>
      </w:pPr>
      <w:r w:rsidRPr="00C72A74">
        <w:rPr>
          <w:b/>
          <w:i/>
        </w:rPr>
        <w:t xml:space="preserve">I </w:t>
      </w:r>
      <w:r w:rsidRPr="00C72A74">
        <w:t xml:space="preserve">is the total investment in </w:t>
      </w:r>
      <w:r w:rsidR="000B6D07" w:rsidRPr="00C72A74">
        <w:t>the</w:t>
      </w:r>
      <w:r w:rsidRPr="00C72A74">
        <w:t xml:space="preserve"> allowable plant and equipment undertaken by </w:t>
      </w:r>
      <w:r w:rsidR="000B6D07" w:rsidRPr="00C72A74">
        <w:t>the</w:t>
      </w:r>
      <w:r w:rsidRPr="00C72A74">
        <w:t xml:space="preserve"> non</w:t>
      </w:r>
      <w:r w:rsidR="00C72A74">
        <w:noBreakHyphen/>
      </w:r>
      <w:r w:rsidRPr="00C72A74">
        <w:t xml:space="preserve">MVP in all relevant quarters </w:t>
      </w:r>
      <w:r w:rsidR="000B6D07" w:rsidRPr="00C72A74">
        <w:t>before</w:t>
      </w:r>
      <w:r w:rsidRPr="00C72A74">
        <w:t xml:space="preserve"> </w:t>
      </w:r>
      <w:r w:rsidR="000B6D07" w:rsidRPr="00C72A74">
        <w:t>the</w:t>
      </w:r>
      <w:r w:rsidRPr="00C72A74">
        <w:t xml:space="preserve"> quarter.</w:t>
      </w:r>
    </w:p>
    <w:p w:rsidR="000F716A" w:rsidRPr="00C72A74" w:rsidRDefault="000F716A" w:rsidP="002F064D">
      <w:pPr>
        <w:pStyle w:val="Definition"/>
      </w:pPr>
      <w:r w:rsidRPr="00C72A74">
        <w:rPr>
          <w:b/>
          <w:i/>
        </w:rPr>
        <w:t>RQ</w:t>
      </w:r>
      <w:r w:rsidRPr="00C72A74">
        <w:t xml:space="preserve"> is the total number of relevant quarters in relation to </w:t>
      </w:r>
      <w:r w:rsidR="000B6D07" w:rsidRPr="00C72A74">
        <w:t>the</w:t>
      </w:r>
      <w:r w:rsidRPr="00C72A74">
        <w:t xml:space="preserve"> quarter.</w:t>
      </w:r>
    </w:p>
    <w:p w:rsidR="000F716A" w:rsidRPr="00C72A74" w:rsidRDefault="000F716A" w:rsidP="002F064D">
      <w:pPr>
        <w:pStyle w:val="subsection"/>
      </w:pPr>
      <w:r w:rsidRPr="00C72A74">
        <w:tab/>
        <w:t>(3)</w:t>
      </w:r>
      <w:r w:rsidRPr="00C72A74">
        <w:tab/>
        <w:t>The Secretary must work out the investment amount for the non</w:t>
      </w:r>
      <w:r w:rsidR="00C72A74">
        <w:noBreakHyphen/>
      </w:r>
      <w:r w:rsidRPr="00C72A74">
        <w:t xml:space="preserve">MVP for </w:t>
      </w:r>
      <w:r w:rsidR="000B6D07" w:rsidRPr="00C72A74">
        <w:t>the</w:t>
      </w:r>
      <w:r w:rsidRPr="00C72A74">
        <w:t xml:space="preserve"> quarter </w:t>
      </w:r>
      <w:r w:rsidR="008451E9" w:rsidRPr="00C72A74">
        <w:t>for</w:t>
      </w:r>
      <w:r w:rsidRPr="00C72A74">
        <w:t xml:space="preserve"> allowable research and development to which regulation</w:t>
      </w:r>
      <w:r w:rsidR="00C72A74">
        <w:t> </w:t>
      </w:r>
      <w:r w:rsidRPr="00C72A74">
        <w:t xml:space="preserve">1.22 </w:t>
      </w:r>
      <w:r w:rsidR="008451E9" w:rsidRPr="00C72A74">
        <w:t xml:space="preserve">applies </w:t>
      </w:r>
      <w:r w:rsidRPr="00C72A74">
        <w:t>in accordance with the formula:</w:t>
      </w:r>
    </w:p>
    <w:p w:rsidR="000F716A" w:rsidRPr="00C72A74" w:rsidRDefault="002F064D" w:rsidP="002F064D">
      <w:pPr>
        <w:pStyle w:val="subsection"/>
        <w:spacing w:before="120" w:after="120"/>
      </w:pPr>
      <w:r w:rsidRPr="00C72A74">
        <w:lastRenderedPageBreak/>
        <w:tab/>
      </w:r>
      <w:r w:rsidRPr="00C72A74">
        <w:tab/>
      </w:r>
      <w:r w:rsidR="005B0D2C">
        <w:rPr>
          <w:noProof/>
        </w:rPr>
        <w:drawing>
          <wp:inline distT="0" distB="0" distL="0" distR="0">
            <wp:extent cx="1303020" cy="41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303020" cy="419100"/>
                    </a:xfrm>
                    <a:prstGeom prst="rect">
                      <a:avLst/>
                    </a:prstGeom>
                    <a:noFill/>
                    <a:ln>
                      <a:noFill/>
                    </a:ln>
                  </pic:spPr>
                </pic:pic>
              </a:graphicData>
            </a:graphic>
          </wp:inline>
        </w:drawing>
      </w:r>
    </w:p>
    <w:p w:rsidR="000F716A" w:rsidRPr="00C72A74" w:rsidRDefault="000F716A" w:rsidP="002F064D">
      <w:pPr>
        <w:pStyle w:val="subsection2"/>
      </w:pPr>
      <w:r w:rsidRPr="00C72A74">
        <w:t>where:</w:t>
      </w:r>
    </w:p>
    <w:p w:rsidR="000F716A" w:rsidRPr="00C72A74" w:rsidRDefault="000F716A" w:rsidP="002F064D">
      <w:pPr>
        <w:pStyle w:val="Definition"/>
      </w:pPr>
      <w:r w:rsidRPr="00C72A74">
        <w:rPr>
          <w:b/>
          <w:i/>
        </w:rPr>
        <w:t>CA</w:t>
      </w:r>
      <w:r w:rsidRPr="00C72A74">
        <w:t xml:space="preserve"> is the total amount of other Commonwealth assistance</w:t>
      </w:r>
      <w:r w:rsidR="008451E9" w:rsidRPr="00C72A74">
        <w:t xml:space="preserve">, </w:t>
      </w:r>
      <w:r w:rsidRPr="00C72A74">
        <w:t>if any</w:t>
      </w:r>
      <w:r w:rsidR="008451E9" w:rsidRPr="00C72A74">
        <w:t>,</w:t>
      </w:r>
      <w:r w:rsidRPr="00C72A74">
        <w:t xml:space="preserve"> received by the non</w:t>
      </w:r>
      <w:r w:rsidR="00C72A74">
        <w:noBreakHyphen/>
      </w:r>
      <w:r w:rsidRPr="00C72A74">
        <w:t>MVP in relation to investment mentioned in component</w:t>
      </w:r>
      <w:r w:rsidR="008451E9" w:rsidRPr="00C72A74">
        <w:t>s</w:t>
      </w:r>
      <w:r w:rsidRPr="00C72A74">
        <w:t xml:space="preserve"> J and K of the formula.</w:t>
      </w:r>
    </w:p>
    <w:p w:rsidR="00092D51" w:rsidRPr="00C72A74" w:rsidRDefault="002F064D" w:rsidP="002F064D">
      <w:pPr>
        <w:pStyle w:val="notetext"/>
      </w:pPr>
      <w:r w:rsidRPr="00C72A74">
        <w:t>Note:</w:t>
      </w:r>
      <w:r w:rsidRPr="00C72A74">
        <w:tab/>
      </w:r>
      <w:r w:rsidR="00092D51" w:rsidRPr="00C72A74">
        <w:t>Section</w:t>
      </w:r>
      <w:r w:rsidR="00C72A74">
        <w:t> </w:t>
      </w:r>
      <w:r w:rsidR="00092D51" w:rsidRPr="00C72A74">
        <w:t>4.3 sets out how the amount of other Commonwealth assistance is worked out.</w:t>
      </w:r>
    </w:p>
    <w:p w:rsidR="000F716A" w:rsidRPr="00C72A74" w:rsidRDefault="000F716A" w:rsidP="002F064D">
      <w:pPr>
        <w:pStyle w:val="Definition"/>
      </w:pPr>
      <w:r w:rsidRPr="00C72A74">
        <w:rPr>
          <w:b/>
          <w:i/>
        </w:rPr>
        <w:t>J</w:t>
      </w:r>
      <w:r w:rsidRPr="00C72A74">
        <w:t xml:space="preserve"> is the amount of investment in allowable research and development</w:t>
      </w:r>
      <w:r w:rsidR="008451E9" w:rsidRPr="00C72A74">
        <w:t>,</w:t>
      </w:r>
      <w:r w:rsidRPr="00C72A74">
        <w:t xml:space="preserve"> to which regulation</w:t>
      </w:r>
      <w:r w:rsidR="00C72A74">
        <w:t> </w:t>
      </w:r>
      <w:r w:rsidRPr="00C72A74">
        <w:t>1.22 applies</w:t>
      </w:r>
      <w:r w:rsidR="008451E9" w:rsidRPr="00C72A74">
        <w:t>,</w:t>
      </w:r>
      <w:r w:rsidRPr="00C72A74">
        <w:t xml:space="preserve"> undertaken by </w:t>
      </w:r>
      <w:r w:rsidR="000B6D07" w:rsidRPr="00C72A74">
        <w:t>the</w:t>
      </w:r>
      <w:r w:rsidRPr="00C72A74">
        <w:t xml:space="preserve"> non</w:t>
      </w:r>
      <w:r w:rsidR="00C72A74">
        <w:noBreakHyphen/>
      </w:r>
      <w:r w:rsidRPr="00C72A74">
        <w:t>MVP in the quarter.</w:t>
      </w:r>
    </w:p>
    <w:p w:rsidR="000F716A" w:rsidRPr="00C72A74" w:rsidRDefault="000F716A" w:rsidP="002F064D">
      <w:pPr>
        <w:pStyle w:val="Definition"/>
      </w:pPr>
      <w:r w:rsidRPr="00C72A74">
        <w:rPr>
          <w:b/>
          <w:i/>
        </w:rPr>
        <w:t xml:space="preserve">K </w:t>
      </w:r>
      <w:r w:rsidRPr="00C72A74">
        <w:t xml:space="preserve">is the total eligible investment in </w:t>
      </w:r>
      <w:r w:rsidR="000B6D07" w:rsidRPr="00C72A74">
        <w:t>the</w:t>
      </w:r>
      <w:r w:rsidRPr="00C72A74">
        <w:t xml:space="preserve"> allowable research and development undertaken by </w:t>
      </w:r>
      <w:r w:rsidR="000B6D07" w:rsidRPr="00C72A74">
        <w:t>the</w:t>
      </w:r>
      <w:r w:rsidRPr="00C72A74">
        <w:t xml:space="preserve"> non</w:t>
      </w:r>
      <w:r w:rsidR="00C72A74">
        <w:noBreakHyphen/>
      </w:r>
      <w:r w:rsidRPr="00C72A74">
        <w:t xml:space="preserve">MVP in all relevant quarters </w:t>
      </w:r>
      <w:r w:rsidR="000B6D07" w:rsidRPr="00C72A74">
        <w:t>before</w:t>
      </w:r>
      <w:r w:rsidRPr="00C72A74">
        <w:t xml:space="preserve"> </w:t>
      </w:r>
      <w:r w:rsidR="000B6D07" w:rsidRPr="00C72A74">
        <w:t>the</w:t>
      </w:r>
      <w:r w:rsidRPr="00C72A74">
        <w:t xml:space="preserve"> quarter.</w:t>
      </w:r>
    </w:p>
    <w:p w:rsidR="000F716A" w:rsidRPr="00C72A74" w:rsidRDefault="000F716A" w:rsidP="002F064D">
      <w:pPr>
        <w:pStyle w:val="Definition"/>
      </w:pPr>
      <w:r w:rsidRPr="00C72A74">
        <w:rPr>
          <w:b/>
          <w:i/>
        </w:rPr>
        <w:t>RQ</w:t>
      </w:r>
      <w:r w:rsidRPr="00C72A74">
        <w:t xml:space="preserve"> is the total number of relevant quarters in relation to </w:t>
      </w:r>
      <w:r w:rsidR="000B6D07" w:rsidRPr="00C72A74">
        <w:t>the</w:t>
      </w:r>
      <w:r w:rsidRPr="00C72A74">
        <w:t xml:space="preserve"> quarter.</w:t>
      </w:r>
    </w:p>
    <w:p w:rsidR="000F716A" w:rsidRPr="00C72A74" w:rsidRDefault="000F716A" w:rsidP="002F064D">
      <w:pPr>
        <w:pStyle w:val="ActHead2"/>
        <w:pageBreakBefore/>
      </w:pPr>
      <w:bookmarkStart w:id="9" w:name="_Toc359833549"/>
      <w:r w:rsidRPr="00C72A74">
        <w:rPr>
          <w:rStyle w:val="CharPartNo"/>
        </w:rPr>
        <w:lastRenderedPageBreak/>
        <w:t>Part</w:t>
      </w:r>
      <w:r w:rsidR="00C72A74" w:rsidRPr="00C72A74">
        <w:rPr>
          <w:rStyle w:val="CharPartNo"/>
        </w:rPr>
        <w:t> </w:t>
      </w:r>
      <w:r w:rsidRPr="00C72A74">
        <w:rPr>
          <w:rStyle w:val="CharPartNo"/>
        </w:rPr>
        <w:t>3</w:t>
      </w:r>
      <w:r w:rsidR="002F064D" w:rsidRPr="00C72A74">
        <w:t>—</w:t>
      </w:r>
      <w:r w:rsidRPr="00C72A74">
        <w:rPr>
          <w:rStyle w:val="CharPartText"/>
        </w:rPr>
        <w:t>Working out quarterly modulation rates and assistance for an ATS year</w:t>
      </w:r>
      <w:bookmarkEnd w:id="9"/>
    </w:p>
    <w:p w:rsidR="000F716A" w:rsidRPr="00C72A74" w:rsidRDefault="002F064D" w:rsidP="002F064D">
      <w:pPr>
        <w:pStyle w:val="ActHead3"/>
      </w:pPr>
      <w:bookmarkStart w:id="10" w:name="_Toc359833550"/>
      <w:r w:rsidRPr="00C72A74">
        <w:rPr>
          <w:rStyle w:val="CharDivNo"/>
        </w:rPr>
        <w:t>Division</w:t>
      </w:r>
      <w:r w:rsidR="00C72A74" w:rsidRPr="00C72A74">
        <w:rPr>
          <w:rStyle w:val="CharDivNo"/>
        </w:rPr>
        <w:t> </w:t>
      </w:r>
      <w:r w:rsidR="00092D51" w:rsidRPr="00C72A74">
        <w:rPr>
          <w:rStyle w:val="CharDivNo"/>
        </w:rPr>
        <w:t>3.1</w:t>
      </w:r>
      <w:r w:rsidRPr="00C72A74">
        <w:t>—</w:t>
      </w:r>
      <w:r w:rsidR="00092D51" w:rsidRPr="00C72A74">
        <w:rPr>
          <w:rStyle w:val="CharDivText"/>
        </w:rPr>
        <w:t>General</w:t>
      </w:r>
      <w:bookmarkEnd w:id="10"/>
    </w:p>
    <w:p w:rsidR="000F716A" w:rsidRPr="00C72A74" w:rsidRDefault="000F716A" w:rsidP="002F064D">
      <w:pPr>
        <w:pStyle w:val="ActHead5"/>
      </w:pPr>
      <w:bookmarkStart w:id="11" w:name="_Toc359833551"/>
      <w:r w:rsidRPr="00C72A74">
        <w:rPr>
          <w:rStyle w:val="CharSectno"/>
        </w:rPr>
        <w:t>3.1</w:t>
      </w:r>
      <w:r w:rsidR="002F064D" w:rsidRPr="00C72A74">
        <w:t xml:space="preserve">  </w:t>
      </w:r>
      <w:r w:rsidRPr="00C72A74">
        <w:t xml:space="preserve">Secretary to </w:t>
      </w:r>
      <w:r w:rsidR="00735372" w:rsidRPr="00C72A74">
        <w:t>work out</w:t>
      </w:r>
      <w:r w:rsidRPr="00C72A74">
        <w:t xml:space="preserve"> modulation rates and assistance for ATS participants</w:t>
      </w:r>
      <w:bookmarkEnd w:id="11"/>
    </w:p>
    <w:p w:rsidR="000F716A" w:rsidRPr="00C72A74" w:rsidRDefault="000F716A" w:rsidP="002F064D">
      <w:pPr>
        <w:pStyle w:val="subsection"/>
      </w:pPr>
      <w:r w:rsidRPr="00C72A74">
        <w:tab/>
      </w:r>
      <w:r w:rsidRPr="00C72A74">
        <w:tab/>
        <w:t>The Secretary must work out the modulation rates and assistance for MVPs and non</w:t>
      </w:r>
      <w:r w:rsidR="00C72A74">
        <w:noBreakHyphen/>
      </w:r>
      <w:r w:rsidRPr="00C72A74">
        <w:t>MVPs in accordance with the relevant steps set out in Divisions</w:t>
      </w:r>
      <w:r w:rsidR="00C72A74">
        <w:t> </w:t>
      </w:r>
      <w:r w:rsidRPr="00C72A74">
        <w:t>3.</w:t>
      </w:r>
      <w:r w:rsidR="003E3A4C" w:rsidRPr="00C72A74">
        <w:t>2</w:t>
      </w:r>
      <w:r w:rsidRPr="00C72A74">
        <w:t xml:space="preserve"> to 3.</w:t>
      </w:r>
      <w:r w:rsidR="003E3A4C" w:rsidRPr="00C72A74">
        <w:t>5</w:t>
      </w:r>
      <w:r w:rsidRPr="00C72A74">
        <w:t>.</w:t>
      </w:r>
    </w:p>
    <w:p w:rsidR="000F716A" w:rsidRPr="00C72A74" w:rsidRDefault="002F064D" w:rsidP="00966EA4">
      <w:pPr>
        <w:pStyle w:val="ActHead3"/>
        <w:pageBreakBefore/>
      </w:pPr>
      <w:bookmarkStart w:id="12" w:name="_Toc359833552"/>
      <w:r w:rsidRPr="00C72A74">
        <w:rPr>
          <w:rStyle w:val="CharDivNo"/>
        </w:rPr>
        <w:lastRenderedPageBreak/>
        <w:t>Division</w:t>
      </w:r>
      <w:r w:rsidR="00C72A74" w:rsidRPr="00C72A74">
        <w:rPr>
          <w:rStyle w:val="CharDivNo"/>
        </w:rPr>
        <w:t> </w:t>
      </w:r>
      <w:r w:rsidR="000F716A" w:rsidRPr="00C72A74">
        <w:rPr>
          <w:rStyle w:val="CharDivNo"/>
        </w:rPr>
        <w:t>3.</w:t>
      </w:r>
      <w:r w:rsidR="00092D51" w:rsidRPr="00C72A74">
        <w:rPr>
          <w:rStyle w:val="CharDivNo"/>
        </w:rPr>
        <w:t>2</w:t>
      </w:r>
      <w:r w:rsidRPr="00C72A74">
        <w:t>—</w:t>
      </w:r>
      <w:r w:rsidR="000F716A" w:rsidRPr="00C72A74">
        <w:rPr>
          <w:rStyle w:val="CharDivText"/>
        </w:rPr>
        <w:t>MVP modulation rate for a quarter</w:t>
      </w:r>
      <w:bookmarkEnd w:id="12"/>
    </w:p>
    <w:p w:rsidR="000F716A" w:rsidRPr="00C72A74" w:rsidRDefault="000F716A" w:rsidP="002F064D">
      <w:pPr>
        <w:pStyle w:val="ActHead5"/>
      </w:pPr>
      <w:bookmarkStart w:id="13" w:name="_Toc359833553"/>
      <w:r w:rsidRPr="00C72A74">
        <w:rPr>
          <w:rStyle w:val="CharSectno"/>
        </w:rPr>
        <w:t>3.2</w:t>
      </w:r>
      <w:r w:rsidR="002F064D" w:rsidRPr="00C72A74">
        <w:t xml:space="preserve">  </w:t>
      </w:r>
      <w:r w:rsidR="00735372" w:rsidRPr="00C72A74">
        <w:t>Working out</w:t>
      </w:r>
      <w:r w:rsidRPr="00C72A74">
        <w:t xml:space="preserve"> of modulation rate for certain quarters</w:t>
      </w:r>
      <w:bookmarkEnd w:id="13"/>
    </w:p>
    <w:p w:rsidR="00955201" w:rsidRPr="00217933" w:rsidRDefault="00955201" w:rsidP="00955201">
      <w:pPr>
        <w:pStyle w:val="subsection"/>
      </w:pPr>
      <w:r w:rsidRPr="00217933">
        <w:tab/>
        <w:t>(1)</w:t>
      </w:r>
      <w:r w:rsidRPr="00217933">
        <w:tab/>
        <w:t>For working out the MVP modulation rate for each of the first 3 quarters in an ATS year, the Secretary is to use steps 1 to 6 in this Division. For working out the MVP modulation rate for the final quarter in an ATS year, the Secretary is to use steps 2, 3, 4 and 6 in this Division.</w:t>
      </w:r>
    </w:p>
    <w:p w:rsidR="000F716A" w:rsidRDefault="000F716A" w:rsidP="002F064D">
      <w:pPr>
        <w:pStyle w:val="subsection"/>
      </w:pPr>
      <w:r w:rsidRPr="00C72A74">
        <w:tab/>
        <w:t>(</w:t>
      </w:r>
      <w:r w:rsidR="0003641A" w:rsidRPr="00C72A74">
        <w:t>2</w:t>
      </w:r>
      <w:r w:rsidRPr="00C72A74">
        <w:t>)</w:t>
      </w:r>
      <w:r w:rsidRPr="00C72A74">
        <w:tab/>
        <w:t xml:space="preserve">The MVP modulation rate for </w:t>
      </w:r>
      <w:r w:rsidR="0003641A" w:rsidRPr="00C72A74">
        <w:t xml:space="preserve">a </w:t>
      </w:r>
      <w:r w:rsidRPr="00C72A74">
        <w:t xml:space="preserve">quarter for the ATS year is the rate determined under </w:t>
      </w:r>
      <w:r w:rsidR="006F4ACF" w:rsidRPr="00C72A74">
        <w:t>step</w:t>
      </w:r>
      <w:r w:rsidRPr="00C72A74">
        <w:t> </w:t>
      </w:r>
      <w:r w:rsidR="00955201">
        <w:t>6(c)</w:t>
      </w:r>
      <w:r w:rsidRPr="00C72A74">
        <w:t xml:space="preserve"> worked out as soon as practicable after the last day of the quarter for which MVPs are required to make a return for </w:t>
      </w:r>
      <w:r w:rsidR="000B6D07" w:rsidRPr="00C72A74">
        <w:t>the</w:t>
      </w:r>
      <w:r w:rsidRPr="00C72A74">
        <w:t xml:space="preserve"> quarter under regulation</w:t>
      </w:r>
      <w:r w:rsidR="00C72A74">
        <w:t> </w:t>
      </w:r>
      <w:r w:rsidRPr="00C72A74">
        <w:t>3.1.</w:t>
      </w:r>
    </w:p>
    <w:p w:rsidR="00DC73C5" w:rsidRPr="00C72A74" w:rsidRDefault="00DC73C5" w:rsidP="00DC73C5">
      <w:pPr>
        <w:pStyle w:val="subsection"/>
        <w:spacing w:before="0"/>
      </w:pPr>
    </w:p>
    <w:tbl>
      <w:tblPr>
        <w:tblStyle w:val="TableGrid"/>
        <w:tblW w:w="0" w:type="auto"/>
        <w:tblInd w:w="108" w:type="dxa"/>
        <w:tblLook w:val="04A0" w:firstRow="1" w:lastRow="0" w:firstColumn="1" w:lastColumn="0" w:noHBand="0" w:noVBand="1"/>
      </w:tblPr>
      <w:tblGrid>
        <w:gridCol w:w="993"/>
        <w:gridCol w:w="7421"/>
        <w:gridCol w:w="7"/>
      </w:tblGrid>
      <w:tr w:rsidR="00955201" w:rsidRPr="00217933" w:rsidTr="00E36A1C">
        <w:trPr>
          <w:tblHeader/>
        </w:trPr>
        <w:tc>
          <w:tcPr>
            <w:tcW w:w="8421" w:type="dxa"/>
            <w:gridSpan w:val="3"/>
            <w:tcBorders>
              <w:top w:val="single" w:sz="12" w:space="0" w:color="auto"/>
              <w:left w:val="nil"/>
              <w:bottom w:val="single" w:sz="4" w:space="0" w:color="auto"/>
              <w:right w:val="nil"/>
            </w:tcBorders>
          </w:tcPr>
          <w:p w:rsidR="00955201" w:rsidRPr="00217933" w:rsidRDefault="00955201" w:rsidP="00955201">
            <w:pPr>
              <w:pStyle w:val="TableHeading"/>
            </w:pPr>
            <w:r w:rsidRPr="00217933">
              <w:t>Steps</w:t>
            </w:r>
          </w:p>
        </w:tc>
      </w:tr>
      <w:tr w:rsidR="00955201" w:rsidRPr="00217933" w:rsidTr="002A3566">
        <w:tc>
          <w:tcPr>
            <w:tcW w:w="993" w:type="dxa"/>
            <w:tcBorders>
              <w:left w:val="nil"/>
              <w:bottom w:val="single" w:sz="12" w:space="0" w:color="auto"/>
              <w:right w:val="nil"/>
            </w:tcBorders>
          </w:tcPr>
          <w:p w:rsidR="00955201" w:rsidRPr="00217933" w:rsidRDefault="00955201" w:rsidP="00955201">
            <w:pPr>
              <w:pStyle w:val="TableHeading"/>
            </w:pPr>
            <w:r w:rsidRPr="00217933">
              <w:t>Step 1</w:t>
            </w:r>
          </w:p>
        </w:tc>
        <w:tc>
          <w:tcPr>
            <w:tcW w:w="7428" w:type="dxa"/>
            <w:gridSpan w:val="2"/>
            <w:tcBorders>
              <w:left w:val="nil"/>
              <w:bottom w:val="single" w:sz="12" w:space="0" w:color="auto"/>
              <w:right w:val="nil"/>
            </w:tcBorders>
          </w:tcPr>
          <w:p w:rsidR="00955201" w:rsidRPr="00217933" w:rsidRDefault="00955201" w:rsidP="00955201">
            <w:pPr>
              <w:pStyle w:val="TableHeading"/>
            </w:pPr>
            <w:r w:rsidRPr="00217933">
              <w:rPr>
                <w:bCs/>
                <w:iCs/>
              </w:rPr>
              <w:t>Work out forecast capped and uncapped amounts for all MVPs for use in working out sales</w:t>
            </w:r>
            <w:r>
              <w:rPr>
                <w:bCs/>
                <w:iCs/>
              </w:rPr>
              <w:noBreakHyphen/>
            </w:r>
            <w:r w:rsidRPr="00217933">
              <w:rPr>
                <w:bCs/>
                <w:iCs/>
              </w:rPr>
              <w:t>based cap rate and modulation rate for current quarter in an ATS year</w:t>
            </w:r>
          </w:p>
        </w:tc>
      </w:tr>
      <w:tr w:rsidR="00955201" w:rsidRPr="00217933" w:rsidTr="002A3566">
        <w:tc>
          <w:tcPr>
            <w:tcW w:w="993" w:type="dxa"/>
            <w:tcBorders>
              <w:top w:val="single" w:sz="12" w:space="0" w:color="auto"/>
              <w:left w:val="nil"/>
              <w:right w:val="nil"/>
            </w:tcBorders>
          </w:tcPr>
          <w:p w:rsidR="00955201" w:rsidRPr="00217933" w:rsidRDefault="00955201" w:rsidP="00955201">
            <w:pPr>
              <w:pStyle w:val="Tabletext"/>
            </w:pPr>
            <w:r w:rsidRPr="00217933">
              <w:t>1(a)</w:t>
            </w:r>
          </w:p>
        </w:tc>
        <w:tc>
          <w:tcPr>
            <w:tcW w:w="7428" w:type="dxa"/>
            <w:gridSpan w:val="2"/>
            <w:tcBorders>
              <w:top w:val="single" w:sz="12" w:space="0" w:color="auto"/>
              <w:left w:val="nil"/>
              <w:right w:val="nil"/>
            </w:tcBorders>
          </w:tcPr>
          <w:p w:rsidR="00955201" w:rsidRPr="00217933" w:rsidRDefault="00955201" w:rsidP="00955201">
            <w:pPr>
              <w:pStyle w:val="Tabletext"/>
            </w:pPr>
            <w:r w:rsidRPr="00217933">
              <w:t>Work out the forecast capped production amounts for each MVP for the remaining quarters in the ATS year under subsection 2.1(2) using the information included in the MVP’s business plans under subregulation 2.12(3) and regulation 2.27.</w:t>
            </w:r>
          </w:p>
        </w:tc>
      </w:tr>
      <w:tr w:rsidR="00955201" w:rsidRPr="00217933" w:rsidTr="006B36BA">
        <w:tc>
          <w:tcPr>
            <w:tcW w:w="993" w:type="dxa"/>
            <w:tcBorders>
              <w:left w:val="nil"/>
              <w:right w:val="nil"/>
            </w:tcBorders>
          </w:tcPr>
          <w:p w:rsidR="00955201" w:rsidRPr="00217933" w:rsidRDefault="00955201" w:rsidP="00955201">
            <w:pPr>
              <w:pStyle w:val="Tabletext"/>
            </w:pPr>
            <w:r w:rsidRPr="00217933">
              <w:t>1(b)</w:t>
            </w:r>
          </w:p>
        </w:tc>
        <w:tc>
          <w:tcPr>
            <w:tcW w:w="7428" w:type="dxa"/>
            <w:gridSpan w:val="2"/>
            <w:tcBorders>
              <w:left w:val="nil"/>
              <w:right w:val="nil"/>
            </w:tcBorders>
          </w:tcPr>
          <w:p w:rsidR="00955201" w:rsidRPr="00217933" w:rsidRDefault="00955201" w:rsidP="00955201">
            <w:pPr>
              <w:pStyle w:val="Tabletext"/>
            </w:pPr>
            <w:r w:rsidRPr="00217933">
              <w:t>Work out the forecast capped investment amounts for each MVP for the remaining quarters in the ATS year under section 2.2 using the information included in the MVP’s business plans under subregulation 2.12(3) and regulation 2.27.</w:t>
            </w:r>
          </w:p>
        </w:tc>
      </w:tr>
      <w:tr w:rsidR="00955201" w:rsidRPr="00217933" w:rsidTr="006B36BA">
        <w:tc>
          <w:tcPr>
            <w:tcW w:w="993" w:type="dxa"/>
            <w:tcBorders>
              <w:left w:val="nil"/>
              <w:right w:val="nil"/>
            </w:tcBorders>
          </w:tcPr>
          <w:p w:rsidR="00955201" w:rsidRPr="00217933" w:rsidRDefault="00955201" w:rsidP="00955201">
            <w:pPr>
              <w:pStyle w:val="Tabletext"/>
            </w:pPr>
            <w:r w:rsidRPr="00217933">
              <w:t>1(c)</w:t>
            </w:r>
          </w:p>
        </w:tc>
        <w:tc>
          <w:tcPr>
            <w:tcW w:w="7428" w:type="dxa"/>
            <w:gridSpan w:val="2"/>
            <w:tcBorders>
              <w:left w:val="nil"/>
              <w:right w:val="nil"/>
            </w:tcBorders>
          </w:tcPr>
          <w:p w:rsidR="00955201" w:rsidRPr="00217933" w:rsidRDefault="00955201" w:rsidP="00955201">
            <w:pPr>
              <w:pStyle w:val="Tabletext"/>
            </w:pPr>
            <w:r w:rsidRPr="00217933">
              <w:t>Add together the amounts worked out under steps 1(a) and 1(b) for each MVP.</w:t>
            </w:r>
          </w:p>
        </w:tc>
      </w:tr>
      <w:tr w:rsidR="00955201" w:rsidRPr="00217933" w:rsidTr="006B36BA">
        <w:tc>
          <w:tcPr>
            <w:tcW w:w="993" w:type="dxa"/>
            <w:tcBorders>
              <w:left w:val="nil"/>
              <w:right w:val="nil"/>
            </w:tcBorders>
          </w:tcPr>
          <w:p w:rsidR="00955201" w:rsidRPr="00217933" w:rsidRDefault="00955201" w:rsidP="00955201">
            <w:pPr>
              <w:pStyle w:val="Tabletext"/>
            </w:pPr>
            <w:r w:rsidRPr="00217933">
              <w:t>1(d)</w:t>
            </w:r>
          </w:p>
        </w:tc>
        <w:tc>
          <w:tcPr>
            <w:tcW w:w="7428" w:type="dxa"/>
            <w:gridSpan w:val="2"/>
            <w:tcBorders>
              <w:left w:val="nil"/>
              <w:right w:val="nil"/>
            </w:tcBorders>
          </w:tcPr>
          <w:p w:rsidR="00955201" w:rsidRPr="00217933" w:rsidRDefault="00955201" w:rsidP="00955201">
            <w:pPr>
              <w:pStyle w:val="Tabletext"/>
            </w:pPr>
            <w:r w:rsidRPr="00217933">
              <w:t>Work out the forecast uncapped production amounts for each MVP for the remaining quarters in the ATS year under subsection 2.1(1) using the information included in the MVP’s business plans under subregulation 2.12(3) and regulation 2.27.</w:t>
            </w:r>
          </w:p>
        </w:tc>
      </w:tr>
      <w:tr w:rsidR="00955201" w:rsidRPr="00217933" w:rsidTr="006B36BA">
        <w:tc>
          <w:tcPr>
            <w:tcW w:w="993" w:type="dxa"/>
            <w:tcBorders>
              <w:left w:val="nil"/>
              <w:right w:val="nil"/>
            </w:tcBorders>
          </w:tcPr>
          <w:p w:rsidR="00955201" w:rsidRPr="00217933" w:rsidRDefault="00955201" w:rsidP="00955201">
            <w:pPr>
              <w:pStyle w:val="Tabletext"/>
            </w:pPr>
            <w:r w:rsidRPr="00217933">
              <w:t>1(e)</w:t>
            </w:r>
          </w:p>
        </w:tc>
        <w:tc>
          <w:tcPr>
            <w:tcW w:w="7428" w:type="dxa"/>
            <w:gridSpan w:val="2"/>
            <w:tcBorders>
              <w:left w:val="nil"/>
              <w:right w:val="nil"/>
            </w:tcBorders>
          </w:tcPr>
          <w:p w:rsidR="00955201" w:rsidRPr="00217933" w:rsidRDefault="00955201" w:rsidP="00955201">
            <w:pPr>
              <w:pStyle w:val="Tabletext"/>
            </w:pPr>
            <w:r w:rsidRPr="00217933">
              <w:t>Add together the amounts worked out under steps 1(c) and 1(d) for each MVP.</w:t>
            </w:r>
          </w:p>
        </w:tc>
      </w:tr>
      <w:tr w:rsidR="00DC73C5" w:rsidRPr="00DC73C5" w:rsidTr="00DC73C5">
        <w:tc>
          <w:tcPr>
            <w:tcW w:w="993" w:type="dxa"/>
            <w:tcBorders>
              <w:top w:val="single" w:sz="12" w:space="0" w:color="auto"/>
              <w:left w:val="nil"/>
              <w:bottom w:val="single" w:sz="12" w:space="0" w:color="auto"/>
              <w:right w:val="nil"/>
            </w:tcBorders>
          </w:tcPr>
          <w:p w:rsidR="00DC73C5" w:rsidRPr="002A3566" w:rsidRDefault="00DC73C5" w:rsidP="002A3566">
            <w:pPr>
              <w:pStyle w:val="TableHeading"/>
              <w:rPr>
                <w:bCs/>
                <w:iCs/>
              </w:rPr>
            </w:pPr>
            <w:r w:rsidRPr="002A3566">
              <w:rPr>
                <w:bCs/>
                <w:iCs/>
              </w:rPr>
              <w:t>Step 2</w:t>
            </w:r>
          </w:p>
        </w:tc>
        <w:tc>
          <w:tcPr>
            <w:tcW w:w="7428" w:type="dxa"/>
            <w:gridSpan w:val="2"/>
            <w:tcBorders>
              <w:top w:val="single" w:sz="12" w:space="0" w:color="auto"/>
              <w:left w:val="nil"/>
              <w:bottom w:val="single" w:sz="12" w:space="0" w:color="auto"/>
              <w:right w:val="nil"/>
            </w:tcBorders>
          </w:tcPr>
          <w:p w:rsidR="00DC73C5" w:rsidRPr="002A3566" w:rsidRDefault="00DC73C5" w:rsidP="002A3566">
            <w:pPr>
              <w:pStyle w:val="TableHeading"/>
              <w:rPr>
                <w:bCs/>
                <w:iCs/>
              </w:rPr>
            </w:pPr>
            <w:r w:rsidRPr="002A3566">
              <w:rPr>
                <w:bCs/>
                <w:iCs/>
              </w:rPr>
              <w:t>Work out individual MVPs capped and uncapped amounts for working out sales</w:t>
            </w:r>
            <w:r w:rsidRPr="002A3566">
              <w:rPr>
                <w:bCs/>
                <w:iCs/>
              </w:rPr>
              <w:noBreakHyphen/>
              <w:t>based cap for the current quarter in an ATS year</w:t>
            </w:r>
          </w:p>
        </w:tc>
      </w:tr>
      <w:tr w:rsidR="000F716A" w:rsidRPr="00F13BF3" w:rsidTr="006B36BA">
        <w:trPr>
          <w:gridAfter w:val="1"/>
          <w:wAfter w:w="7" w:type="dxa"/>
        </w:trPr>
        <w:tc>
          <w:tcPr>
            <w:tcW w:w="993" w:type="dxa"/>
            <w:tcBorders>
              <w:left w:val="nil"/>
              <w:right w:val="nil"/>
            </w:tcBorders>
          </w:tcPr>
          <w:p w:rsidR="000F716A" w:rsidRPr="00F13BF3" w:rsidRDefault="000F716A" w:rsidP="00F13BF3">
            <w:pPr>
              <w:pStyle w:val="Tabletext"/>
            </w:pPr>
            <w:r w:rsidRPr="00F13BF3">
              <w:t>2(a)</w:t>
            </w:r>
          </w:p>
        </w:tc>
        <w:tc>
          <w:tcPr>
            <w:tcW w:w="7421" w:type="dxa"/>
            <w:tcBorders>
              <w:left w:val="nil"/>
              <w:right w:val="nil"/>
            </w:tcBorders>
          </w:tcPr>
          <w:p w:rsidR="000F716A" w:rsidRPr="00F13BF3" w:rsidRDefault="000F716A" w:rsidP="00F13BF3">
            <w:pPr>
              <w:pStyle w:val="Tabletext"/>
            </w:pPr>
            <w:r w:rsidRPr="00F13BF3">
              <w:t xml:space="preserve">Work out the capped production amount for each MVP for the </w:t>
            </w:r>
            <w:r w:rsidR="00DA1DBF" w:rsidRPr="00F13BF3">
              <w:t xml:space="preserve">current </w:t>
            </w:r>
            <w:r w:rsidRPr="00F13BF3">
              <w:t xml:space="preserve">quarter of the ATS year under </w:t>
            </w:r>
            <w:r w:rsidR="00362537" w:rsidRPr="00F13BF3">
              <w:t>sub</w:t>
            </w:r>
            <w:r w:rsidRPr="00F13BF3">
              <w:t>section</w:t>
            </w:r>
            <w:r w:rsidR="00C72A74" w:rsidRPr="00F13BF3">
              <w:t> </w:t>
            </w:r>
            <w:r w:rsidRPr="00F13BF3">
              <w:t>2.1</w:t>
            </w:r>
            <w:r w:rsidR="00362537" w:rsidRPr="00F13BF3">
              <w:t> </w:t>
            </w:r>
            <w:r w:rsidRPr="00F13BF3">
              <w:t>(2).</w:t>
            </w:r>
          </w:p>
        </w:tc>
      </w:tr>
      <w:tr w:rsidR="00955201" w:rsidRPr="00C72A74" w:rsidDel="00955201" w:rsidTr="006B36BA">
        <w:trPr>
          <w:gridAfter w:val="1"/>
          <w:wAfter w:w="7" w:type="dxa"/>
        </w:trPr>
        <w:tc>
          <w:tcPr>
            <w:tcW w:w="993" w:type="dxa"/>
            <w:tcBorders>
              <w:left w:val="nil"/>
              <w:right w:val="nil"/>
            </w:tcBorders>
          </w:tcPr>
          <w:p w:rsidR="00955201" w:rsidRPr="00C72A74" w:rsidDel="00955201" w:rsidRDefault="00955201" w:rsidP="002F064D">
            <w:pPr>
              <w:pStyle w:val="Tabletext"/>
              <w:rPr>
                <w:szCs w:val="21"/>
              </w:rPr>
            </w:pPr>
            <w:r w:rsidRPr="00217933">
              <w:t>2(b)</w:t>
            </w:r>
          </w:p>
        </w:tc>
        <w:tc>
          <w:tcPr>
            <w:tcW w:w="7421" w:type="dxa"/>
            <w:tcBorders>
              <w:left w:val="nil"/>
              <w:right w:val="nil"/>
            </w:tcBorders>
          </w:tcPr>
          <w:p w:rsidR="00955201" w:rsidRPr="00C72A74" w:rsidDel="00955201" w:rsidRDefault="00955201" w:rsidP="002F064D">
            <w:pPr>
              <w:pStyle w:val="Tabletext"/>
              <w:rPr>
                <w:szCs w:val="21"/>
              </w:rPr>
            </w:pPr>
            <w:r w:rsidRPr="00217933">
              <w:t>Work out, under section 2.2, the capped investment amounts for each MVP for the current quarter in the ATS year.</w:t>
            </w:r>
          </w:p>
        </w:tc>
      </w:tr>
      <w:tr w:rsidR="00955201" w:rsidRPr="00C72A74" w:rsidTr="006B36BA">
        <w:trPr>
          <w:gridAfter w:val="1"/>
          <w:wAfter w:w="7" w:type="dxa"/>
        </w:trPr>
        <w:tc>
          <w:tcPr>
            <w:tcW w:w="993" w:type="dxa"/>
            <w:tcBorders>
              <w:left w:val="nil"/>
              <w:right w:val="nil"/>
            </w:tcBorders>
          </w:tcPr>
          <w:p w:rsidR="00955201" w:rsidRPr="00C72A74" w:rsidRDefault="00955201" w:rsidP="002F064D">
            <w:pPr>
              <w:pStyle w:val="Tabletext"/>
            </w:pPr>
            <w:r w:rsidRPr="00C72A74">
              <w:rPr>
                <w:szCs w:val="21"/>
              </w:rPr>
              <w:t>2(c)</w:t>
            </w:r>
          </w:p>
        </w:tc>
        <w:tc>
          <w:tcPr>
            <w:tcW w:w="7421" w:type="dxa"/>
            <w:tcBorders>
              <w:left w:val="nil"/>
              <w:right w:val="nil"/>
            </w:tcBorders>
          </w:tcPr>
          <w:p w:rsidR="00955201" w:rsidRPr="00C72A74" w:rsidRDefault="00955201" w:rsidP="002F064D">
            <w:pPr>
              <w:pStyle w:val="Tabletext"/>
            </w:pPr>
            <w:r w:rsidRPr="00C72A74">
              <w:rPr>
                <w:szCs w:val="21"/>
              </w:rPr>
              <w:t>Add together the amounts worked out under steps 2(a) and 2(b) for each MVP.</w:t>
            </w:r>
          </w:p>
        </w:tc>
      </w:tr>
      <w:tr w:rsidR="00955201" w:rsidRPr="00C72A74" w:rsidTr="006B36BA">
        <w:trPr>
          <w:gridAfter w:val="1"/>
          <w:wAfter w:w="7" w:type="dxa"/>
        </w:trPr>
        <w:tc>
          <w:tcPr>
            <w:tcW w:w="993" w:type="dxa"/>
            <w:tcBorders>
              <w:left w:val="nil"/>
              <w:right w:val="nil"/>
            </w:tcBorders>
          </w:tcPr>
          <w:p w:rsidR="00955201" w:rsidRPr="00C72A74" w:rsidRDefault="00955201" w:rsidP="002F064D">
            <w:pPr>
              <w:pStyle w:val="Tabletext"/>
            </w:pPr>
            <w:r w:rsidRPr="00C72A74">
              <w:rPr>
                <w:szCs w:val="21"/>
              </w:rPr>
              <w:t>2(d)</w:t>
            </w:r>
          </w:p>
        </w:tc>
        <w:tc>
          <w:tcPr>
            <w:tcW w:w="7421" w:type="dxa"/>
            <w:tcBorders>
              <w:left w:val="nil"/>
              <w:right w:val="nil"/>
            </w:tcBorders>
          </w:tcPr>
          <w:p w:rsidR="00955201" w:rsidRPr="00C72A74" w:rsidRDefault="00955201" w:rsidP="002F064D">
            <w:pPr>
              <w:pStyle w:val="Tabletext"/>
            </w:pPr>
            <w:r w:rsidRPr="00C72A74">
              <w:rPr>
                <w:szCs w:val="21"/>
              </w:rPr>
              <w:t>Work out the uncapped production amount for each MVP for the current quarter of the ATS year under subsection</w:t>
            </w:r>
            <w:r>
              <w:rPr>
                <w:szCs w:val="21"/>
              </w:rPr>
              <w:t> </w:t>
            </w:r>
            <w:r w:rsidRPr="00C72A74">
              <w:rPr>
                <w:szCs w:val="21"/>
              </w:rPr>
              <w:t>2.1 (1).</w:t>
            </w:r>
          </w:p>
        </w:tc>
      </w:tr>
      <w:tr w:rsidR="00955201" w:rsidRPr="00C72A74" w:rsidDel="00955201" w:rsidTr="006B36BA">
        <w:trPr>
          <w:gridAfter w:val="1"/>
          <w:wAfter w:w="7" w:type="dxa"/>
        </w:trPr>
        <w:tc>
          <w:tcPr>
            <w:tcW w:w="993" w:type="dxa"/>
            <w:tcBorders>
              <w:left w:val="nil"/>
              <w:right w:val="nil"/>
            </w:tcBorders>
          </w:tcPr>
          <w:p w:rsidR="00955201" w:rsidRPr="00C72A74" w:rsidDel="00955201" w:rsidRDefault="00955201" w:rsidP="002F064D">
            <w:pPr>
              <w:pStyle w:val="Tabletext"/>
              <w:rPr>
                <w:szCs w:val="21"/>
              </w:rPr>
            </w:pPr>
            <w:r w:rsidRPr="00217933">
              <w:t>2(e)</w:t>
            </w:r>
          </w:p>
        </w:tc>
        <w:tc>
          <w:tcPr>
            <w:tcW w:w="7421" w:type="dxa"/>
            <w:tcBorders>
              <w:left w:val="nil"/>
              <w:right w:val="nil"/>
            </w:tcBorders>
          </w:tcPr>
          <w:p w:rsidR="00955201" w:rsidRPr="00C72A74" w:rsidDel="00955201" w:rsidRDefault="00955201" w:rsidP="002F064D">
            <w:pPr>
              <w:pStyle w:val="Tabletext"/>
              <w:rPr>
                <w:szCs w:val="21"/>
              </w:rPr>
            </w:pPr>
            <w:r w:rsidRPr="00217933">
              <w:t>Add together the amounts worked out under steps 2(c) and 2(d) to obtain the total of the MVP’s capped and uncapped amounts for the quarter.</w:t>
            </w:r>
          </w:p>
        </w:tc>
      </w:tr>
      <w:tr w:rsidR="00DC73C5" w:rsidRPr="00DC73C5" w:rsidTr="00DC73C5">
        <w:tc>
          <w:tcPr>
            <w:tcW w:w="993" w:type="dxa"/>
            <w:tcBorders>
              <w:top w:val="single" w:sz="12" w:space="0" w:color="auto"/>
              <w:left w:val="nil"/>
              <w:bottom w:val="single" w:sz="12" w:space="0" w:color="auto"/>
              <w:right w:val="nil"/>
            </w:tcBorders>
          </w:tcPr>
          <w:p w:rsidR="00DC73C5" w:rsidRPr="002A3566" w:rsidRDefault="00DC73C5" w:rsidP="002A3566">
            <w:pPr>
              <w:pStyle w:val="TableHeading"/>
              <w:rPr>
                <w:bCs/>
                <w:iCs/>
              </w:rPr>
            </w:pPr>
            <w:r w:rsidRPr="002A3566">
              <w:rPr>
                <w:bCs/>
                <w:iCs/>
              </w:rPr>
              <w:t>Step 3</w:t>
            </w:r>
          </w:p>
        </w:tc>
        <w:tc>
          <w:tcPr>
            <w:tcW w:w="7428" w:type="dxa"/>
            <w:gridSpan w:val="2"/>
            <w:tcBorders>
              <w:top w:val="single" w:sz="12" w:space="0" w:color="auto"/>
              <w:left w:val="nil"/>
              <w:bottom w:val="single" w:sz="12" w:space="0" w:color="auto"/>
              <w:right w:val="nil"/>
            </w:tcBorders>
          </w:tcPr>
          <w:p w:rsidR="00DC73C5" w:rsidRPr="002A3566" w:rsidRDefault="00DC73C5" w:rsidP="002A3566">
            <w:pPr>
              <w:pStyle w:val="TableHeading"/>
              <w:rPr>
                <w:bCs/>
                <w:iCs/>
              </w:rPr>
            </w:pPr>
            <w:r w:rsidRPr="002A3566">
              <w:rPr>
                <w:bCs/>
                <w:iCs/>
              </w:rPr>
              <w:t>Work out the ceiling rate for an MVP for the current quarter in an ATS year</w:t>
            </w:r>
          </w:p>
        </w:tc>
      </w:tr>
      <w:tr w:rsidR="000F716A" w:rsidRPr="00F13BF3" w:rsidTr="006B36BA">
        <w:trPr>
          <w:gridAfter w:val="1"/>
          <w:wAfter w:w="7" w:type="dxa"/>
          <w:trHeight w:val="397"/>
        </w:trPr>
        <w:tc>
          <w:tcPr>
            <w:tcW w:w="993" w:type="dxa"/>
            <w:tcBorders>
              <w:left w:val="nil"/>
              <w:right w:val="nil"/>
            </w:tcBorders>
          </w:tcPr>
          <w:p w:rsidR="000F716A" w:rsidRPr="00F13BF3" w:rsidRDefault="000F716A" w:rsidP="00F13BF3">
            <w:pPr>
              <w:pStyle w:val="Tabletext"/>
            </w:pPr>
            <w:r w:rsidRPr="00F13BF3">
              <w:t>3(a)</w:t>
            </w:r>
          </w:p>
        </w:tc>
        <w:tc>
          <w:tcPr>
            <w:tcW w:w="7421" w:type="dxa"/>
            <w:tcBorders>
              <w:left w:val="nil"/>
              <w:right w:val="nil"/>
            </w:tcBorders>
          </w:tcPr>
          <w:p w:rsidR="000F716A" w:rsidRPr="00F13BF3" w:rsidRDefault="000F716A" w:rsidP="00F13BF3">
            <w:pPr>
              <w:pStyle w:val="Tabletext"/>
            </w:pPr>
            <w:r w:rsidRPr="00F13BF3">
              <w:t>Determine the sales</w:t>
            </w:r>
            <w:r w:rsidR="00C72A74" w:rsidRPr="00F13BF3">
              <w:noBreakHyphen/>
            </w:r>
            <w:r w:rsidRPr="00F13BF3">
              <w:t xml:space="preserve">based cap for each MVP </w:t>
            </w:r>
            <w:r w:rsidR="00362537" w:rsidRPr="00F13BF3">
              <w:t>under</w:t>
            </w:r>
            <w:r w:rsidRPr="00F13BF3">
              <w:t xml:space="preserve"> regulation</w:t>
            </w:r>
            <w:r w:rsidR="00C72A74" w:rsidRPr="00F13BF3">
              <w:t> </w:t>
            </w:r>
            <w:r w:rsidRPr="00F13BF3">
              <w:t>3.11.</w:t>
            </w:r>
          </w:p>
        </w:tc>
      </w:tr>
      <w:tr w:rsidR="000F716A" w:rsidRPr="00C72A74" w:rsidTr="006B36BA">
        <w:trPr>
          <w:gridAfter w:val="1"/>
          <w:wAfter w:w="7" w:type="dxa"/>
          <w:trHeight w:val="397"/>
        </w:trPr>
        <w:tc>
          <w:tcPr>
            <w:tcW w:w="993" w:type="dxa"/>
            <w:tcBorders>
              <w:left w:val="nil"/>
              <w:right w:val="nil"/>
            </w:tcBorders>
          </w:tcPr>
          <w:p w:rsidR="000F716A" w:rsidRPr="00C72A74" w:rsidRDefault="000F716A" w:rsidP="002F064D">
            <w:pPr>
              <w:pStyle w:val="Tabletext"/>
            </w:pPr>
            <w:r w:rsidRPr="00C72A74">
              <w:rPr>
                <w:szCs w:val="21"/>
              </w:rPr>
              <w:t>3(b)</w:t>
            </w:r>
          </w:p>
        </w:tc>
        <w:tc>
          <w:tcPr>
            <w:tcW w:w="7421" w:type="dxa"/>
            <w:tcBorders>
              <w:left w:val="nil"/>
              <w:right w:val="nil"/>
            </w:tcBorders>
          </w:tcPr>
          <w:p w:rsidR="000F716A" w:rsidRPr="00C72A74" w:rsidRDefault="000F716A" w:rsidP="002F064D">
            <w:pPr>
              <w:pStyle w:val="Tabletext"/>
              <w:rPr>
                <w:noProof/>
              </w:rPr>
            </w:pPr>
            <w:r w:rsidRPr="00C72A74">
              <w:rPr>
                <w:noProof/>
                <w:szCs w:val="21"/>
              </w:rPr>
              <w:t>Determine the total capped and uncapped amounts paid to the MVP in previous quarters in the ATS year.</w:t>
            </w:r>
          </w:p>
        </w:tc>
      </w:tr>
      <w:tr w:rsidR="00955201" w:rsidRPr="00C72A74" w:rsidDel="00955201" w:rsidTr="005A6F0D">
        <w:trPr>
          <w:gridAfter w:val="1"/>
          <w:wAfter w:w="7" w:type="dxa"/>
          <w:cantSplit/>
          <w:trHeight w:val="397"/>
        </w:trPr>
        <w:tc>
          <w:tcPr>
            <w:tcW w:w="993" w:type="dxa"/>
            <w:tcBorders>
              <w:left w:val="nil"/>
              <w:right w:val="nil"/>
            </w:tcBorders>
          </w:tcPr>
          <w:p w:rsidR="00955201" w:rsidRPr="00C72A74" w:rsidDel="00955201" w:rsidRDefault="00955201" w:rsidP="002F064D">
            <w:pPr>
              <w:pStyle w:val="Tabletext"/>
              <w:rPr>
                <w:szCs w:val="21"/>
              </w:rPr>
            </w:pPr>
            <w:r w:rsidRPr="00217933">
              <w:lastRenderedPageBreak/>
              <w:t>3(c)</w:t>
            </w:r>
          </w:p>
        </w:tc>
        <w:tc>
          <w:tcPr>
            <w:tcW w:w="7421" w:type="dxa"/>
            <w:tcBorders>
              <w:left w:val="nil"/>
              <w:right w:val="nil"/>
            </w:tcBorders>
          </w:tcPr>
          <w:p w:rsidR="00955201" w:rsidRPr="00217933" w:rsidRDefault="00955201" w:rsidP="00955201">
            <w:pPr>
              <w:pStyle w:val="Tabletext"/>
            </w:pPr>
            <w:r w:rsidRPr="00217933">
              <w:rPr>
                <w:noProof/>
              </w:rPr>
              <w:t>Work out</w:t>
            </w:r>
            <w:r w:rsidRPr="00217933">
              <w:t xml:space="preserve"> the ceiling rate for each MVP for the current quarter by:</w:t>
            </w:r>
          </w:p>
          <w:p w:rsidR="00955201" w:rsidRPr="00217933" w:rsidRDefault="00955201" w:rsidP="00955201">
            <w:pPr>
              <w:pStyle w:val="Tablea"/>
            </w:pPr>
            <w:r w:rsidRPr="00217933">
              <w:t>(a) subtracting the amount obtained under step 3(b) from the sales</w:t>
            </w:r>
            <w:r>
              <w:noBreakHyphen/>
            </w:r>
            <w:r w:rsidRPr="00217933">
              <w:t>based cap amount for the MVP determined under step 3(a); and</w:t>
            </w:r>
          </w:p>
          <w:p w:rsidR="00955201" w:rsidRPr="00217933" w:rsidRDefault="00955201" w:rsidP="00955201">
            <w:pPr>
              <w:pStyle w:val="Tablea"/>
            </w:pPr>
            <w:r w:rsidRPr="00217933">
              <w:t>(b) dividing the result by the total of the MVP’s capped and uncapped amounts for the quarter (obtained by adding together the amounts worked out under steps 1(e) and 2(e)).</w:t>
            </w:r>
          </w:p>
          <w:p w:rsidR="00955201" w:rsidRPr="00217933" w:rsidRDefault="00955201" w:rsidP="00955201">
            <w:pPr>
              <w:pStyle w:val="Tabletext"/>
            </w:pPr>
            <w:r w:rsidRPr="00217933">
              <w:rPr>
                <w:noProof/>
              </w:rPr>
              <w:t>If the result of the calculation is equal to or greater than 1, the ceiling rate for the MVP is 1.</w:t>
            </w:r>
          </w:p>
          <w:p w:rsidR="00955201" w:rsidRPr="00C72A74" w:rsidDel="00955201" w:rsidRDefault="00955201" w:rsidP="002F064D">
            <w:pPr>
              <w:pStyle w:val="Tabletext"/>
              <w:rPr>
                <w:noProof/>
                <w:szCs w:val="21"/>
              </w:rPr>
            </w:pPr>
            <w:r w:rsidRPr="00217933">
              <w:rPr>
                <w:noProof/>
              </w:rPr>
              <w:t>If the result of the calculation is less than 1, the ceiling rate for the MVP is that result.</w:t>
            </w:r>
          </w:p>
        </w:tc>
      </w:tr>
      <w:tr w:rsidR="00DC73C5" w:rsidRPr="00DC73C5" w:rsidTr="00DC73C5">
        <w:tc>
          <w:tcPr>
            <w:tcW w:w="993" w:type="dxa"/>
            <w:tcBorders>
              <w:top w:val="single" w:sz="12" w:space="0" w:color="auto"/>
              <w:left w:val="nil"/>
              <w:bottom w:val="single" w:sz="12" w:space="0" w:color="auto"/>
              <w:right w:val="nil"/>
            </w:tcBorders>
          </w:tcPr>
          <w:p w:rsidR="00DC73C5" w:rsidRPr="002A3566" w:rsidRDefault="00DC73C5" w:rsidP="002A3566">
            <w:pPr>
              <w:pStyle w:val="TableHeading"/>
              <w:rPr>
                <w:bCs/>
                <w:iCs/>
              </w:rPr>
            </w:pPr>
            <w:r w:rsidRPr="002A3566">
              <w:rPr>
                <w:bCs/>
                <w:iCs/>
              </w:rPr>
              <w:t>Step 4</w:t>
            </w:r>
          </w:p>
        </w:tc>
        <w:tc>
          <w:tcPr>
            <w:tcW w:w="7428" w:type="dxa"/>
            <w:gridSpan w:val="2"/>
            <w:tcBorders>
              <w:top w:val="single" w:sz="12" w:space="0" w:color="auto"/>
              <w:left w:val="nil"/>
              <w:bottom w:val="single" w:sz="12" w:space="0" w:color="auto"/>
              <w:right w:val="nil"/>
            </w:tcBorders>
          </w:tcPr>
          <w:p w:rsidR="00DC73C5" w:rsidRPr="002A3566" w:rsidRDefault="00DC73C5" w:rsidP="002A3566">
            <w:pPr>
              <w:pStyle w:val="TableHeading"/>
              <w:rPr>
                <w:bCs/>
                <w:iCs/>
              </w:rPr>
            </w:pPr>
            <w:r w:rsidRPr="002A3566">
              <w:rPr>
                <w:bCs/>
                <w:iCs/>
              </w:rPr>
              <w:t>Limit the capped amount for each MVP for the current quarter in an ATS year</w:t>
            </w:r>
          </w:p>
        </w:tc>
      </w:tr>
      <w:tr w:rsidR="000F716A" w:rsidRPr="0058246A" w:rsidTr="00134121">
        <w:trPr>
          <w:gridAfter w:val="1"/>
          <w:wAfter w:w="7" w:type="dxa"/>
        </w:trPr>
        <w:tc>
          <w:tcPr>
            <w:tcW w:w="993" w:type="dxa"/>
            <w:tcBorders>
              <w:left w:val="nil"/>
              <w:bottom w:val="single" w:sz="4" w:space="0" w:color="auto"/>
              <w:right w:val="nil"/>
            </w:tcBorders>
          </w:tcPr>
          <w:p w:rsidR="000F716A" w:rsidRPr="0058246A" w:rsidRDefault="000F716A" w:rsidP="0058246A">
            <w:pPr>
              <w:pStyle w:val="Tabletext"/>
            </w:pPr>
            <w:bookmarkStart w:id="14" w:name="BK_S3P9L3C1"/>
            <w:r w:rsidRPr="0058246A">
              <w:t>4(a)</w:t>
            </w:r>
          </w:p>
        </w:tc>
        <w:tc>
          <w:tcPr>
            <w:tcW w:w="7421" w:type="dxa"/>
            <w:tcBorders>
              <w:left w:val="nil"/>
              <w:bottom w:val="single" w:sz="4" w:space="0" w:color="auto"/>
              <w:right w:val="nil"/>
            </w:tcBorders>
          </w:tcPr>
          <w:p w:rsidR="000F716A" w:rsidRPr="0058246A" w:rsidRDefault="00735372" w:rsidP="0058246A">
            <w:pPr>
              <w:pStyle w:val="Tabletext"/>
            </w:pPr>
            <w:r w:rsidRPr="0058246A">
              <w:t>Work out</w:t>
            </w:r>
            <w:r w:rsidR="000F716A" w:rsidRPr="0058246A">
              <w:t xml:space="preserve"> the</w:t>
            </w:r>
            <w:r w:rsidR="00DA1DBF" w:rsidRPr="0058246A">
              <w:t xml:space="preserve"> current </w:t>
            </w:r>
            <w:r w:rsidR="000F716A" w:rsidRPr="0058246A">
              <w:t xml:space="preserve">quarter limited capped amount for each MVP for the ATS year by multiplying the amount obtained under </w:t>
            </w:r>
            <w:r w:rsidR="006F4ACF" w:rsidRPr="0058246A">
              <w:t>step</w:t>
            </w:r>
            <w:r w:rsidR="000F716A" w:rsidRPr="0058246A">
              <w:t xml:space="preserve"> 2(c) by the ceiling rate for the MVP obtained under </w:t>
            </w:r>
            <w:r w:rsidR="006F4ACF" w:rsidRPr="0058246A">
              <w:t>step</w:t>
            </w:r>
            <w:r w:rsidR="000F716A" w:rsidRPr="0058246A">
              <w:t xml:space="preserve"> 3(c).</w:t>
            </w:r>
          </w:p>
        </w:tc>
      </w:tr>
      <w:tr w:rsidR="000F716A" w:rsidRPr="00C72A74" w:rsidTr="00134121">
        <w:trPr>
          <w:gridAfter w:val="1"/>
          <w:wAfter w:w="7" w:type="dxa"/>
        </w:trPr>
        <w:tc>
          <w:tcPr>
            <w:tcW w:w="993" w:type="dxa"/>
            <w:tcBorders>
              <w:top w:val="single" w:sz="4" w:space="0" w:color="auto"/>
              <w:left w:val="nil"/>
              <w:bottom w:val="nil"/>
              <w:right w:val="nil"/>
            </w:tcBorders>
          </w:tcPr>
          <w:p w:rsidR="000F716A" w:rsidRPr="00C72A74" w:rsidRDefault="000F716A" w:rsidP="002F064D">
            <w:pPr>
              <w:pStyle w:val="Tabletext"/>
            </w:pPr>
            <w:r w:rsidRPr="00C72A74">
              <w:rPr>
                <w:szCs w:val="21"/>
              </w:rPr>
              <w:t>4(b)</w:t>
            </w:r>
          </w:p>
        </w:tc>
        <w:tc>
          <w:tcPr>
            <w:tcW w:w="7421" w:type="dxa"/>
            <w:tcBorders>
              <w:top w:val="single" w:sz="4" w:space="0" w:color="auto"/>
              <w:left w:val="nil"/>
              <w:bottom w:val="nil"/>
              <w:right w:val="nil"/>
            </w:tcBorders>
          </w:tcPr>
          <w:p w:rsidR="000F716A" w:rsidRPr="00C72A74" w:rsidRDefault="000F716A" w:rsidP="002F064D">
            <w:pPr>
              <w:pStyle w:val="Tabletext"/>
            </w:pPr>
            <w:r w:rsidRPr="00C72A74">
              <w:rPr>
                <w:szCs w:val="21"/>
              </w:rPr>
              <w:t xml:space="preserve">Add together the results obtained under </w:t>
            </w:r>
            <w:r w:rsidR="006F4ACF" w:rsidRPr="00C72A74">
              <w:rPr>
                <w:szCs w:val="21"/>
              </w:rPr>
              <w:t>step</w:t>
            </w:r>
            <w:r w:rsidRPr="00C72A74">
              <w:rPr>
                <w:szCs w:val="21"/>
              </w:rPr>
              <w:t xml:space="preserve"> 4(a) for all MVPs.</w:t>
            </w:r>
          </w:p>
        </w:tc>
      </w:tr>
    </w:tbl>
    <w:tbl>
      <w:tblPr>
        <w:tblW w:w="0" w:type="auto"/>
        <w:tblInd w:w="113" w:type="dxa"/>
        <w:tblBorders>
          <w:top w:val="single" w:sz="4" w:space="0" w:color="auto"/>
          <w:bottom w:val="single" w:sz="2" w:space="0" w:color="auto"/>
          <w:insideH w:val="single" w:sz="4" w:space="0" w:color="auto"/>
        </w:tblBorders>
        <w:tblLook w:val="0000" w:firstRow="0" w:lastRow="0" w:firstColumn="0" w:lastColumn="0" w:noHBand="0" w:noVBand="0"/>
      </w:tblPr>
      <w:tblGrid>
        <w:gridCol w:w="988"/>
        <w:gridCol w:w="7371"/>
      </w:tblGrid>
      <w:tr w:rsidR="00955201" w:rsidRPr="00217933" w:rsidTr="00DC73C5">
        <w:trPr>
          <w:tblHeader/>
        </w:trPr>
        <w:tc>
          <w:tcPr>
            <w:tcW w:w="988" w:type="dxa"/>
            <w:tcBorders>
              <w:top w:val="single" w:sz="12" w:space="0" w:color="auto"/>
              <w:bottom w:val="single" w:sz="12" w:space="0" w:color="auto"/>
            </w:tcBorders>
            <w:shd w:val="clear" w:color="auto" w:fill="auto"/>
          </w:tcPr>
          <w:bookmarkEnd w:id="14"/>
          <w:p w:rsidR="00955201" w:rsidRPr="00217933" w:rsidRDefault="00955201" w:rsidP="00955201">
            <w:pPr>
              <w:pStyle w:val="TableHeading"/>
            </w:pPr>
            <w:r w:rsidRPr="00217933">
              <w:t>Step 5</w:t>
            </w:r>
          </w:p>
        </w:tc>
        <w:tc>
          <w:tcPr>
            <w:tcW w:w="7371" w:type="dxa"/>
            <w:tcBorders>
              <w:top w:val="single" w:sz="12" w:space="0" w:color="auto"/>
              <w:bottom w:val="single" w:sz="12" w:space="0" w:color="auto"/>
            </w:tcBorders>
            <w:shd w:val="clear" w:color="auto" w:fill="auto"/>
          </w:tcPr>
          <w:p w:rsidR="00955201" w:rsidRPr="00217933" w:rsidRDefault="00955201" w:rsidP="00955201">
            <w:pPr>
              <w:pStyle w:val="TableHeading"/>
            </w:pPr>
            <w:r w:rsidRPr="00217933">
              <w:rPr>
                <w:bCs/>
                <w:iCs/>
              </w:rPr>
              <w:t>Limit the capped amount for each MVP for the remaining quarters in an ATS year</w:t>
            </w:r>
          </w:p>
        </w:tc>
      </w:tr>
      <w:tr w:rsidR="00955201" w:rsidRPr="00217933" w:rsidTr="00DC73C5">
        <w:tc>
          <w:tcPr>
            <w:tcW w:w="988" w:type="dxa"/>
            <w:tcBorders>
              <w:top w:val="single" w:sz="12" w:space="0" w:color="auto"/>
              <w:bottom w:val="single" w:sz="4" w:space="0" w:color="auto"/>
            </w:tcBorders>
            <w:shd w:val="clear" w:color="auto" w:fill="auto"/>
          </w:tcPr>
          <w:p w:rsidR="00955201" w:rsidRPr="00217933" w:rsidRDefault="00955201" w:rsidP="00955201">
            <w:pPr>
              <w:pStyle w:val="Tabletext"/>
            </w:pPr>
            <w:r w:rsidRPr="00217933">
              <w:t>5(a)</w:t>
            </w:r>
          </w:p>
        </w:tc>
        <w:tc>
          <w:tcPr>
            <w:tcW w:w="7371" w:type="dxa"/>
            <w:tcBorders>
              <w:top w:val="single" w:sz="12" w:space="0" w:color="auto"/>
              <w:bottom w:val="single" w:sz="4" w:space="0" w:color="auto"/>
            </w:tcBorders>
            <w:shd w:val="clear" w:color="auto" w:fill="auto"/>
          </w:tcPr>
          <w:p w:rsidR="00955201" w:rsidRPr="00217933" w:rsidRDefault="00955201" w:rsidP="00955201">
            <w:pPr>
              <w:pStyle w:val="Tabletext"/>
            </w:pPr>
            <w:r w:rsidRPr="00217933">
              <w:t>Work out the remaining quarters limited capped amounts for each MVP for the ATS year by multiplying the amount obtained under step 1(c) by the ceiling rate for the MVP obtained under step 3(c).</w:t>
            </w:r>
          </w:p>
        </w:tc>
      </w:tr>
      <w:tr w:rsidR="00955201" w:rsidRPr="00217933" w:rsidTr="00DC73C5">
        <w:tc>
          <w:tcPr>
            <w:tcW w:w="988" w:type="dxa"/>
            <w:tcBorders>
              <w:bottom w:val="single" w:sz="12" w:space="0" w:color="auto"/>
            </w:tcBorders>
            <w:shd w:val="clear" w:color="auto" w:fill="auto"/>
          </w:tcPr>
          <w:p w:rsidR="00955201" w:rsidRPr="00217933" w:rsidRDefault="00955201" w:rsidP="00955201">
            <w:pPr>
              <w:pStyle w:val="Tabletext"/>
            </w:pPr>
            <w:r w:rsidRPr="00217933">
              <w:t>5(b)</w:t>
            </w:r>
          </w:p>
        </w:tc>
        <w:tc>
          <w:tcPr>
            <w:tcW w:w="7371" w:type="dxa"/>
            <w:tcBorders>
              <w:bottom w:val="single" w:sz="12" w:space="0" w:color="auto"/>
            </w:tcBorders>
            <w:shd w:val="clear" w:color="auto" w:fill="auto"/>
          </w:tcPr>
          <w:p w:rsidR="00955201" w:rsidRPr="00217933" w:rsidRDefault="00955201" w:rsidP="00955201">
            <w:pPr>
              <w:pStyle w:val="Tabletext"/>
            </w:pPr>
            <w:r w:rsidRPr="00217933">
              <w:t>Add together the results obtained under step 5(a) for all MVPs.</w:t>
            </w:r>
          </w:p>
        </w:tc>
      </w:tr>
      <w:tr w:rsidR="00955201" w:rsidRPr="00217933" w:rsidTr="00DC73C5">
        <w:trPr>
          <w:tblHeader/>
        </w:trPr>
        <w:tc>
          <w:tcPr>
            <w:tcW w:w="988" w:type="dxa"/>
            <w:tcBorders>
              <w:top w:val="single" w:sz="12" w:space="0" w:color="auto"/>
              <w:bottom w:val="single" w:sz="12" w:space="0" w:color="auto"/>
            </w:tcBorders>
            <w:shd w:val="clear" w:color="auto" w:fill="auto"/>
          </w:tcPr>
          <w:p w:rsidR="00955201" w:rsidRPr="002A3566" w:rsidRDefault="00955201" w:rsidP="00955201">
            <w:pPr>
              <w:pStyle w:val="TableHeading"/>
              <w:rPr>
                <w:bCs/>
                <w:iCs/>
              </w:rPr>
            </w:pPr>
            <w:r w:rsidRPr="002A3566">
              <w:rPr>
                <w:bCs/>
                <w:iCs/>
              </w:rPr>
              <w:t>Step 6</w:t>
            </w:r>
          </w:p>
        </w:tc>
        <w:tc>
          <w:tcPr>
            <w:tcW w:w="7371" w:type="dxa"/>
            <w:tcBorders>
              <w:top w:val="single" w:sz="12" w:space="0" w:color="auto"/>
              <w:bottom w:val="single" w:sz="12" w:space="0" w:color="auto"/>
            </w:tcBorders>
            <w:shd w:val="clear" w:color="auto" w:fill="auto"/>
          </w:tcPr>
          <w:p w:rsidR="00955201" w:rsidRPr="002A3566" w:rsidRDefault="00955201" w:rsidP="00955201">
            <w:pPr>
              <w:pStyle w:val="TableHeading"/>
              <w:rPr>
                <w:bCs/>
                <w:iCs/>
              </w:rPr>
            </w:pPr>
            <w:r w:rsidRPr="00217933">
              <w:rPr>
                <w:bCs/>
                <w:iCs/>
              </w:rPr>
              <w:t>Work out the modulation rate for the MVP for a quarter in an ATS year</w:t>
            </w:r>
          </w:p>
        </w:tc>
      </w:tr>
      <w:tr w:rsidR="00955201" w:rsidRPr="00217933" w:rsidTr="00DC73C5">
        <w:tc>
          <w:tcPr>
            <w:tcW w:w="988" w:type="dxa"/>
            <w:tcBorders>
              <w:top w:val="single" w:sz="12" w:space="0" w:color="auto"/>
              <w:bottom w:val="single" w:sz="4" w:space="0" w:color="auto"/>
            </w:tcBorders>
            <w:shd w:val="clear" w:color="auto" w:fill="auto"/>
          </w:tcPr>
          <w:p w:rsidR="00955201" w:rsidRPr="00217933" w:rsidRDefault="00955201" w:rsidP="00955201">
            <w:pPr>
              <w:pStyle w:val="Tabletext"/>
            </w:pPr>
            <w:r w:rsidRPr="00217933">
              <w:t>6(a)</w:t>
            </w:r>
          </w:p>
        </w:tc>
        <w:tc>
          <w:tcPr>
            <w:tcW w:w="7371" w:type="dxa"/>
            <w:tcBorders>
              <w:top w:val="single" w:sz="12" w:space="0" w:color="auto"/>
              <w:bottom w:val="single" w:sz="4" w:space="0" w:color="auto"/>
            </w:tcBorders>
            <w:shd w:val="clear" w:color="auto" w:fill="auto"/>
          </w:tcPr>
          <w:p w:rsidR="00955201" w:rsidRPr="00217933" w:rsidRDefault="00955201" w:rsidP="00955201">
            <w:pPr>
              <w:pStyle w:val="Tabletext"/>
            </w:pPr>
            <w:r w:rsidRPr="00217933">
              <w:t>Determine the ATS year cap from regulations 3.9 and 3.10 for the ATS year concerned.</w:t>
            </w:r>
          </w:p>
        </w:tc>
      </w:tr>
      <w:tr w:rsidR="00955201" w:rsidRPr="00217933" w:rsidTr="00DC73C5">
        <w:tc>
          <w:tcPr>
            <w:tcW w:w="988" w:type="dxa"/>
            <w:shd w:val="clear" w:color="auto" w:fill="auto"/>
          </w:tcPr>
          <w:p w:rsidR="00955201" w:rsidRPr="00217933" w:rsidRDefault="00955201" w:rsidP="00955201">
            <w:pPr>
              <w:pStyle w:val="Tabletext"/>
            </w:pPr>
            <w:r w:rsidRPr="00217933">
              <w:t>6(b)</w:t>
            </w:r>
          </w:p>
        </w:tc>
        <w:tc>
          <w:tcPr>
            <w:tcW w:w="7371" w:type="dxa"/>
            <w:shd w:val="clear" w:color="auto" w:fill="auto"/>
          </w:tcPr>
          <w:p w:rsidR="00955201" w:rsidRPr="00217933" w:rsidRDefault="00955201" w:rsidP="00955201">
            <w:pPr>
              <w:pStyle w:val="Tabletext"/>
            </w:pPr>
            <w:r w:rsidRPr="00217933">
              <w:t>Combine the capped amounts (if any) paid to all MVPs in previous quarters of the ATS year.</w:t>
            </w:r>
          </w:p>
        </w:tc>
      </w:tr>
      <w:tr w:rsidR="00955201" w:rsidRPr="00217933" w:rsidTr="00DC73C5">
        <w:tc>
          <w:tcPr>
            <w:tcW w:w="988" w:type="dxa"/>
            <w:tcBorders>
              <w:bottom w:val="single" w:sz="12" w:space="0" w:color="auto"/>
            </w:tcBorders>
            <w:shd w:val="clear" w:color="auto" w:fill="auto"/>
          </w:tcPr>
          <w:p w:rsidR="00955201" w:rsidRPr="00217933" w:rsidRDefault="00955201" w:rsidP="00955201">
            <w:pPr>
              <w:pStyle w:val="Tabletext"/>
            </w:pPr>
            <w:r w:rsidRPr="00217933">
              <w:t>6(c)</w:t>
            </w:r>
          </w:p>
        </w:tc>
        <w:tc>
          <w:tcPr>
            <w:tcW w:w="7371" w:type="dxa"/>
            <w:tcBorders>
              <w:bottom w:val="single" w:sz="12" w:space="0" w:color="auto"/>
            </w:tcBorders>
            <w:shd w:val="clear" w:color="auto" w:fill="auto"/>
          </w:tcPr>
          <w:p w:rsidR="00955201" w:rsidRPr="00217933" w:rsidRDefault="00955201" w:rsidP="00955201">
            <w:pPr>
              <w:pStyle w:val="Tabletext"/>
            </w:pPr>
            <w:r w:rsidRPr="00217933">
              <w:t>Work out the modulation rate for the MVP for the quarter by:</w:t>
            </w:r>
          </w:p>
          <w:p w:rsidR="00955201" w:rsidRPr="00217933" w:rsidRDefault="00955201" w:rsidP="00955201">
            <w:pPr>
              <w:pStyle w:val="Tablea"/>
            </w:pPr>
            <w:r w:rsidRPr="00217933">
              <w:t>(a) subtracting the combined capped amount worked out under step 6(b) from the amount worked out under step 6(a); and</w:t>
            </w:r>
          </w:p>
          <w:p w:rsidR="00955201" w:rsidRPr="00217933" w:rsidRDefault="00955201" w:rsidP="00955201">
            <w:pPr>
              <w:pStyle w:val="Tablea"/>
            </w:pPr>
            <w:r w:rsidRPr="00217933">
              <w:t>(b) dividing the result by:</w:t>
            </w:r>
          </w:p>
          <w:p w:rsidR="00955201" w:rsidRPr="00217933" w:rsidRDefault="00955201" w:rsidP="00955201">
            <w:pPr>
              <w:pStyle w:val="Tablei"/>
            </w:pPr>
            <w:r w:rsidRPr="00217933">
              <w:t>(i) if the current quarter is the final quarter of the ATS year—the amount obtained under step 4(b); or</w:t>
            </w:r>
          </w:p>
          <w:p w:rsidR="00955201" w:rsidRPr="00217933" w:rsidRDefault="00955201" w:rsidP="00955201">
            <w:pPr>
              <w:pStyle w:val="Tablei"/>
            </w:pPr>
            <w:r w:rsidRPr="00217933">
              <w:t>(ii) for any other quarter—the amount obtained by adding the result obtained under step 4(b) to the result obtained under step 5(b) for that ATS year.</w:t>
            </w:r>
          </w:p>
          <w:p w:rsidR="00955201" w:rsidRPr="00217933" w:rsidRDefault="00955201" w:rsidP="00955201">
            <w:pPr>
              <w:pStyle w:val="Tabletext"/>
            </w:pPr>
            <w:r w:rsidRPr="00217933">
              <w:t>If the result of the calculation is equal to or greater than 1, the modulation rate for the MVP is 1.</w:t>
            </w:r>
          </w:p>
          <w:p w:rsidR="00955201" w:rsidRPr="00217933" w:rsidRDefault="00955201" w:rsidP="00955201">
            <w:pPr>
              <w:pStyle w:val="Tabletext"/>
            </w:pPr>
            <w:r w:rsidRPr="00217933">
              <w:t>If the result of the calculation is less than 1, the modulation rate for the MVP is that result.</w:t>
            </w:r>
          </w:p>
        </w:tc>
      </w:tr>
    </w:tbl>
    <w:p w:rsidR="000F716A" w:rsidRPr="00C72A74" w:rsidRDefault="002F064D" w:rsidP="002F064D">
      <w:pPr>
        <w:pStyle w:val="ActHead3"/>
        <w:pageBreakBefore/>
      </w:pPr>
      <w:bookmarkStart w:id="15" w:name="_Toc359833554"/>
      <w:r w:rsidRPr="00C72A74">
        <w:rPr>
          <w:rStyle w:val="CharDivNo"/>
        </w:rPr>
        <w:lastRenderedPageBreak/>
        <w:t>Division</w:t>
      </w:r>
      <w:r w:rsidR="00C72A74" w:rsidRPr="00C72A74">
        <w:rPr>
          <w:rStyle w:val="CharDivNo"/>
        </w:rPr>
        <w:t> </w:t>
      </w:r>
      <w:r w:rsidR="000F716A" w:rsidRPr="00C72A74">
        <w:rPr>
          <w:rStyle w:val="CharDivNo"/>
        </w:rPr>
        <w:t>3.</w:t>
      </w:r>
      <w:r w:rsidR="00092D51" w:rsidRPr="00C72A74">
        <w:rPr>
          <w:rStyle w:val="CharDivNo"/>
        </w:rPr>
        <w:t>3</w:t>
      </w:r>
      <w:r w:rsidRPr="00C72A74">
        <w:t>—</w:t>
      </w:r>
      <w:r w:rsidR="000F716A" w:rsidRPr="00C72A74">
        <w:rPr>
          <w:rStyle w:val="CharDivText"/>
        </w:rPr>
        <w:t xml:space="preserve">Individual MVP </w:t>
      </w:r>
      <w:r w:rsidR="003E3A4C" w:rsidRPr="00C72A74">
        <w:rPr>
          <w:rStyle w:val="CharDivText"/>
        </w:rPr>
        <w:t>q</w:t>
      </w:r>
      <w:r w:rsidR="000F716A" w:rsidRPr="00C72A74">
        <w:rPr>
          <w:rStyle w:val="CharDivText"/>
        </w:rPr>
        <w:t xml:space="preserve">uarterly </w:t>
      </w:r>
      <w:r w:rsidR="003E3A4C" w:rsidRPr="00C72A74">
        <w:rPr>
          <w:rStyle w:val="CharDivText"/>
        </w:rPr>
        <w:t>a</w:t>
      </w:r>
      <w:r w:rsidR="000F716A" w:rsidRPr="00C72A74">
        <w:rPr>
          <w:rStyle w:val="CharDivText"/>
        </w:rPr>
        <w:t>ssistance</w:t>
      </w:r>
      <w:bookmarkEnd w:id="15"/>
    </w:p>
    <w:p w:rsidR="000F716A" w:rsidRPr="00C72A74" w:rsidRDefault="000F716A" w:rsidP="002F064D">
      <w:pPr>
        <w:pStyle w:val="ActHead5"/>
      </w:pPr>
      <w:bookmarkStart w:id="16" w:name="_Toc359833555"/>
      <w:r w:rsidRPr="00C72A74">
        <w:rPr>
          <w:rStyle w:val="CharSectno"/>
        </w:rPr>
        <w:t>3.3</w:t>
      </w:r>
      <w:r w:rsidR="002F064D" w:rsidRPr="00C72A74">
        <w:t xml:space="preserve">  </w:t>
      </w:r>
      <w:r w:rsidR="00735372" w:rsidRPr="00C72A74">
        <w:t>Working out</w:t>
      </w:r>
      <w:r w:rsidRPr="00C72A74">
        <w:t xml:space="preserve"> of quarterly assistance for </w:t>
      </w:r>
      <w:r w:rsidR="00DA1DBF" w:rsidRPr="00C72A74">
        <w:t xml:space="preserve">all </w:t>
      </w:r>
      <w:r w:rsidRPr="00C72A74">
        <w:t>quarters</w:t>
      </w:r>
      <w:bookmarkEnd w:id="16"/>
    </w:p>
    <w:p w:rsidR="000F716A" w:rsidRDefault="000F716A" w:rsidP="002F064D">
      <w:pPr>
        <w:pStyle w:val="subsection"/>
        <w:rPr>
          <w:bCs/>
          <w:iCs/>
        </w:rPr>
      </w:pPr>
      <w:r w:rsidRPr="00C72A74">
        <w:tab/>
      </w:r>
      <w:r w:rsidRPr="00C72A74">
        <w:tab/>
        <w:t xml:space="preserve">For </w:t>
      </w:r>
      <w:r w:rsidR="00735372" w:rsidRPr="00C72A74">
        <w:t xml:space="preserve">working out the </w:t>
      </w:r>
      <w:r w:rsidRPr="00C72A74">
        <w:rPr>
          <w:bCs/>
          <w:iCs/>
        </w:rPr>
        <w:t xml:space="preserve">individual MVPs capped and uncapped amounts for </w:t>
      </w:r>
      <w:r w:rsidR="00DA1DBF" w:rsidRPr="00C72A74">
        <w:rPr>
          <w:bCs/>
          <w:iCs/>
        </w:rPr>
        <w:t>all quarters in an ATS year, the Secretary is to use the following steps.</w:t>
      </w:r>
    </w:p>
    <w:p w:rsidR="00E36A1C" w:rsidRDefault="00E36A1C" w:rsidP="002F064D">
      <w:pPr>
        <w:pStyle w:val="subsection"/>
        <w:rPr>
          <w:bCs/>
          <w:iCs/>
        </w:rPr>
      </w:pPr>
    </w:p>
    <w:tbl>
      <w:tblPr>
        <w:tblStyle w:val="TableGrid"/>
        <w:tblW w:w="0" w:type="auto"/>
        <w:tblInd w:w="108" w:type="dxa"/>
        <w:tblLook w:val="04A0" w:firstRow="1" w:lastRow="0" w:firstColumn="1" w:lastColumn="0" w:noHBand="0" w:noVBand="1"/>
      </w:tblPr>
      <w:tblGrid>
        <w:gridCol w:w="993"/>
        <w:gridCol w:w="7428"/>
      </w:tblGrid>
      <w:tr w:rsidR="00E36A1C" w:rsidRPr="00217933" w:rsidTr="00E36A1C">
        <w:trPr>
          <w:tblHeader/>
        </w:trPr>
        <w:tc>
          <w:tcPr>
            <w:tcW w:w="8421" w:type="dxa"/>
            <w:gridSpan w:val="2"/>
            <w:tcBorders>
              <w:top w:val="single" w:sz="12" w:space="0" w:color="auto"/>
              <w:left w:val="nil"/>
              <w:bottom w:val="single" w:sz="4" w:space="0" w:color="auto"/>
              <w:right w:val="nil"/>
            </w:tcBorders>
          </w:tcPr>
          <w:p w:rsidR="00E36A1C" w:rsidRPr="00217933" w:rsidRDefault="00E36A1C" w:rsidP="007C0492">
            <w:pPr>
              <w:pStyle w:val="TableHeading"/>
            </w:pPr>
            <w:r w:rsidRPr="00217933">
              <w:t>Steps</w:t>
            </w:r>
          </w:p>
        </w:tc>
      </w:tr>
      <w:tr w:rsidR="006B36BA" w:rsidRPr="006B36BA" w:rsidTr="00E36A1C">
        <w:tc>
          <w:tcPr>
            <w:tcW w:w="993" w:type="dxa"/>
            <w:tcBorders>
              <w:top w:val="single" w:sz="4" w:space="0" w:color="auto"/>
              <w:left w:val="nil"/>
              <w:bottom w:val="single" w:sz="12" w:space="0" w:color="auto"/>
              <w:right w:val="nil"/>
            </w:tcBorders>
          </w:tcPr>
          <w:p w:rsidR="006B36BA" w:rsidRPr="006B36BA" w:rsidRDefault="006B36BA" w:rsidP="006B36BA">
            <w:pPr>
              <w:pStyle w:val="TableHeading"/>
              <w:rPr>
                <w:rFonts w:eastAsia="Times New Roman" w:cs="Times New Roman"/>
                <w:bCs/>
                <w:iCs/>
                <w:lang w:eastAsia="en-AU"/>
              </w:rPr>
            </w:pPr>
            <w:r w:rsidRPr="006B36BA">
              <w:rPr>
                <w:rFonts w:eastAsia="Times New Roman" w:cs="Times New Roman"/>
                <w:bCs/>
                <w:iCs/>
                <w:lang w:eastAsia="en-AU"/>
              </w:rPr>
              <w:t>Step 1</w:t>
            </w:r>
          </w:p>
        </w:tc>
        <w:tc>
          <w:tcPr>
            <w:tcW w:w="7428" w:type="dxa"/>
            <w:tcBorders>
              <w:top w:val="single" w:sz="4" w:space="0" w:color="auto"/>
              <w:left w:val="nil"/>
              <w:bottom w:val="single" w:sz="12" w:space="0" w:color="auto"/>
              <w:right w:val="nil"/>
            </w:tcBorders>
          </w:tcPr>
          <w:p w:rsidR="006B36BA" w:rsidRPr="006B36BA" w:rsidRDefault="006B36BA" w:rsidP="006B36BA">
            <w:pPr>
              <w:pStyle w:val="TableHeading"/>
              <w:rPr>
                <w:rFonts w:eastAsia="Times New Roman" w:cs="Times New Roman"/>
                <w:bCs/>
                <w:iCs/>
                <w:lang w:eastAsia="en-AU"/>
              </w:rPr>
            </w:pPr>
            <w:r w:rsidRPr="006B36BA">
              <w:rPr>
                <w:rFonts w:eastAsia="Times New Roman" w:cs="Times New Roman"/>
                <w:bCs/>
                <w:iCs/>
                <w:lang w:eastAsia="en-AU"/>
              </w:rPr>
              <w:t>Modulate the capped amount for each MVP for a quarter in an ATS year</w:t>
            </w:r>
          </w:p>
        </w:tc>
      </w:tr>
      <w:tr w:rsidR="000F716A" w:rsidRPr="00F13BF3" w:rsidTr="00C0728F">
        <w:tc>
          <w:tcPr>
            <w:tcW w:w="993" w:type="dxa"/>
            <w:tcBorders>
              <w:left w:val="nil"/>
              <w:right w:val="nil"/>
            </w:tcBorders>
          </w:tcPr>
          <w:p w:rsidR="000F716A" w:rsidRPr="00F13BF3" w:rsidRDefault="00DA1DBF" w:rsidP="00F13BF3">
            <w:pPr>
              <w:pStyle w:val="Tabletext"/>
            </w:pPr>
            <w:r w:rsidRPr="00F13BF3">
              <w:t>1</w:t>
            </w:r>
          </w:p>
        </w:tc>
        <w:tc>
          <w:tcPr>
            <w:tcW w:w="7428" w:type="dxa"/>
            <w:tcBorders>
              <w:left w:val="nil"/>
              <w:right w:val="nil"/>
            </w:tcBorders>
          </w:tcPr>
          <w:p w:rsidR="000F716A" w:rsidRPr="00F13BF3" w:rsidRDefault="000F716A">
            <w:pPr>
              <w:pStyle w:val="Tabletext"/>
            </w:pPr>
            <w:r w:rsidRPr="00F13BF3">
              <w:t xml:space="preserve">Apply the modulation rate for each MVP for the current quarter by multiplying the amount obtained from </w:t>
            </w:r>
            <w:r w:rsidR="002F064D" w:rsidRPr="00F13BF3">
              <w:t>Division</w:t>
            </w:r>
            <w:r w:rsidR="00C72A74" w:rsidRPr="00F13BF3">
              <w:t> </w:t>
            </w:r>
            <w:r w:rsidRPr="00F13BF3">
              <w:t>3.</w:t>
            </w:r>
            <w:r w:rsidR="00092D51" w:rsidRPr="00F13BF3">
              <w:t>2</w:t>
            </w:r>
            <w:r w:rsidRPr="00F13BF3">
              <w:t xml:space="preserve">, </w:t>
            </w:r>
            <w:r w:rsidR="006F4ACF" w:rsidRPr="00F13BF3">
              <w:t>step</w:t>
            </w:r>
            <w:r w:rsidRPr="00F13BF3">
              <w:t xml:space="preserve"> </w:t>
            </w:r>
            <w:r w:rsidR="00955201">
              <w:t>6(c)</w:t>
            </w:r>
            <w:r w:rsidRPr="00F13BF3">
              <w:t xml:space="preserve"> by the amount obtained from</w:t>
            </w:r>
            <w:r w:rsidR="00E1680A" w:rsidRPr="00F13BF3">
              <w:t xml:space="preserve"> </w:t>
            </w:r>
            <w:r w:rsidR="002F064D" w:rsidRPr="00F13BF3">
              <w:t>Division</w:t>
            </w:r>
            <w:r w:rsidR="00C72A74" w:rsidRPr="00F13BF3">
              <w:t> </w:t>
            </w:r>
            <w:r w:rsidR="00E1680A" w:rsidRPr="00F13BF3">
              <w:t>3.2, step 4(a)</w:t>
            </w:r>
            <w:r w:rsidRPr="00F13BF3">
              <w:t>.</w:t>
            </w:r>
          </w:p>
        </w:tc>
      </w:tr>
      <w:tr w:rsidR="006B36BA" w:rsidRPr="006B36BA" w:rsidTr="00C0728F">
        <w:tc>
          <w:tcPr>
            <w:tcW w:w="993" w:type="dxa"/>
            <w:tcBorders>
              <w:top w:val="single" w:sz="12" w:space="0" w:color="auto"/>
              <w:left w:val="nil"/>
              <w:bottom w:val="single" w:sz="12" w:space="0" w:color="auto"/>
              <w:right w:val="nil"/>
            </w:tcBorders>
          </w:tcPr>
          <w:p w:rsidR="006B36BA" w:rsidRPr="006B36BA" w:rsidRDefault="006B36BA" w:rsidP="006B36BA">
            <w:pPr>
              <w:pStyle w:val="TableHeading"/>
              <w:rPr>
                <w:rFonts w:eastAsia="Times New Roman" w:cs="Times New Roman"/>
                <w:bCs/>
                <w:iCs/>
                <w:lang w:eastAsia="en-AU"/>
              </w:rPr>
            </w:pPr>
            <w:r w:rsidRPr="006B36BA">
              <w:rPr>
                <w:rFonts w:eastAsia="Times New Roman" w:cs="Times New Roman"/>
                <w:bCs/>
                <w:iCs/>
                <w:lang w:eastAsia="en-AU"/>
              </w:rPr>
              <w:t>Step 2</w:t>
            </w:r>
          </w:p>
        </w:tc>
        <w:tc>
          <w:tcPr>
            <w:tcW w:w="7428" w:type="dxa"/>
            <w:tcBorders>
              <w:top w:val="single" w:sz="12" w:space="0" w:color="auto"/>
              <w:left w:val="nil"/>
              <w:bottom w:val="single" w:sz="12" w:space="0" w:color="auto"/>
              <w:right w:val="nil"/>
            </w:tcBorders>
          </w:tcPr>
          <w:p w:rsidR="006B36BA" w:rsidRPr="006B36BA" w:rsidRDefault="006B36BA" w:rsidP="006B36BA">
            <w:pPr>
              <w:pStyle w:val="TableHeading"/>
              <w:rPr>
                <w:rFonts w:eastAsia="Times New Roman" w:cs="Times New Roman"/>
                <w:bCs/>
                <w:iCs/>
                <w:lang w:eastAsia="en-AU"/>
              </w:rPr>
            </w:pPr>
            <w:r w:rsidRPr="006B36BA">
              <w:rPr>
                <w:rFonts w:eastAsia="Times New Roman" w:cs="Times New Roman"/>
                <w:bCs/>
                <w:iCs/>
                <w:lang w:eastAsia="en-AU"/>
              </w:rPr>
              <w:t>Work out the total capped amount to be paid for each MVP for a quarter in an ATS year</w:t>
            </w:r>
          </w:p>
        </w:tc>
      </w:tr>
      <w:tr w:rsidR="000F716A" w:rsidRPr="00F13BF3" w:rsidTr="00C0728F">
        <w:tc>
          <w:tcPr>
            <w:tcW w:w="993" w:type="dxa"/>
            <w:tcBorders>
              <w:left w:val="nil"/>
              <w:right w:val="nil"/>
            </w:tcBorders>
          </w:tcPr>
          <w:p w:rsidR="000F716A" w:rsidRPr="00F13BF3" w:rsidRDefault="00DA1DBF" w:rsidP="00F13BF3">
            <w:pPr>
              <w:pStyle w:val="Tabletext"/>
            </w:pPr>
            <w:r w:rsidRPr="00F13BF3">
              <w:t>2</w:t>
            </w:r>
            <w:r w:rsidR="000F716A" w:rsidRPr="00F13BF3">
              <w:t>(a)</w:t>
            </w:r>
          </w:p>
        </w:tc>
        <w:tc>
          <w:tcPr>
            <w:tcW w:w="7428" w:type="dxa"/>
            <w:tcBorders>
              <w:left w:val="nil"/>
              <w:right w:val="nil"/>
            </w:tcBorders>
          </w:tcPr>
          <w:p w:rsidR="004D49FA" w:rsidRPr="00F13BF3" w:rsidRDefault="000F716A" w:rsidP="00F13BF3">
            <w:pPr>
              <w:pStyle w:val="Tabletext"/>
            </w:pPr>
            <w:r w:rsidRPr="00F13BF3">
              <w:t>Determine the Scheme debt capped offset amount for each MVP for the current quarter, mentioned in regulation</w:t>
            </w:r>
            <w:r w:rsidR="00C72A74" w:rsidRPr="00F13BF3">
              <w:t> </w:t>
            </w:r>
            <w:r w:rsidRPr="00F13BF3">
              <w:t>4.3.</w:t>
            </w:r>
            <w:r w:rsidR="004D49FA" w:rsidRPr="00F13BF3">
              <w:t xml:space="preserve">   </w:t>
            </w:r>
          </w:p>
        </w:tc>
      </w:tr>
      <w:tr w:rsidR="000F716A" w:rsidRPr="00C72A74" w:rsidTr="00C0728F">
        <w:tc>
          <w:tcPr>
            <w:tcW w:w="993" w:type="dxa"/>
            <w:tcBorders>
              <w:left w:val="nil"/>
              <w:right w:val="nil"/>
            </w:tcBorders>
          </w:tcPr>
          <w:p w:rsidR="000F716A" w:rsidRPr="00C72A74" w:rsidRDefault="00DA1DBF" w:rsidP="002F064D">
            <w:pPr>
              <w:pStyle w:val="Tabletext"/>
            </w:pPr>
            <w:r w:rsidRPr="00C72A74">
              <w:rPr>
                <w:szCs w:val="21"/>
              </w:rPr>
              <w:t>2</w:t>
            </w:r>
            <w:r w:rsidR="000F716A" w:rsidRPr="00C72A74">
              <w:rPr>
                <w:szCs w:val="21"/>
              </w:rPr>
              <w:t>(b)</w:t>
            </w:r>
          </w:p>
        </w:tc>
        <w:tc>
          <w:tcPr>
            <w:tcW w:w="7428" w:type="dxa"/>
            <w:tcBorders>
              <w:left w:val="nil"/>
              <w:right w:val="nil"/>
            </w:tcBorders>
          </w:tcPr>
          <w:p w:rsidR="000F716A" w:rsidRPr="00C72A74" w:rsidRDefault="000F716A" w:rsidP="002F064D">
            <w:pPr>
              <w:pStyle w:val="Tabletext"/>
            </w:pPr>
            <w:r w:rsidRPr="00C72A74">
              <w:rPr>
                <w:szCs w:val="21"/>
              </w:rPr>
              <w:t xml:space="preserve">Determine the total capped amount to be paid for each MVP by subtracting the Scheme debt capped offset amount  determined under </w:t>
            </w:r>
            <w:r w:rsidR="006F4ACF" w:rsidRPr="00C72A74">
              <w:rPr>
                <w:szCs w:val="21"/>
              </w:rPr>
              <w:t>step</w:t>
            </w:r>
            <w:r w:rsidRPr="00C72A74">
              <w:rPr>
                <w:szCs w:val="21"/>
              </w:rPr>
              <w:t xml:space="preserve"> </w:t>
            </w:r>
            <w:r w:rsidR="00E1680A" w:rsidRPr="00C72A74">
              <w:rPr>
                <w:szCs w:val="21"/>
              </w:rPr>
              <w:t>2</w:t>
            </w:r>
            <w:r w:rsidRPr="00C72A74">
              <w:rPr>
                <w:szCs w:val="21"/>
              </w:rPr>
              <w:t xml:space="preserve">(a) from the modulated capped amount determined under step </w:t>
            </w:r>
            <w:r w:rsidR="006531B0" w:rsidRPr="00C72A74">
              <w:rPr>
                <w:szCs w:val="21"/>
              </w:rPr>
              <w:t>1</w:t>
            </w:r>
            <w:r w:rsidRPr="00C72A74">
              <w:rPr>
                <w:szCs w:val="21"/>
              </w:rPr>
              <w:t>.</w:t>
            </w:r>
          </w:p>
        </w:tc>
      </w:tr>
      <w:tr w:rsidR="006B36BA" w:rsidRPr="006B36BA" w:rsidTr="00C0728F">
        <w:tc>
          <w:tcPr>
            <w:tcW w:w="993" w:type="dxa"/>
            <w:tcBorders>
              <w:top w:val="single" w:sz="12" w:space="0" w:color="auto"/>
              <w:left w:val="nil"/>
              <w:bottom w:val="single" w:sz="12" w:space="0" w:color="auto"/>
              <w:right w:val="nil"/>
            </w:tcBorders>
          </w:tcPr>
          <w:p w:rsidR="006B36BA" w:rsidRPr="006B36BA" w:rsidRDefault="006B36BA" w:rsidP="006B36BA">
            <w:pPr>
              <w:pStyle w:val="TableHeading"/>
              <w:rPr>
                <w:rFonts w:eastAsia="Times New Roman" w:cs="Times New Roman"/>
                <w:bCs/>
                <w:iCs/>
                <w:lang w:eastAsia="en-AU"/>
              </w:rPr>
            </w:pPr>
            <w:r w:rsidRPr="006B36BA">
              <w:rPr>
                <w:rFonts w:eastAsia="Times New Roman" w:cs="Times New Roman"/>
                <w:bCs/>
                <w:iCs/>
                <w:lang w:eastAsia="en-AU"/>
              </w:rPr>
              <w:t>Step 3</w:t>
            </w:r>
          </w:p>
        </w:tc>
        <w:tc>
          <w:tcPr>
            <w:tcW w:w="7428" w:type="dxa"/>
            <w:tcBorders>
              <w:top w:val="single" w:sz="12" w:space="0" w:color="auto"/>
              <w:left w:val="nil"/>
              <w:bottom w:val="single" w:sz="12" w:space="0" w:color="auto"/>
              <w:right w:val="nil"/>
            </w:tcBorders>
          </w:tcPr>
          <w:p w:rsidR="006B36BA" w:rsidRPr="006B36BA" w:rsidRDefault="006B36BA" w:rsidP="006B36BA">
            <w:pPr>
              <w:pStyle w:val="TableHeading"/>
              <w:rPr>
                <w:rFonts w:eastAsia="Times New Roman" w:cs="Times New Roman"/>
                <w:bCs/>
                <w:iCs/>
                <w:lang w:eastAsia="en-AU"/>
              </w:rPr>
            </w:pPr>
            <w:r w:rsidRPr="006B36BA">
              <w:rPr>
                <w:rFonts w:eastAsia="Times New Roman" w:cs="Times New Roman"/>
                <w:bCs/>
                <w:iCs/>
                <w:lang w:eastAsia="en-AU"/>
              </w:rPr>
              <w:t>Limit the uncapped amounts for each MVP for the quarter in an ATS year</w:t>
            </w:r>
          </w:p>
        </w:tc>
      </w:tr>
      <w:tr w:rsidR="000F716A" w:rsidRPr="00F13BF3" w:rsidTr="00C0728F">
        <w:tc>
          <w:tcPr>
            <w:tcW w:w="993" w:type="dxa"/>
            <w:tcBorders>
              <w:left w:val="nil"/>
              <w:right w:val="nil"/>
            </w:tcBorders>
          </w:tcPr>
          <w:p w:rsidR="000F716A" w:rsidRPr="00F13BF3" w:rsidRDefault="00DA1DBF" w:rsidP="00F13BF3">
            <w:pPr>
              <w:pStyle w:val="Tabletext"/>
            </w:pPr>
            <w:r w:rsidRPr="00F13BF3">
              <w:t>3</w:t>
            </w:r>
          </w:p>
        </w:tc>
        <w:tc>
          <w:tcPr>
            <w:tcW w:w="7428" w:type="dxa"/>
            <w:tcBorders>
              <w:left w:val="nil"/>
              <w:right w:val="nil"/>
            </w:tcBorders>
          </w:tcPr>
          <w:p w:rsidR="000F716A" w:rsidRPr="00F13BF3" w:rsidRDefault="000F716A">
            <w:pPr>
              <w:pStyle w:val="Tabletext"/>
            </w:pPr>
            <w:r w:rsidRPr="00F13BF3">
              <w:t>Limit the uncapped amount for each MVP for the current quarter by multiplying the amount determined under</w:t>
            </w:r>
            <w:r w:rsidR="00E1680A" w:rsidRPr="00F13BF3">
              <w:t xml:space="preserve"> </w:t>
            </w:r>
            <w:r w:rsidR="002F064D" w:rsidRPr="00F13BF3">
              <w:t>Division</w:t>
            </w:r>
            <w:r w:rsidR="00C72A74" w:rsidRPr="00F13BF3">
              <w:t> </w:t>
            </w:r>
            <w:r w:rsidR="00E1680A" w:rsidRPr="00F13BF3">
              <w:t xml:space="preserve">3.2, step 2(d) by </w:t>
            </w:r>
            <w:r w:rsidR="00955201" w:rsidRPr="00217933">
              <w:t>the ceiling rate obtained</w:t>
            </w:r>
            <w:r w:rsidR="00E1680A" w:rsidRPr="00F13BF3">
              <w:t xml:space="preserve"> under </w:t>
            </w:r>
            <w:r w:rsidR="002F064D" w:rsidRPr="00F13BF3">
              <w:t>Division</w:t>
            </w:r>
            <w:r w:rsidR="00C72A74" w:rsidRPr="00F13BF3">
              <w:t> </w:t>
            </w:r>
            <w:r w:rsidR="00E1680A" w:rsidRPr="00F13BF3">
              <w:t>3.2, step 3(c)</w:t>
            </w:r>
            <w:r w:rsidRPr="00F13BF3">
              <w:t>.</w:t>
            </w:r>
          </w:p>
        </w:tc>
      </w:tr>
      <w:tr w:rsidR="006B36BA" w:rsidRPr="006B36BA" w:rsidTr="00C0728F">
        <w:tc>
          <w:tcPr>
            <w:tcW w:w="993" w:type="dxa"/>
            <w:tcBorders>
              <w:top w:val="single" w:sz="12" w:space="0" w:color="auto"/>
              <w:left w:val="nil"/>
              <w:bottom w:val="single" w:sz="12" w:space="0" w:color="auto"/>
              <w:right w:val="nil"/>
            </w:tcBorders>
          </w:tcPr>
          <w:p w:rsidR="006B36BA" w:rsidRPr="006B36BA" w:rsidRDefault="006B36BA" w:rsidP="006B36BA">
            <w:pPr>
              <w:pStyle w:val="TableHeading"/>
              <w:rPr>
                <w:rFonts w:eastAsia="Times New Roman" w:cs="Times New Roman"/>
                <w:bCs/>
                <w:iCs/>
                <w:lang w:eastAsia="en-AU"/>
              </w:rPr>
            </w:pPr>
            <w:r w:rsidRPr="006B36BA">
              <w:rPr>
                <w:rFonts w:eastAsia="Times New Roman" w:cs="Times New Roman"/>
                <w:bCs/>
                <w:iCs/>
                <w:lang w:eastAsia="en-AU"/>
              </w:rPr>
              <w:t>Step 4</w:t>
            </w:r>
          </w:p>
        </w:tc>
        <w:tc>
          <w:tcPr>
            <w:tcW w:w="7428" w:type="dxa"/>
            <w:tcBorders>
              <w:top w:val="single" w:sz="12" w:space="0" w:color="auto"/>
              <w:left w:val="nil"/>
              <w:bottom w:val="single" w:sz="12" w:space="0" w:color="auto"/>
              <w:right w:val="nil"/>
            </w:tcBorders>
          </w:tcPr>
          <w:p w:rsidR="006B36BA" w:rsidRPr="006B36BA" w:rsidRDefault="006B36BA" w:rsidP="006B36BA">
            <w:pPr>
              <w:pStyle w:val="TableHeading"/>
              <w:rPr>
                <w:rFonts w:eastAsia="Times New Roman" w:cs="Times New Roman"/>
                <w:bCs/>
                <w:iCs/>
                <w:lang w:eastAsia="en-AU"/>
              </w:rPr>
            </w:pPr>
            <w:r w:rsidRPr="006B36BA">
              <w:rPr>
                <w:rFonts w:eastAsia="Times New Roman" w:cs="Times New Roman"/>
                <w:bCs/>
                <w:iCs/>
                <w:lang w:eastAsia="en-AU"/>
              </w:rPr>
              <w:t>Work out the total uncapped amount to be paid for each MVP for a quarter in an ATS year</w:t>
            </w:r>
          </w:p>
        </w:tc>
      </w:tr>
      <w:tr w:rsidR="000F716A" w:rsidRPr="00F13BF3" w:rsidTr="00C0728F">
        <w:tc>
          <w:tcPr>
            <w:tcW w:w="993" w:type="dxa"/>
            <w:tcBorders>
              <w:left w:val="nil"/>
              <w:right w:val="nil"/>
            </w:tcBorders>
          </w:tcPr>
          <w:p w:rsidR="000F716A" w:rsidRPr="00F13BF3" w:rsidRDefault="00DA1DBF" w:rsidP="00F13BF3">
            <w:pPr>
              <w:pStyle w:val="Tabletext"/>
            </w:pPr>
            <w:r w:rsidRPr="00F13BF3">
              <w:t>4</w:t>
            </w:r>
            <w:r w:rsidR="000F716A" w:rsidRPr="00F13BF3">
              <w:t>(a)</w:t>
            </w:r>
          </w:p>
        </w:tc>
        <w:tc>
          <w:tcPr>
            <w:tcW w:w="7428" w:type="dxa"/>
            <w:tcBorders>
              <w:left w:val="nil"/>
              <w:right w:val="nil"/>
            </w:tcBorders>
          </w:tcPr>
          <w:p w:rsidR="000F716A" w:rsidRPr="00F13BF3" w:rsidRDefault="000F716A" w:rsidP="00F13BF3">
            <w:pPr>
              <w:pStyle w:val="Tabletext"/>
            </w:pPr>
            <w:r w:rsidRPr="00F13BF3">
              <w:t>Determine the Scheme debt uncapped offset amount, if any, for each MVP, for the current quarter, under regulation</w:t>
            </w:r>
            <w:r w:rsidR="00C72A74" w:rsidRPr="00F13BF3">
              <w:t> </w:t>
            </w:r>
            <w:r w:rsidRPr="00F13BF3">
              <w:t>4.3.</w:t>
            </w:r>
          </w:p>
        </w:tc>
      </w:tr>
      <w:tr w:rsidR="000F716A" w:rsidRPr="00C72A74" w:rsidTr="00C0728F">
        <w:trPr>
          <w:trHeight w:val="397"/>
        </w:trPr>
        <w:tc>
          <w:tcPr>
            <w:tcW w:w="993" w:type="dxa"/>
            <w:tcBorders>
              <w:left w:val="nil"/>
              <w:right w:val="nil"/>
            </w:tcBorders>
          </w:tcPr>
          <w:p w:rsidR="000F716A" w:rsidRPr="00C72A74" w:rsidRDefault="00DA1DBF" w:rsidP="002F064D">
            <w:pPr>
              <w:pStyle w:val="Tabletext"/>
            </w:pPr>
            <w:r w:rsidRPr="00C72A74">
              <w:rPr>
                <w:szCs w:val="21"/>
              </w:rPr>
              <w:t>4</w:t>
            </w:r>
            <w:r w:rsidR="000F716A" w:rsidRPr="00C72A74">
              <w:rPr>
                <w:szCs w:val="21"/>
              </w:rPr>
              <w:t>(b)</w:t>
            </w:r>
          </w:p>
        </w:tc>
        <w:tc>
          <w:tcPr>
            <w:tcW w:w="7428" w:type="dxa"/>
            <w:tcBorders>
              <w:left w:val="nil"/>
              <w:right w:val="nil"/>
            </w:tcBorders>
          </w:tcPr>
          <w:p w:rsidR="000F716A" w:rsidRPr="00C72A74" w:rsidRDefault="000F716A" w:rsidP="002F064D">
            <w:pPr>
              <w:pStyle w:val="Tabletext"/>
            </w:pPr>
            <w:r w:rsidRPr="00C72A74">
              <w:rPr>
                <w:szCs w:val="21"/>
              </w:rPr>
              <w:t xml:space="preserve">Determine the total uncapped amount to be paid for each MVP for the current quarter by subtracting the Scheme debt uncapped offset amount arrived at under </w:t>
            </w:r>
            <w:r w:rsidR="006F4ACF" w:rsidRPr="00C72A74">
              <w:rPr>
                <w:szCs w:val="21"/>
              </w:rPr>
              <w:t>step</w:t>
            </w:r>
            <w:r w:rsidRPr="00C72A74">
              <w:rPr>
                <w:szCs w:val="21"/>
              </w:rPr>
              <w:t xml:space="preserve"> </w:t>
            </w:r>
            <w:r w:rsidR="00E1680A" w:rsidRPr="00C72A74">
              <w:rPr>
                <w:szCs w:val="21"/>
              </w:rPr>
              <w:t>4</w:t>
            </w:r>
            <w:r w:rsidRPr="00C72A74">
              <w:rPr>
                <w:szCs w:val="21"/>
              </w:rPr>
              <w:t xml:space="preserve">(a) from the limited uncapped amount for each </w:t>
            </w:r>
            <w:r w:rsidR="004D49FA" w:rsidRPr="00C72A74">
              <w:rPr>
                <w:szCs w:val="21"/>
              </w:rPr>
              <w:t xml:space="preserve">MVP </w:t>
            </w:r>
            <w:r w:rsidRPr="00C72A74">
              <w:rPr>
                <w:szCs w:val="21"/>
              </w:rPr>
              <w:t>worked out under step</w:t>
            </w:r>
            <w:r w:rsidR="00E1680A" w:rsidRPr="00C72A74">
              <w:rPr>
                <w:szCs w:val="21"/>
              </w:rPr>
              <w:t xml:space="preserve"> 3</w:t>
            </w:r>
            <w:r w:rsidRPr="00C72A74">
              <w:rPr>
                <w:szCs w:val="21"/>
              </w:rPr>
              <w:t>.</w:t>
            </w:r>
          </w:p>
        </w:tc>
      </w:tr>
      <w:tr w:rsidR="006B36BA" w:rsidRPr="006B36BA" w:rsidTr="00C0728F">
        <w:tc>
          <w:tcPr>
            <w:tcW w:w="993" w:type="dxa"/>
            <w:tcBorders>
              <w:top w:val="single" w:sz="12" w:space="0" w:color="auto"/>
              <w:left w:val="nil"/>
              <w:bottom w:val="single" w:sz="12" w:space="0" w:color="auto"/>
              <w:right w:val="nil"/>
            </w:tcBorders>
          </w:tcPr>
          <w:p w:rsidR="006B36BA" w:rsidRPr="006B36BA" w:rsidRDefault="006B36BA" w:rsidP="006B36BA">
            <w:pPr>
              <w:pStyle w:val="TableHeading"/>
              <w:rPr>
                <w:rFonts w:eastAsia="Times New Roman" w:cs="Times New Roman"/>
                <w:bCs/>
                <w:iCs/>
                <w:lang w:eastAsia="en-AU"/>
              </w:rPr>
            </w:pPr>
            <w:r w:rsidRPr="006B36BA">
              <w:rPr>
                <w:rFonts w:eastAsia="Times New Roman" w:cs="Times New Roman"/>
                <w:bCs/>
                <w:iCs/>
                <w:lang w:eastAsia="en-AU"/>
              </w:rPr>
              <w:t>Step 5</w:t>
            </w:r>
          </w:p>
        </w:tc>
        <w:tc>
          <w:tcPr>
            <w:tcW w:w="7428" w:type="dxa"/>
            <w:tcBorders>
              <w:top w:val="single" w:sz="12" w:space="0" w:color="auto"/>
              <w:left w:val="nil"/>
              <w:bottom w:val="single" w:sz="12" w:space="0" w:color="auto"/>
              <w:right w:val="nil"/>
            </w:tcBorders>
          </w:tcPr>
          <w:p w:rsidR="006B36BA" w:rsidRPr="006B36BA" w:rsidRDefault="006B36BA" w:rsidP="006B36BA">
            <w:pPr>
              <w:pStyle w:val="TableHeading"/>
              <w:rPr>
                <w:rFonts w:eastAsia="Times New Roman" w:cs="Times New Roman"/>
                <w:bCs/>
                <w:iCs/>
                <w:lang w:eastAsia="en-AU"/>
              </w:rPr>
            </w:pPr>
            <w:r w:rsidRPr="006B36BA">
              <w:rPr>
                <w:rFonts w:eastAsia="Times New Roman" w:cs="Times New Roman"/>
                <w:bCs/>
                <w:iCs/>
                <w:lang w:eastAsia="en-AU"/>
              </w:rPr>
              <w:t>Work out the total amount to be paid for each MVP for a quarter in an ATS year</w:t>
            </w:r>
          </w:p>
        </w:tc>
      </w:tr>
      <w:tr w:rsidR="000F716A" w:rsidRPr="00F13BF3" w:rsidTr="00C0728F">
        <w:tc>
          <w:tcPr>
            <w:tcW w:w="993" w:type="dxa"/>
            <w:tcBorders>
              <w:left w:val="nil"/>
              <w:bottom w:val="single" w:sz="12" w:space="0" w:color="auto"/>
              <w:right w:val="nil"/>
            </w:tcBorders>
          </w:tcPr>
          <w:p w:rsidR="000F716A" w:rsidRPr="00F13BF3" w:rsidRDefault="00DA1DBF" w:rsidP="00F13BF3">
            <w:pPr>
              <w:pStyle w:val="Tabletext"/>
            </w:pPr>
            <w:r w:rsidRPr="00F13BF3">
              <w:t>5</w:t>
            </w:r>
          </w:p>
        </w:tc>
        <w:tc>
          <w:tcPr>
            <w:tcW w:w="7428" w:type="dxa"/>
            <w:tcBorders>
              <w:left w:val="nil"/>
              <w:bottom w:val="single" w:sz="12" w:space="0" w:color="auto"/>
              <w:right w:val="nil"/>
            </w:tcBorders>
          </w:tcPr>
          <w:p w:rsidR="000F716A" w:rsidRPr="00F13BF3" w:rsidRDefault="000F716A" w:rsidP="00F13BF3">
            <w:pPr>
              <w:pStyle w:val="Tabletext"/>
            </w:pPr>
            <w:r w:rsidRPr="00F13BF3">
              <w:t xml:space="preserve">Add together the total capped amount to be paid for each MVP worked out under </w:t>
            </w:r>
            <w:r w:rsidR="006F4ACF" w:rsidRPr="00F13BF3">
              <w:t>step</w:t>
            </w:r>
            <w:r w:rsidRPr="00F13BF3">
              <w:t xml:space="preserve"> </w:t>
            </w:r>
            <w:r w:rsidR="00E1680A" w:rsidRPr="00F13BF3">
              <w:t>2</w:t>
            </w:r>
            <w:r w:rsidRPr="00F13BF3">
              <w:t xml:space="preserve">(b) and the total uncapped amount to be paid for each MVP worked out under </w:t>
            </w:r>
            <w:r w:rsidR="006F4ACF" w:rsidRPr="00F13BF3">
              <w:t>step</w:t>
            </w:r>
            <w:r w:rsidRPr="00F13BF3">
              <w:t xml:space="preserve"> </w:t>
            </w:r>
            <w:r w:rsidR="00E1680A" w:rsidRPr="00F13BF3">
              <w:t>4</w:t>
            </w:r>
            <w:r w:rsidRPr="00F13BF3">
              <w:t>(b) to determine the total amount to be paid for each MVP for the current quarter.</w:t>
            </w:r>
          </w:p>
        </w:tc>
      </w:tr>
    </w:tbl>
    <w:p w:rsidR="000F716A" w:rsidRPr="00C72A74" w:rsidRDefault="002F064D" w:rsidP="006D737A">
      <w:pPr>
        <w:pStyle w:val="notemargin"/>
      </w:pPr>
      <w:r w:rsidRPr="00C72A74">
        <w:t>Note:</w:t>
      </w:r>
      <w:r w:rsidRPr="00C72A74">
        <w:tab/>
      </w:r>
      <w:r w:rsidR="000F716A" w:rsidRPr="00C72A74">
        <w:t>Payments are made in accordance with regulation</w:t>
      </w:r>
      <w:r w:rsidR="00C72A74">
        <w:t> </w:t>
      </w:r>
      <w:r w:rsidR="000F716A" w:rsidRPr="00C72A74">
        <w:t>3.13.</w:t>
      </w:r>
    </w:p>
    <w:p w:rsidR="000F716A" w:rsidRPr="00C72A74" w:rsidRDefault="002F064D" w:rsidP="00966EA4">
      <w:pPr>
        <w:pStyle w:val="ActHead3"/>
        <w:pageBreakBefore/>
      </w:pPr>
      <w:bookmarkStart w:id="17" w:name="_Toc359833556"/>
      <w:r w:rsidRPr="00C72A74">
        <w:rPr>
          <w:rStyle w:val="CharDivNo"/>
        </w:rPr>
        <w:lastRenderedPageBreak/>
        <w:t>Division</w:t>
      </w:r>
      <w:r w:rsidR="00C72A74" w:rsidRPr="00C72A74">
        <w:rPr>
          <w:rStyle w:val="CharDivNo"/>
        </w:rPr>
        <w:t> </w:t>
      </w:r>
      <w:r w:rsidR="000F716A" w:rsidRPr="00C72A74">
        <w:rPr>
          <w:rStyle w:val="CharDivNo"/>
        </w:rPr>
        <w:t>3.</w:t>
      </w:r>
      <w:r w:rsidR="006F4ACF" w:rsidRPr="00C72A74">
        <w:rPr>
          <w:rStyle w:val="CharDivNo"/>
        </w:rPr>
        <w:t>4</w:t>
      </w:r>
      <w:r w:rsidRPr="00C72A74">
        <w:t>—</w:t>
      </w:r>
      <w:r w:rsidR="000F716A" w:rsidRPr="00C72A74">
        <w:rPr>
          <w:rStyle w:val="CharDivText"/>
        </w:rPr>
        <w:t>Non</w:t>
      </w:r>
      <w:r w:rsidR="00C72A74" w:rsidRPr="00C72A74">
        <w:rPr>
          <w:rStyle w:val="CharDivText"/>
        </w:rPr>
        <w:noBreakHyphen/>
      </w:r>
      <w:r w:rsidR="000F716A" w:rsidRPr="00C72A74">
        <w:rPr>
          <w:rStyle w:val="CharDivText"/>
        </w:rPr>
        <w:t xml:space="preserve">MVP </w:t>
      </w:r>
      <w:r w:rsidR="003E3A4C" w:rsidRPr="00C72A74">
        <w:rPr>
          <w:rStyle w:val="CharDivText"/>
        </w:rPr>
        <w:t>m</w:t>
      </w:r>
      <w:r w:rsidR="000F716A" w:rsidRPr="00C72A74">
        <w:rPr>
          <w:rStyle w:val="CharDivText"/>
        </w:rPr>
        <w:t xml:space="preserve">odulation </w:t>
      </w:r>
      <w:r w:rsidR="003E3A4C" w:rsidRPr="00C72A74">
        <w:rPr>
          <w:rStyle w:val="CharDivText"/>
        </w:rPr>
        <w:t>r</w:t>
      </w:r>
      <w:r w:rsidR="000F716A" w:rsidRPr="00C72A74">
        <w:rPr>
          <w:rStyle w:val="CharDivText"/>
        </w:rPr>
        <w:t xml:space="preserve">ate for a </w:t>
      </w:r>
      <w:r w:rsidR="003E3A4C" w:rsidRPr="00C72A74">
        <w:rPr>
          <w:rStyle w:val="CharDivText"/>
        </w:rPr>
        <w:t>q</w:t>
      </w:r>
      <w:r w:rsidR="000F716A" w:rsidRPr="00C72A74">
        <w:rPr>
          <w:rStyle w:val="CharDivText"/>
        </w:rPr>
        <w:t>uarter</w:t>
      </w:r>
      <w:bookmarkEnd w:id="17"/>
      <w:r w:rsidR="000F716A" w:rsidRPr="00C72A74">
        <w:rPr>
          <w:rStyle w:val="CharDivText"/>
        </w:rPr>
        <w:t xml:space="preserve"> </w:t>
      </w:r>
    </w:p>
    <w:p w:rsidR="000F716A" w:rsidRPr="00C72A74" w:rsidRDefault="000F716A" w:rsidP="002F064D">
      <w:pPr>
        <w:pStyle w:val="ActHead5"/>
      </w:pPr>
      <w:bookmarkStart w:id="18" w:name="_Toc359833557"/>
      <w:r w:rsidRPr="00C72A74">
        <w:rPr>
          <w:rStyle w:val="CharSectno"/>
        </w:rPr>
        <w:t>3.4</w:t>
      </w:r>
      <w:r w:rsidR="002F064D" w:rsidRPr="00C72A74">
        <w:t xml:space="preserve">  </w:t>
      </w:r>
      <w:r w:rsidR="00735372" w:rsidRPr="00C72A74">
        <w:t>Working out</w:t>
      </w:r>
      <w:r w:rsidRPr="00C72A74">
        <w:t xml:space="preserve"> of modulation rate for certain quarters</w:t>
      </w:r>
      <w:bookmarkEnd w:id="18"/>
    </w:p>
    <w:p w:rsidR="00955201" w:rsidRPr="00217933" w:rsidRDefault="00955201" w:rsidP="00955201">
      <w:pPr>
        <w:pStyle w:val="subsection"/>
      </w:pPr>
      <w:r w:rsidRPr="00217933">
        <w:tab/>
        <w:t>(1)</w:t>
      </w:r>
      <w:r w:rsidRPr="00217933">
        <w:tab/>
        <w:t>For working out the non</w:t>
      </w:r>
      <w:r>
        <w:noBreakHyphen/>
      </w:r>
      <w:r w:rsidRPr="00217933">
        <w:t>MVP modulation rate for the first 3 quarters in an ATS year, the Secretary is to use steps 1 to 6 in this Division. For working out the non</w:t>
      </w:r>
      <w:r>
        <w:noBreakHyphen/>
      </w:r>
      <w:r w:rsidRPr="00217933">
        <w:t>MVP modulation rate for the final quarter in an ATS year, the Secretary is to use steps 2, 3, 4 and 6 in this Division.</w:t>
      </w:r>
    </w:p>
    <w:p w:rsidR="000F716A" w:rsidRDefault="000F716A" w:rsidP="002F064D">
      <w:pPr>
        <w:pStyle w:val="subsection"/>
      </w:pPr>
      <w:r w:rsidRPr="00C72A74">
        <w:tab/>
        <w:t>(</w:t>
      </w:r>
      <w:r w:rsidR="00E1680A" w:rsidRPr="00C72A74">
        <w:t>2</w:t>
      </w:r>
      <w:r w:rsidRPr="00C72A74">
        <w:t>)</w:t>
      </w:r>
      <w:r w:rsidRPr="00C72A74">
        <w:tab/>
        <w:t>The non</w:t>
      </w:r>
      <w:r w:rsidR="00C72A74">
        <w:noBreakHyphen/>
      </w:r>
      <w:r w:rsidRPr="00C72A74">
        <w:t xml:space="preserve">MVP modulation rate for </w:t>
      </w:r>
      <w:r w:rsidR="00E1680A" w:rsidRPr="00C72A74">
        <w:t xml:space="preserve">a </w:t>
      </w:r>
      <w:r w:rsidRPr="00C72A74">
        <w:t xml:space="preserve">quarter for an ATS year is the rate determined under </w:t>
      </w:r>
      <w:r w:rsidR="006F4ACF" w:rsidRPr="00C72A74">
        <w:t>step</w:t>
      </w:r>
      <w:r w:rsidR="006F12AE" w:rsidRPr="00C72A74">
        <w:t> </w:t>
      </w:r>
      <w:r w:rsidR="00955201">
        <w:t>6(c)</w:t>
      </w:r>
      <w:r w:rsidRPr="00C72A74">
        <w:t xml:space="preserve"> as soon as practicable after the last day of the quarter for which non</w:t>
      </w:r>
      <w:r w:rsidR="00C72A74">
        <w:noBreakHyphen/>
      </w:r>
      <w:r w:rsidRPr="00C72A74">
        <w:t xml:space="preserve">MVPs are required to make a return for </w:t>
      </w:r>
      <w:r w:rsidR="000B6D07" w:rsidRPr="00C72A74">
        <w:t>the</w:t>
      </w:r>
      <w:r w:rsidRPr="00C72A74">
        <w:t xml:space="preserve"> quarter under regulation</w:t>
      </w:r>
      <w:r w:rsidR="00C72A74">
        <w:t> </w:t>
      </w:r>
      <w:r w:rsidRPr="00C72A74">
        <w:t>3.1.</w:t>
      </w:r>
    </w:p>
    <w:p w:rsidR="00134121" w:rsidRDefault="00134121" w:rsidP="000C37DF"/>
    <w:tbl>
      <w:tblPr>
        <w:tblStyle w:val="TableGrid"/>
        <w:tblW w:w="8505" w:type="dxa"/>
        <w:tblInd w:w="108" w:type="dxa"/>
        <w:tblLook w:val="04A0" w:firstRow="1" w:lastRow="0" w:firstColumn="1" w:lastColumn="0" w:noHBand="0" w:noVBand="1"/>
      </w:tblPr>
      <w:tblGrid>
        <w:gridCol w:w="1018"/>
        <w:gridCol w:w="7487"/>
      </w:tblGrid>
      <w:tr w:rsidR="00103E21" w:rsidRPr="00F13BF3" w:rsidDel="00955201" w:rsidTr="00E36A1C">
        <w:trPr>
          <w:tblHeader/>
        </w:trPr>
        <w:tc>
          <w:tcPr>
            <w:tcW w:w="1018" w:type="dxa"/>
            <w:tcBorders>
              <w:top w:val="single" w:sz="12" w:space="0" w:color="auto"/>
              <w:left w:val="nil"/>
              <w:right w:val="nil"/>
            </w:tcBorders>
          </w:tcPr>
          <w:p w:rsidR="00134121" w:rsidRPr="00134121" w:rsidRDefault="00134121" w:rsidP="00103E21">
            <w:pPr>
              <w:pStyle w:val="TableHeading"/>
            </w:pPr>
            <w:r w:rsidRPr="00134121">
              <w:t>Steps</w:t>
            </w:r>
          </w:p>
        </w:tc>
        <w:tc>
          <w:tcPr>
            <w:tcW w:w="7487" w:type="dxa"/>
            <w:tcBorders>
              <w:top w:val="single" w:sz="12" w:space="0" w:color="auto"/>
              <w:left w:val="nil"/>
              <w:right w:val="nil"/>
            </w:tcBorders>
          </w:tcPr>
          <w:p w:rsidR="00134121" w:rsidRPr="00134121" w:rsidRDefault="00134121" w:rsidP="00103E21">
            <w:pPr>
              <w:pStyle w:val="TableHeading"/>
            </w:pPr>
          </w:p>
        </w:tc>
      </w:tr>
      <w:tr w:rsidR="00134121" w:rsidRPr="00F13BF3" w:rsidDel="00955201" w:rsidTr="00E36A1C">
        <w:tc>
          <w:tcPr>
            <w:tcW w:w="1018" w:type="dxa"/>
            <w:tcBorders>
              <w:left w:val="nil"/>
              <w:bottom w:val="single" w:sz="12" w:space="0" w:color="auto"/>
              <w:right w:val="nil"/>
            </w:tcBorders>
          </w:tcPr>
          <w:p w:rsidR="00134121" w:rsidRPr="00134121" w:rsidRDefault="00134121" w:rsidP="00103E21">
            <w:pPr>
              <w:pStyle w:val="TableHeading"/>
            </w:pPr>
            <w:r w:rsidRPr="00134121">
              <w:t>Step 1</w:t>
            </w:r>
          </w:p>
        </w:tc>
        <w:tc>
          <w:tcPr>
            <w:tcW w:w="7487" w:type="dxa"/>
            <w:tcBorders>
              <w:left w:val="nil"/>
              <w:bottom w:val="single" w:sz="12" w:space="0" w:color="auto"/>
              <w:right w:val="nil"/>
            </w:tcBorders>
          </w:tcPr>
          <w:p w:rsidR="00134121" w:rsidRPr="00134121" w:rsidRDefault="00134121" w:rsidP="00103E21">
            <w:pPr>
              <w:pStyle w:val="TableHeading"/>
            </w:pPr>
            <w:r w:rsidRPr="00134121">
              <w:t>Work out forecast capped amounts for all non</w:t>
            </w:r>
            <w:r w:rsidRPr="00134121">
              <w:noBreakHyphen/>
              <w:t>MVPs for use in working out the modulation rate for the current quarter in an ATS year</w:t>
            </w:r>
          </w:p>
        </w:tc>
      </w:tr>
      <w:tr w:rsidR="00103E21" w:rsidRPr="00F13BF3" w:rsidDel="00955201" w:rsidTr="00E36A1C">
        <w:tc>
          <w:tcPr>
            <w:tcW w:w="1018" w:type="dxa"/>
            <w:tcBorders>
              <w:top w:val="single" w:sz="12" w:space="0" w:color="auto"/>
              <w:left w:val="nil"/>
              <w:right w:val="nil"/>
            </w:tcBorders>
          </w:tcPr>
          <w:p w:rsidR="00955201" w:rsidRPr="00217933" w:rsidRDefault="00955201" w:rsidP="00955201">
            <w:pPr>
              <w:pStyle w:val="Tabletext"/>
            </w:pPr>
            <w:r w:rsidRPr="00217933">
              <w:t>1(a)</w:t>
            </w:r>
          </w:p>
        </w:tc>
        <w:tc>
          <w:tcPr>
            <w:tcW w:w="7487" w:type="dxa"/>
            <w:tcBorders>
              <w:top w:val="single" w:sz="12" w:space="0" w:color="auto"/>
              <w:left w:val="nil"/>
              <w:right w:val="nil"/>
            </w:tcBorders>
          </w:tcPr>
          <w:p w:rsidR="00955201" w:rsidRPr="00217933" w:rsidRDefault="00955201" w:rsidP="00955201">
            <w:pPr>
              <w:pStyle w:val="Tabletext"/>
            </w:pPr>
            <w:r w:rsidRPr="00217933">
              <w:t>Work out the forecast capped investment amounts for each non</w:t>
            </w:r>
            <w:r>
              <w:noBreakHyphen/>
            </w:r>
            <w:r w:rsidRPr="00217933">
              <w:t>MVP for the remaining quarters in the ATS year under section 2.3 using the information included in the non</w:t>
            </w:r>
            <w:r>
              <w:noBreakHyphen/>
            </w:r>
            <w:r w:rsidRPr="00217933">
              <w:t>MVP’s business plans under subregulations 2.12 (3) and 2.27.</w:t>
            </w:r>
          </w:p>
        </w:tc>
      </w:tr>
      <w:tr w:rsidR="00103E21" w:rsidRPr="00C72A74" w:rsidTr="00E36A1C">
        <w:tc>
          <w:tcPr>
            <w:tcW w:w="1018" w:type="dxa"/>
            <w:tcBorders>
              <w:left w:val="nil"/>
              <w:bottom w:val="single" w:sz="12" w:space="0" w:color="auto"/>
              <w:right w:val="nil"/>
            </w:tcBorders>
          </w:tcPr>
          <w:p w:rsidR="00955201" w:rsidRPr="00C72A74" w:rsidRDefault="00955201" w:rsidP="002F064D">
            <w:pPr>
              <w:pStyle w:val="Tabletext"/>
            </w:pPr>
            <w:r w:rsidRPr="00C72A74">
              <w:rPr>
                <w:szCs w:val="21"/>
              </w:rPr>
              <w:t>1(b)</w:t>
            </w:r>
          </w:p>
        </w:tc>
        <w:tc>
          <w:tcPr>
            <w:tcW w:w="7487" w:type="dxa"/>
            <w:tcBorders>
              <w:left w:val="nil"/>
              <w:bottom w:val="single" w:sz="12" w:space="0" w:color="auto"/>
              <w:right w:val="nil"/>
            </w:tcBorders>
          </w:tcPr>
          <w:p w:rsidR="00955201" w:rsidRPr="00C72A74" w:rsidRDefault="00955201" w:rsidP="002F064D">
            <w:pPr>
              <w:pStyle w:val="Tabletext"/>
            </w:pPr>
            <w:r w:rsidRPr="00C72A74">
              <w:rPr>
                <w:szCs w:val="21"/>
              </w:rPr>
              <w:t>Add together the amounts from step 1(a) for all non</w:t>
            </w:r>
            <w:r>
              <w:rPr>
                <w:szCs w:val="21"/>
              </w:rPr>
              <w:noBreakHyphen/>
            </w:r>
            <w:r w:rsidRPr="00C72A74">
              <w:rPr>
                <w:szCs w:val="21"/>
              </w:rPr>
              <w:t>MVPs.</w:t>
            </w:r>
          </w:p>
        </w:tc>
      </w:tr>
      <w:tr w:rsidR="00134121" w:rsidRPr="00134121" w:rsidTr="00E36A1C">
        <w:tc>
          <w:tcPr>
            <w:tcW w:w="1018" w:type="dxa"/>
            <w:tcBorders>
              <w:top w:val="single" w:sz="12" w:space="0" w:color="auto"/>
              <w:left w:val="nil"/>
              <w:bottom w:val="single" w:sz="12" w:space="0" w:color="auto"/>
              <w:right w:val="nil"/>
            </w:tcBorders>
          </w:tcPr>
          <w:p w:rsidR="00134121" w:rsidRPr="00134121" w:rsidRDefault="00134121" w:rsidP="00103E21">
            <w:pPr>
              <w:pStyle w:val="TableHeading"/>
            </w:pPr>
            <w:r w:rsidRPr="00134121">
              <w:t>Step 2</w:t>
            </w:r>
          </w:p>
        </w:tc>
        <w:tc>
          <w:tcPr>
            <w:tcW w:w="7487" w:type="dxa"/>
            <w:tcBorders>
              <w:top w:val="single" w:sz="12" w:space="0" w:color="auto"/>
              <w:left w:val="nil"/>
              <w:bottom w:val="single" w:sz="12" w:space="0" w:color="auto"/>
              <w:right w:val="nil"/>
            </w:tcBorders>
          </w:tcPr>
          <w:p w:rsidR="00134121" w:rsidRPr="00134121" w:rsidRDefault="00134121" w:rsidP="00103E21">
            <w:pPr>
              <w:pStyle w:val="TableHeading"/>
            </w:pPr>
            <w:r w:rsidRPr="00134121">
              <w:t>Work out individual non</w:t>
            </w:r>
            <w:r w:rsidRPr="00134121">
              <w:noBreakHyphen/>
              <w:t>MVPs capped amounts for working out the sales</w:t>
            </w:r>
            <w:r w:rsidRPr="00134121">
              <w:noBreakHyphen/>
              <w:t>based cap in the current quarter of an ATS year</w:t>
            </w:r>
          </w:p>
        </w:tc>
      </w:tr>
      <w:tr w:rsidR="000F716A" w:rsidRPr="00F13BF3" w:rsidTr="00E36A1C">
        <w:tc>
          <w:tcPr>
            <w:tcW w:w="1018" w:type="dxa"/>
            <w:tcBorders>
              <w:top w:val="single" w:sz="12" w:space="0" w:color="auto"/>
              <w:left w:val="nil"/>
              <w:bottom w:val="single" w:sz="12" w:space="0" w:color="auto"/>
              <w:right w:val="nil"/>
            </w:tcBorders>
          </w:tcPr>
          <w:p w:rsidR="000F716A" w:rsidRPr="00F13BF3" w:rsidRDefault="000F716A" w:rsidP="00F13BF3">
            <w:pPr>
              <w:pStyle w:val="Tabletext"/>
            </w:pPr>
            <w:bookmarkStart w:id="19" w:name="BK_S3P13L21C1"/>
            <w:r w:rsidRPr="00F13BF3">
              <w:t>2</w:t>
            </w:r>
          </w:p>
        </w:tc>
        <w:tc>
          <w:tcPr>
            <w:tcW w:w="7487" w:type="dxa"/>
            <w:tcBorders>
              <w:top w:val="single" w:sz="12" w:space="0" w:color="auto"/>
              <w:left w:val="nil"/>
              <w:bottom w:val="single" w:sz="12" w:space="0" w:color="auto"/>
              <w:right w:val="nil"/>
            </w:tcBorders>
          </w:tcPr>
          <w:p w:rsidR="000F716A" w:rsidRPr="00F13BF3" w:rsidRDefault="000F716A" w:rsidP="00F13BF3">
            <w:pPr>
              <w:pStyle w:val="Tabletext"/>
            </w:pPr>
            <w:r w:rsidRPr="00F13BF3">
              <w:t>Work o</w:t>
            </w:r>
            <w:r w:rsidR="00E1680A" w:rsidRPr="00F13BF3">
              <w:t>ut the capped investment amount for each non</w:t>
            </w:r>
            <w:r w:rsidR="00C72A74" w:rsidRPr="00F13BF3">
              <w:noBreakHyphen/>
            </w:r>
            <w:r w:rsidR="00E1680A" w:rsidRPr="00F13BF3">
              <w:t>MVP for the current quarter of the ATS year</w:t>
            </w:r>
            <w:r w:rsidR="006531B0" w:rsidRPr="00F13BF3">
              <w:t xml:space="preserve"> under section</w:t>
            </w:r>
            <w:r w:rsidR="00C72A74" w:rsidRPr="00F13BF3">
              <w:t> </w:t>
            </w:r>
            <w:r w:rsidR="006531B0" w:rsidRPr="00F13BF3">
              <w:t>2.3</w:t>
            </w:r>
            <w:r w:rsidRPr="00F13BF3">
              <w:t>.</w:t>
            </w:r>
          </w:p>
        </w:tc>
      </w:tr>
      <w:bookmarkEnd w:id="19"/>
      <w:tr w:rsidR="00134121" w:rsidRPr="00134121" w:rsidTr="00E36A1C">
        <w:tc>
          <w:tcPr>
            <w:tcW w:w="1018" w:type="dxa"/>
            <w:tcBorders>
              <w:top w:val="single" w:sz="12" w:space="0" w:color="auto"/>
              <w:left w:val="nil"/>
              <w:bottom w:val="single" w:sz="12" w:space="0" w:color="auto"/>
              <w:right w:val="nil"/>
            </w:tcBorders>
          </w:tcPr>
          <w:p w:rsidR="00134121" w:rsidRPr="00134121" w:rsidRDefault="00134121" w:rsidP="00134121">
            <w:pPr>
              <w:pStyle w:val="TableHeading"/>
            </w:pPr>
            <w:r w:rsidRPr="00134121">
              <w:t>Step 3</w:t>
            </w:r>
          </w:p>
        </w:tc>
        <w:tc>
          <w:tcPr>
            <w:tcW w:w="7487" w:type="dxa"/>
            <w:tcBorders>
              <w:top w:val="single" w:sz="12" w:space="0" w:color="auto"/>
              <w:left w:val="nil"/>
              <w:bottom w:val="single" w:sz="12" w:space="0" w:color="auto"/>
              <w:right w:val="nil"/>
            </w:tcBorders>
          </w:tcPr>
          <w:p w:rsidR="00134121" w:rsidRPr="00134121" w:rsidRDefault="00134121" w:rsidP="00134121">
            <w:pPr>
              <w:pStyle w:val="TableHeading"/>
            </w:pPr>
            <w:r w:rsidRPr="00134121">
              <w:t>Work out the ceiling rate for a non</w:t>
            </w:r>
            <w:r w:rsidRPr="00134121">
              <w:noBreakHyphen/>
              <w:t>MVP for the current quarter in an ATS year</w:t>
            </w:r>
          </w:p>
        </w:tc>
      </w:tr>
      <w:tr w:rsidR="000F716A" w:rsidRPr="00F13BF3" w:rsidTr="00E36A1C">
        <w:trPr>
          <w:trHeight w:val="397"/>
        </w:trPr>
        <w:tc>
          <w:tcPr>
            <w:tcW w:w="1018" w:type="dxa"/>
            <w:tcBorders>
              <w:top w:val="single" w:sz="12" w:space="0" w:color="auto"/>
              <w:left w:val="nil"/>
              <w:right w:val="nil"/>
            </w:tcBorders>
          </w:tcPr>
          <w:p w:rsidR="000F716A" w:rsidRPr="00F13BF3" w:rsidRDefault="000F716A" w:rsidP="00F13BF3">
            <w:pPr>
              <w:pStyle w:val="Tabletext"/>
            </w:pPr>
            <w:r w:rsidRPr="00F13BF3">
              <w:t>3(a)</w:t>
            </w:r>
          </w:p>
        </w:tc>
        <w:tc>
          <w:tcPr>
            <w:tcW w:w="7487" w:type="dxa"/>
            <w:tcBorders>
              <w:top w:val="single" w:sz="12" w:space="0" w:color="auto"/>
              <w:left w:val="nil"/>
              <w:right w:val="nil"/>
            </w:tcBorders>
          </w:tcPr>
          <w:p w:rsidR="000F716A" w:rsidRPr="00F13BF3" w:rsidRDefault="000F716A" w:rsidP="00F13BF3">
            <w:pPr>
              <w:pStyle w:val="Tabletext"/>
            </w:pPr>
            <w:r w:rsidRPr="00F13BF3">
              <w:t>Determine the sales</w:t>
            </w:r>
            <w:r w:rsidR="00C72A74" w:rsidRPr="00F13BF3">
              <w:noBreakHyphen/>
            </w:r>
            <w:r w:rsidRPr="00F13BF3">
              <w:t>based cap for each non</w:t>
            </w:r>
            <w:r w:rsidR="00C72A74" w:rsidRPr="00F13BF3">
              <w:noBreakHyphen/>
            </w:r>
            <w:r w:rsidRPr="00F13BF3">
              <w:t xml:space="preserve">MVP </w:t>
            </w:r>
            <w:r w:rsidR="00F274A0" w:rsidRPr="00F13BF3">
              <w:t>under</w:t>
            </w:r>
            <w:r w:rsidRPr="00F13BF3">
              <w:t xml:space="preserve"> regulation</w:t>
            </w:r>
            <w:r w:rsidR="00C72A74" w:rsidRPr="00F13BF3">
              <w:t> </w:t>
            </w:r>
            <w:r w:rsidRPr="00F13BF3">
              <w:t>3.11</w:t>
            </w:r>
          </w:p>
        </w:tc>
      </w:tr>
      <w:tr w:rsidR="000F716A" w:rsidRPr="00C72A74" w:rsidTr="00E36A1C">
        <w:trPr>
          <w:trHeight w:val="397"/>
        </w:trPr>
        <w:tc>
          <w:tcPr>
            <w:tcW w:w="1018" w:type="dxa"/>
            <w:tcBorders>
              <w:left w:val="nil"/>
              <w:right w:val="nil"/>
            </w:tcBorders>
          </w:tcPr>
          <w:p w:rsidR="000F716A" w:rsidRPr="00C72A74" w:rsidRDefault="000F716A" w:rsidP="002F064D">
            <w:pPr>
              <w:pStyle w:val="Tabletext"/>
            </w:pPr>
            <w:r w:rsidRPr="00C72A74">
              <w:rPr>
                <w:szCs w:val="21"/>
              </w:rPr>
              <w:t>3(b)</w:t>
            </w:r>
          </w:p>
        </w:tc>
        <w:tc>
          <w:tcPr>
            <w:tcW w:w="7487" w:type="dxa"/>
            <w:tcBorders>
              <w:left w:val="nil"/>
              <w:right w:val="nil"/>
            </w:tcBorders>
          </w:tcPr>
          <w:p w:rsidR="000F716A" w:rsidRPr="00C72A74" w:rsidRDefault="000F716A" w:rsidP="002F064D">
            <w:pPr>
              <w:pStyle w:val="Tabletext"/>
            </w:pPr>
            <w:r w:rsidRPr="00C72A74">
              <w:rPr>
                <w:szCs w:val="21"/>
              </w:rPr>
              <w:t>Determine the total capped amounts paid to each non</w:t>
            </w:r>
            <w:r w:rsidR="00C72A74">
              <w:rPr>
                <w:szCs w:val="21"/>
              </w:rPr>
              <w:noBreakHyphen/>
            </w:r>
            <w:r w:rsidRPr="00C72A74">
              <w:rPr>
                <w:szCs w:val="21"/>
              </w:rPr>
              <w:t>MVP in previous quarters in the ATS year.</w:t>
            </w:r>
          </w:p>
        </w:tc>
      </w:tr>
      <w:tr w:rsidR="007B026F" w:rsidRPr="00C72A74" w:rsidDel="007B026F" w:rsidTr="00E36A1C">
        <w:trPr>
          <w:trHeight w:val="397"/>
        </w:trPr>
        <w:tc>
          <w:tcPr>
            <w:tcW w:w="1018" w:type="dxa"/>
            <w:tcBorders>
              <w:left w:val="nil"/>
              <w:bottom w:val="single" w:sz="12" w:space="0" w:color="auto"/>
              <w:right w:val="nil"/>
            </w:tcBorders>
          </w:tcPr>
          <w:p w:rsidR="007B026F" w:rsidRPr="00C72A74" w:rsidDel="007B026F" w:rsidRDefault="007B026F" w:rsidP="002F064D">
            <w:pPr>
              <w:pStyle w:val="Tabletext"/>
              <w:rPr>
                <w:szCs w:val="21"/>
              </w:rPr>
            </w:pPr>
            <w:r w:rsidRPr="00217933">
              <w:t>3(c)</w:t>
            </w:r>
          </w:p>
        </w:tc>
        <w:tc>
          <w:tcPr>
            <w:tcW w:w="7487" w:type="dxa"/>
            <w:tcBorders>
              <w:left w:val="nil"/>
              <w:bottom w:val="single" w:sz="12" w:space="0" w:color="auto"/>
              <w:right w:val="nil"/>
            </w:tcBorders>
          </w:tcPr>
          <w:p w:rsidR="007B026F" w:rsidRPr="00217933" w:rsidRDefault="007B026F" w:rsidP="00DC73C5">
            <w:pPr>
              <w:pStyle w:val="Tabletext"/>
            </w:pPr>
            <w:r w:rsidRPr="00217933">
              <w:t>Work out the ceiling rate for each non</w:t>
            </w:r>
            <w:r>
              <w:noBreakHyphen/>
            </w:r>
            <w:r w:rsidRPr="00217933">
              <w:t>MVP for the current quarter by:</w:t>
            </w:r>
          </w:p>
          <w:p w:rsidR="007B026F" w:rsidRPr="00217933" w:rsidRDefault="007B026F" w:rsidP="00DC73C5">
            <w:pPr>
              <w:pStyle w:val="Tablea"/>
            </w:pPr>
            <w:r w:rsidRPr="00217933">
              <w:t>(a) subtracting the amount obtained under step 3(b) from the sales</w:t>
            </w:r>
            <w:r>
              <w:noBreakHyphen/>
            </w:r>
            <w:r w:rsidRPr="00217933">
              <w:t>based cap for the non</w:t>
            </w:r>
            <w:r>
              <w:noBreakHyphen/>
            </w:r>
            <w:r w:rsidRPr="00217933">
              <w:t>MVP determined under step 3(a); and</w:t>
            </w:r>
          </w:p>
          <w:p w:rsidR="007B026F" w:rsidRPr="00217933" w:rsidRDefault="007B026F" w:rsidP="00DC73C5">
            <w:pPr>
              <w:pStyle w:val="Tablea"/>
            </w:pPr>
            <w:r w:rsidRPr="00217933">
              <w:t>(b) dividing the result by the total of the non</w:t>
            </w:r>
            <w:r>
              <w:noBreakHyphen/>
            </w:r>
            <w:r w:rsidRPr="00217933">
              <w:t>MVP’s capped amounts for the quarter (obtained by adding together the amounts worked out under steps 1(b) and 2).</w:t>
            </w:r>
          </w:p>
          <w:p w:rsidR="007B026F" w:rsidRPr="00217933" w:rsidRDefault="007B026F" w:rsidP="00DC73C5">
            <w:pPr>
              <w:pStyle w:val="Tabletext"/>
            </w:pPr>
            <w:r w:rsidRPr="00217933">
              <w:t>If the result of the calculation is equal to or greater than 1, the ceiling rate for the non</w:t>
            </w:r>
            <w:r>
              <w:noBreakHyphen/>
            </w:r>
            <w:r w:rsidRPr="00217933">
              <w:t>MVP is 1.</w:t>
            </w:r>
          </w:p>
          <w:p w:rsidR="007B026F" w:rsidRPr="00C72A74" w:rsidDel="007B026F" w:rsidRDefault="007B026F" w:rsidP="002F064D">
            <w:pPr>
              <w:pStyle w:val="Tabletext"/>
              <w:rPr>
                <w:szCs w:val="21"/>
              </w:rPr>
            </w:pPr>
            <w:r w:rsidRPr="00217933">
              <w:t>If the result of the calculation is less than 1, the ceiling rate for the non</w:t>
            </w:r>
            <w:r>
              <w:noBreakHyphen/>
            </w:r>
            <w:r w:rsidRPr="00217933">
              <w:t>MVP is the result.</w:t>
            </w:r>
          </w:p>
        </w:tc>
      </w:tr>
      <w:tr w:rsidR="00134121" w:rsidRPr="00134121" w:rsidTr="00E36A1C">
        <w:tc>
          <w:tcPr>
            <w:tcW w:w="1018" w:type="dxa"/>
            <w:tcBorders>
              <w:top w:val="single" w:sz="12" w:space="0" w:color="auto"/>
              <w:left w:val="nil"/>
              <w:bottom w:val="single" w:sz="12" w:space="0" w:color="auto"/>
              <w:right w:val="nil"/>
            </w:tcBorders>
          </w:tcPr>
          <w:p w:rsidR="00134121" w:rsidRPr="00134121" w:rsidRDefault="00134121" w:rsidP="000C37DF">
            <w:pPr>
              <w:pStyle w:val="TableHeading"/>
              <w:keepNext w:val="0"/>
              <w:rPr>
                <w:rFonts w:eastAsia="Times New Roman" w:cs="Times New Roman"/>
                <w:lang w:eastAsia="en-AU"/>
              </w:rPr>
            </w:pPr>
            <w:r w:rsidRPr="00134121">
              <w:rPr>
                <w:rFonts w:eastAsia="Times New Roman" w:cs="Times New Roman"/>
                <w:lang w:eastAsia="en-AU"/>
              </w:rPr>
              <w:t>Step 4</w:t>
            </w:r>
          </w:p>
        </w:tc>
        <w:tc>
          <w:tcPr>
            <w:tcW w:w="7487" w:type="dxa"/>
            <w:tcBorders>
              <w:top w:val="single" w:sz="12" w:space="0" w:color="auto"/>
              <w:left w:val="nil"/>
              <w:bottom w:val="single" w:sz="12" w:space="0" w:color="auto"/>
              <w:right w:val="nil"/>
            </w:tcBorders>
          </w:tcPr>
          <w:p w:rsidR="00134121" w:rsidRPr="00134121" w:rsidRDefault="00134121" w:rsidP="000C37DF">
            <w:pPr>
              <w:pStyle w:val="TableHeading"/>
              <w:keepNext w:val="0"/>
              <w:rPr>
                <w:rFonts w:eastAsia="Times New Roman" w:cs="Times New Roman"/>
                <w:lang w:eastAsia="en-AU"/>
              </w:rPr>
            </w:pPr>
            <w:r w:rsidRPr="00134121">
              <w:rPr>
                <w:rFonts w:eastAsia="Times New Roman" w:cs="Times New Roman"/>
                <w:lang w:eastAsia="en-AU"/>
              </w:rPr>
              <w:t>Limit the capped amounts for each non</w:t>
            </w:r>
            <w:r w:rsidRPr="00134121">
              <w:rPr>
                <w:rFonts w:eastAsia="Times New Roman" w:cs="Times New Roman"/>
                <w:lang w:eastAsia="en-AU"/>
              </w:rPr>
              <w:noBreakHyphen/>
              <w:t>MVP for the current quarter in an ATS year</w:t>
            </w:r>
          </w:p>
        </w:tc>
      </w:tr>
      <w:tr w:rsidR="000F716A" w:rsidRPr="00F13BF3" w:rsidTr="00E36A1C">
        <w:tc>
          <w:tcPr>
            <w:tcW w:w="1018" w:type="dxa"/>
            <w:tcBorders>
              <w:top w:val="single" w:sz="12" w:space="0" w:color="auto"/>
              <w:left w:val="nil"/>
              <w:bottom w:val="single" w:sz="4" w:space="0" w:color="auto"/>
              <w:right w:val="nil"/>
            </w:tcBorders>
          </w:tcPr>
          <w:p w:rsidR="000F716A" w:rsidRPr="00F13BF3" w:rsidRDefault="000F716A" w:rsidP="000C37DF">
            <w:pPr>
              <w:pStyle w:val="Tabletext"/>
            </w:pPr>
            <w:r w:rsidRPr="00F13BF3">
              <w:t>4(a)</w:t>
            </w:r>
          </w:p>
        </w:tc>
        <w:tc>
          <w:tcPr>
            <w:tcW w:w="7487" w:type="dxa"/>
            <w:tcBorders>
              <w:top w:val="single" w:sz="12" w:space="0" w:color="auto"/>
              <w:left w:val="nil"/>
              <w:bottom w:val="single" w:sz="4" w:space="0" w:color="auto"/>
              <w:right w:val="nil"/>
            </w:tcBorders>
          </w:tcPr>
          <w:p w:rsidR="000F716A" w:rsidRPr="00F13BF3" w:rsidRDefault="00735372" w:rsidP="000C37DF">
            <w:pPr>
              <w:pStyle w:val="Tabletext"/>
            </w:pPr>
            <w:r w:rsidRPr="00F13BF3">
              <w:t>Work out</w:t>
            </w:r>
            <w:r w:rsidR="000F716A" w:rsidRPr="00F13BF3">
              <w:t xml:space="preserve"> the </w:t>
            </w:r>
            <w:r w:rsidR="00084D59" w:rsidRPr="00F13BF3">
              <w:t xml:space="preserve">current </w:t>
            </w:r>
            <w:r w:rsidR="000F716A" w:rsidRPr="00F13BF3">
              <w:t>quarter limited capped amount for each non</w:t>
            </w:r>
            <w:r w:rsidR="00C72A74" w:rsidRPr="00F13BF3">
              <w:noBreakHyphen/>
            </w:r>
            <w:r w:rsidR="000F716A" w:rsidRPr="00F13BF3">
              <w:t xml:space="preserve">MVP for the ATS year by multiplying the capped amounts for </w:t>
            </w:r>
            <w:r w:rsidRPr="00F13BF3">
              <w:t xml:space="preserve">working out the </w:t>
            </w:r>
            <w:r w:rsidR="000F716A" w:rsidRPr="00F13BF3">
              <w:t>sales</w:t>
            </w:r>
            <w:r w:rsidR="00C72A74" w:rsidRPr="00F13BF3">
              <w:noBreakHyphen/>
            </w:r>
            <w:r w:rsidR="000F716A" w:rsidRPr="00F13BF3">
              <w:t>based cap obtained from step</w:t>
            </w:r>
            <w:r w:rsidR="008451E9" w:rsidRPr="00F13BF3">
              <w:t> </w:t>
            </w:r>
            <w:r w:rsidR="000F716A" w:rsidRPr="00F13BF3">
              <w:t>2 by the ceiling rate for the non</w:t>
            </w:r>
            <w:r w:rsidR="00C72A74" w:rsidRPr="00F13BF3">
              <w:noBreakHyphen/>
            </w:r>
            <w:r w:rsidR="000F716A" w:rsidRPr="00F13BF3">
              <w:t xml:space="preserve">MVP obtained under </w:t>
            </w:r>
            <w:r w:rsidR="006F4ACF" w:rsidRPr="00F13BF3">
              <w:t>step</w:t>
            </w:r>
            <w:r w:rsidR="000F716A" w:rsidRPr="00F13BF3">
              <w:t xml:space="preserve"> 3(c).</w:t>
            </w:r>
          </w:p>
        </w:tc>
      </w:tr>
      <w:tr w:rsidR="00103E21" w:rsidRPr="00F13BF3" w:rsidTr="00E36A1C">
        <w:tc>
          <w:tcPr>
            <w:tcW w:w="1018" w:type="dxa"/>
            <w:tcBorders>
              <w:left w:val="nil"/>
              <w:bottom w:val="single" w:sz="12" w:space="0" w:color="auto"/>
              <w:right w:val="nil"/>
            </w:tcBorders>
          </w:tcPr>
          <w:p w:rsidR="00103E21" w:rsidRPr="00F13BF3" w:rsidRDefault="00103E21" w:rsidP="000C37DF">
            <w:pPr>
              <w:pStyle w:val="Tabletext"/>
            </w:pPr>
            <w:r w:rsidRPr="00C72A74">
              <w:rPr>
                <w:szCs w:val="21"/>
              </w:rPr>
              <w:t>4(b)</w:t>
            </w:r>
          </w:p>
        </w:tc>
        <w:tc>
          <w:tcPr>
            <w:tcW w:w="7487" w:type="dxa"/>
            <w:tcBorders>
              <w:left w:val="nil"/>
              <w:bottom w:val="single" w:sz="12" w:space="0" w:color="auto"/>
              <w:right w:val="nil"/>
            </w:tcBorders>
          </w:tcPr>
          <w:p w:rsidR="00103E21" w:rsidRPr="00F13BF3" w:rsidRDefault="00103E21" w:rsidP="000C37DF">
            <w:pPr>
              <w:pStyle w:val="Tabletext"/>
            </w:pPr>
            <w:r w:rsidRPr="00C72A74">
              <w:rPr>
                <w:szCs w:val="21"/>
              </w:rPr>
              <w:t>Add together the results obtained under step 4(a) for all non</w:t>
            </w:r>
            <w:r>
              <w:rPr>
                <w:szCs w:val="21"/>
              </w:rPr>
              <w:noBreakHyphen/>
            </w:r>
            <w:r w:rsidRPr="00C72A74">
              <w:rPr>
                <w:szCs w:val="21"/>
              </w:rPr>
              <w:t>MVPs.</w:t>
            </w:r>
          </w:p>
        </w:tc>
      </w:tr>
      <w:tr w:rsidR="00103E21" w:rsidRPr="00F13BF3" w:rsidTr="00E36A1C">
        <w:tc>
          <w:tcPr>
            <w:tcW w:w="1018" w:type="dxa"/>
            <w:tcBorders>
              <w:top w:val="single" w:sz="12" w:space="0" w:color="auto"/>
              <w:left w:val="nil"/>
              <w:bottom w:val="nil"/>
              <w:right w:val="nil"/>
            </w:tcBorders>
          </w:tcPr>
          <w:p w:rsidR="00103E21" w:rsidRPr="00C72A74" w:rsidRDefault="00103E21" w:rsidP="00103E21">
            <w:pPr>
              <w:pStyle w:val="TableHeading"/>
              <w:rPr>
                <w:szCs w:val="21"/>
              </w:rPr>
            </w:pPr>
            <w:r w:rsidRPr="00217933">
              <w:lastRenderedPageBreak/>
              <w:t>Step 5</w:t>
            </w:r>
          </w:p>
        </w:tc>
        <w:tc>
          <w:tcPr>
            <w:tcW w:w="7487" w:type="dxa"/>
            <w:tcBorders>
              <w:top w:val="single" w:sz="12" w:space="0" w:color="auto"/>
              <w:left w:val="nil"/>
              <w:bottom w:val="nil"/>
              <w:right w:val="nil"/>
            </w:tcBorders>
          </w:tcPr>
          <w:p w:rsidR="00103E21" w:rsidRPr="00C72A74" w:rsidRDefault="00103E21" w:rsidP="00103E21">
            <w:pPr>
              <w:pStyle w:val="TableHeading"/>
              <w:rPr>
                <w:szCs w:val="21"/>
              </w:rPr>
            </w:pPr>
            <w:r w:rsidRPr="00217933">
              <w:rPr>
                <w:bCs/>
                <w:iCs/>
              </w:rPr>
              <w:t>Limit the capped amount for each non</w:t>
            </w:r>
            <w:r>
              <w:rPr>
                <w:bCs/>
                <w:iCs/>
              </w:rPr>
              <w:noBreakHyphen/>
            </w:r>
            <w:r w:rsidRPr="00217933">
              <w:rPr>
                <w:bCs/>
                <w:iCs/>
              </w:rPr>
              <w:t>MVP for the remaining quarters in an ATS year</w:t>
            </w:r>
          </w:p>
        </w:tc>
      </w:tr>
    </w:tbl>
    <w:tbl>
      <w:tblPr>
        <w:tblW w:w="8500" w:type="dxa"/>
        <w:tblInd w:w="113" w:type="dxa"/>
        <w:tblBorders>
          <w:top w:val="single" w:sz="4" w:space="0" w:color="auto"/>
          <w:bottom w:val="single" w:sz="2" w:space="0" w:color="auto"/>
          <w:insideH w:val="single" w:sz="4" w:space="0" w:color="auto"/>
        </w:tblBorders>
        <w:tblLook w:val="0000" w:firstRow="0" w:lastRow="0" w:firstColumn="0" w:lastColumn="0" w:noHBand="0" w:noVBand="0"/>
      </w:tblPr>
      <w:tblGrid>
        <w:gridCol w:w="988"/>
        <w:gridCol w:w="7512"/>
      </w:tblGrid>
      <w:tr w:rsidR="007B026F" w:rsidRPr="00217933" w:rsidTr="000C37DF">
        <w:trPr>
          <w:cantSplit/>
        </w:trPr>
        <w:tc>
          <w:tcPr>
            <w:tcW w:w="988" w:type="dxa"/>
            <w:tcBorders>
              <w:top w:val="single" w:sz="12" w:space="0" w:color="auto"/>
              <w:bottom w:val="single" w:sz="4" w:space="0" w:color="auto"/>
            </w:tcBorders>
            <w:shd w:val="clear" w:color="auto" w:fill="auto"/>
          </w:tcPr>
          <w:p w:rsidR="007B026F" w:rsidRPr="00217933" w:rsidRDefault="007B026F" w:rsidP="00DC73C5">
            <w:pPr>
              <w:pStyle w:val="Tabletext"/>
            </w:pPr>
            <w:r w:rsidRPr="00217933">
              <w:t>5(a)</w:t>
            </w:r>
          </w:p>
        </w:tc>
        <w:tc>
          <w:tcPr>
            <w:tcW w:w="7512" w:type="dxa"/>
            <w:tcBorders>
              <w:top w:val="single" w:sz="12" w:space="0" w:color="auto"/>
              <w:bottom w:val="single" w:sz="4" w:space="0" w:color="auto"/>
            </w:tcBorders>
            <w:shd w:val="clear" w:color="auto" w:fill="auto"/>
          </w:tcPr>
          <w:p w:rsidR="007B026F" w:rsidRPr="00217933" w:rsidRDefault="007B026F" w:rsidP="00DC73C5">
            <w:pPr>
              <w:pStyle w:val="Tabletext"/>
            </w:pPr>
            <w:r w:rsidRPr="00217933">
              <w:t>Work out the remaining quarters limited capped amounts for each non</w:t>
            </w:r>
            <w:r>
              <w:noBreakHyphen/>
            </w:r>
            <w:r w:rsidRPr="00217933">
              <w:t>MVP for the ATS year by multiplying the amount obtained under step 1(a) by the ceiling rate for the non</w:t>
            </w:r>
            <w:r>
              <w:noBreakHyphen/>
            </w:r>
            <w:r w:rsidRPr="00217933">
              <w:t>MVP obtained under step 3(c).</w:t>
            </w:r>
          </w:p>
        </w:tc>
      </w:tr>
      <w:tr w:rsidR="007B026F" w:rsidRPr="00217933" w:rsidTr="00103E21">
        <w:tc>
          <w:tcPr>
            <w:tcW w:w="988" w:type="dxa"/>
            <w:tcBorders>
              <w:bottom w:val="single" w:sz="12" w:space="0" w:color="auto"/>
            </w:tcBorders>
            <w:shd w:val="clear" w:color="auto" w:fill="auto"/>
          </w:tcPr>
          <w:p w:rsidR="007B026F" w:rsidRPr="00217933" w:rsidRDefault="007B026F" w:rsidP="00DC73C5">
            <w:pPr>
              <w:pStyle w:val="Tabletext"/>
            </w:pPr>
            <w:r w:rsidRPr="00217933">
              <w:t>5(b)</w:t>
            </w:r>
          </w:p>
        </w:tc>
        <w:tc>
          <w:tcPr>
            <w:tcW w:w="7512" w:type="dxa"/>
            <w:tcBorders>
              <w:bottom w:val="single" w:sz="12" w:space="0" w:color="auto"/>
            </w:tcBorders>
            <w:shd w:val="clear" w:color="auto" w:fill="auto"/>
          </w:tcPr>
          <w:p w:rsidR="007B026F" w:rsidRPr="00217933" w:rsidRDefault="007B026F" w:rsidP="00DC73C5">
            <w:pPr>
              <w:pStyle w:val="Tabletext"/>
            </w:pPr>
            <w:r w:rsidRPr="00217933">
              <w:t>Add together the results obtained under step 5(a) for all non</w:t>
            </w:r>
            <w:r>
              <w:noBreakHyphen/>
            </w:r>
            <w:r w:rsidRPr="00217933">
              <w:t>MVPs.</w:t>
            </w:r>
          </w:p>
        </w:tc>
      </w:tr>
      <w:tr w:rsidR="007B026F" w:rsidRPr="00217933" w:rsidTr="00103E21">
        <w:trPr>
          <w:tblHeader/>
        </w:trPr>
        <w:tc>
          <w:tcPr>
            <w:tcW w:w="988" w:type="dxa"/>
            <w:tcBorders>
              <w:top w:val="single" w:sz="12" w:space="0" w:color="auto"/>
              <w:bottom w:val="single" w:sz="12" w:space="0" w:color="auto"/>
            </w:tcBorders>
            <w:shd w:val="clear" w:color="auto" w:fill="auto"/>
          </w:tcPr>
          <w:p w:rsidR="007B026F" w:rsidRPr="00217933" w:rsidRDefault="007B026F" w:rsidP="00DC73C5">
            <w:pPr>
              <w:pStyle w:val="TableHeading"/>
            </w:pPr>
            <w:r w:rsidRPr="00217933">
              <w:t>Step 6</w:t>
            </w:r>
          </w:p>
        </w:tc>
        <w:tc>
          <w:tcPr>
            <w:tcW w:w="7512" w:type="dxa"/>
            <w:tcBorders>
              <w:top w:val="single" w:sz="12" w:space="0" w:color="auto"/>
              <w:bottom w:val="single" w:sz="12" w:space="0" w:color="auto"/>
            </w:tcBorders>
            <w:shd w:val="clear" w:color="auto" w:fill="auto"/>
          </w:tcPr>
          <w:p w:rsidR="007B026F" w:rsidRPr="00217933" w:rsidRDefault="007B026F" w:rsidP="00DC73C5">
            <w:pPr>
              <w:pStyle w:val="TableHeading"/>
            </w:pPr>
            <w:r w:rsidRPr="00217933">
              <w:rPr>
                <w:bCs/>
                <w:iCs/>
              </w:rPr>
              <w:t>Work out the modulation rate for the non</w:t>
            </w:r>
            <w:r>
              <w:rPr>
                <w:bCs/>
                <w:iCs/>
              </w:rPr>
              <w:noBreakHyphen/>
            </w:r>
            <w:r w:rsidRPr="00217933">
              <w:rPr>
                <w:bCs/>
                <w:iCs/>
              </w:rPr>
              <w:t>MVP for a quarter in an ATS year</w:t>
            </w:r>
          </w:p>
        </w:tc>
      </w:tr>
      <w:tr w:rsidR="007B026F" w:rsidRPr="00217933" w:rsidTr="00103E21">
        <w:tc>
          <w:tcPr>
            <w:tcW w:w="988" w:type="dxa"/>
            <w:tcBorders>
              <w:top w:val="single" w:sz="12" w:space="0" w:color="auto"/>
              <w:bottom w:val="single" w:sz="4" w:space="0" w:color="auto"/>
            </w:tcBorders>
            <w:shd w:val="clear" w:color="auto" w:fill="auto"/>
          </w:tcPr>
          <w:p w:rsidR="007B026F" w:rsidRPr="00217933" w:rsidRDefault="007B026F" w:rsidP="00DC73C5">
            <w:pPr>
              <w:pStyle w:val="Tabletext"/>
            </w:pPr>
            <w:r w:rsidRPr="00217933">
              <w:t>6(a)</w:t>
            </w:r>
          </w:p>
        </w:tc>
        <w:tc>
          <w:tcPr>
            <w:tcW w:w="7512" w:type="dxa"/>
            <w:tcBorders>
              <w:top w:val="single" w:sz="12" w:space="0" w:color="auto"/>
              <w:bottom w:val="single" w:sz="4" w:space="0" w:color="auto"/>
            </w:tcBorders>
            <w:shd w:val="clear" w:color="auto" w:fill="auto"/>
          </w:tcPr>
          <w:p w:rsidR="007B026F" w:rsidRPr="00217933" w:rsidRDefault="007B026F" w:rsidP="00DC73C5">
            <w:pPr>
              <w:pStyle w:val="Tabletext"/>
            </w:pPr>
            <w:r w:rsidRPr="00217933">
              <w:t>Determine the proportion of the ATS year cap for non</w:t>
            </w:r>
            <w:r>
              <w:noBreakHyphen/>
            </w:r>
            <w:r w:rsidRPr="00217933">
              <w:t>MVPs from regulations 3.9 and 3.10 for the ATS year concerned.</w:t>
            </w:r>
          </w:p>
        </w:tc>
      </w:tr>
      <w:tr w:rsidR="007B026F" w:rsidRPr="00217933" w:rsidTr="00103E21">
        <w:tc>
          <w:tcPr>
            <w:tcW w:w="988" w:type="dxa"/>
            <w:shd w:val="clear" w:color="auto" w:fill="auto"/>
          </w:tcPr>
          <w:p w:rsidR="007B026F" w:rsidRPr="00217933" w:rsidRDefault="007B026F" w:rsidP="00DC73C5">
            <w:pPr>
              <w:pStyle w:val="Tabletext"/>
            </w:pPr>
            <w:r w:rsidRPr="00217933">
              <w:t>6(b)</w:t>
            </w:r>
          </w:p>
        </w:tc>
        <w:tc>
          <w:tcPr>
            <w:tcW w:w="7512" w:type="dxa"/>
            <w:shd w:val="clear" w:color="auto" w:fill="auto"/>
          </w:tcPr>
          <w:p w:rsidR="007B026F" w:rsidRPr="00217933" w:rsidRDefault="007B026F" w:rsidP="00DC73C5">
            <w:pPr>
              <w:pStyle w:val="Tabletext"/>
            </w:pPr>
            <w:r w:rsidRPr="00217933">
              <w:t>Combine the capped amounts (if any) paid to all non</w:t>
            </w:r>
            <w:r>
              <w:noBreakHyphen/>
            </w:r>
            <w:r w:rsidRPr="00217933">
              <w:t>MVPs in previous quarters of the ATS year.</w:t>
            </w:r>
          </w:p>
        </w:tc>
      </w:tr>
      <w:tr w:rsidR="007B026F" w:rsidRPr="00217933" w:rsidTr="00103E21">
        <w:tc>
          <w:tcPr>
            <w:tcW w:w="988" w:type="dxa"/>
            <w:tcBorders>
              <w:bottom w:val="single" w:sz="12" w:space="0" w:color="auto"/>
            </w:tcBorders>
            <w:shd w:val="clear" w:color="auto" w:fill="auto"/>
          </w:tcPr>
          <w:p w:rsidR="007B026F" w:rsidRPr="00217933" w:rsidRDefault="007B026F" w:rsidP="00DC73C5">
            <w:pPr>
              <w:pStyle w:val="Tabletext"/>
            </w:pPr>
            <w:r w:rsidRPr="00217933">
              <w:t>6(c)</w:t>
            </w:r>
          </w:p>
        </w:tc>
        <w:tc>
          <w:tcPr>
            <w:tcW w:w="7512" w:type="dxa"/>
            <w:tcBorders>
              <w:bottom w:val="single" w:sz="12" w:space="0" w:color="auto"/>
            </w:tcBorders>
            <w:shd w:val="clear" w:color="auto" w:fill="auto"/>
          </w:tcPr>
          <w:p w:rsidR="007B026F" w:rsidRPr="00217933" w:rsidRDefault="007B026F" w:rsidP="00DC73C5">
            <w:pPr>
              <w:pStyle w:val="Tabletext"/>
            </w:pPr>
            <w:r w:rsidRPr="00217933">
              <w:t>Work out the modulation rate for the non</w:t>
            </w:r>
            <w:r>
              <w:noBreakHyphen/>
            </w:r>
            <w:r w:rsidRPr="00217933">
              <w:t>MVP for the quarter by:</w:t>
            </w:r>
          </w:p>
          <w:p w:rsidR="007B026F" w:rsidRPr="00217933" w:rsidRDefault="007B026F" w:rsidP="00DC73C5">
            <w:pPr>
              <w:pStyle w:val="Tablea"/>
            </w:pPr>
            <w:r w:rsidRPr="00217933">
              <w:t>(a) subtracting the combined capped amount worked out under step 6(b) from the amount worked out under step 6(a); and</w:t>
            </w:r>
          </w:p>
          <w:p w:rsidR="007B026F" w:rsidRPr="00217933" w:rsidRDefault="007B026F" w:rsidP="00DC73C5">
            <w:pPr>
              <w:pStyle w:val="Tablea"/>
            </w:pPr>
            <w:r w:rsidRPr="00217933">
              <w:t>(b) dividing the result by:</w:t>
            </w:r>
          </w:p>
          <w:p w:rsidR="007B026F" w:rsidRPr="00217933" w:rsidRDefault="007B026F" w:rsidP="00DC73C5">
            <w:pPr>
              <w:pStyle w:val="Tablei"/>
            </w:pPr>
            <w:r w:rsidRPr="00217933">
              <w:t>(i) if the current quarter is the final quarter of the ATS year—the amount obtained under step 4(b); or</w:t>
            </w:r>
          </w:p>
          <w:p w:rsidR="007B026F" w:rsidRPr="00217933" w:rsidRDefault="007B026F" w:rsidP="00DC73C5">
            <w:pPr>
              <w:pStyle w:val="Tablei"/>
            </w:pPr>
            <w:r w:rsidRPr="00217933">
              <w:t>(ii) for any other quarter—the amount obtained by adding the result obtained under step 4(b) to the result obtained under step 5(b) for that ATS year.</w:t>
            </w:r>
          </w:p>
          <w:p w:rsidR="007B026F" w:rsidRPr="00217933" w:rsidRDefault="007B026F" w:rsidP="00DC73C5">
            <w:pPr>
              <w:pStyle w:val="Tabletext"/>
            </w:pPr>
            <w:r w:rsidRPr="00217933">
              <w:t>If the result of the calculation is equal to or greater than 1, the modulation rate for the non</w:t>
            </w:r>
            <w:r>
              <w:noBreakHyphen/>
            </w:r>
            <w:r w:rsidRPr="00217933">
              <w:t>MVP is 1.</w:t>
            </w:r>
          </w:p>
          <w:p w:rsidR="007B026F" w:rsidRPr="00217933" w:rsidRDefault="007B026F" w:rsidP="00DC73C5">
            <w:pPr>
              <w:pStyle w:val="Tabletext"/>
            </w:pPr>
            <w:r w:rsidRPr="00217933">
              <w:t>If the result of the calculation is less than 1, the modulation rate for the non</w:t>
            </w:r>
            <w:r>
              <w:noBreakHyphen/>
            </w:r>
            <w:r w:rsidRPr="00217933">
              <w:t>MVP is that result.</w:t>
            </w:r>
          </w:p>
        </w:tc>
      </w:tr>
    </w:tbl>
    <w:p w:rsidR="000F716A" w:rsidRPr="00C72A74" w:rsidRDefault="002F064D" w:rsidP="002F064D">
      <w:pPr>
        <w:pStyle w:val="ActHead3"/>
        <w:pageBreakBefore/>
      </w:pPr>
      <w:bookmarkStart w:id="20" w:name="_Toc359833558"/>
      <w:r w:rsidRPr="00C72A74">
        <w:rPr>
          <w:rStyle w:val="CharDivNo"/>
        </w:rPr>
        <w:lastRenderedPageBreak/>
        <w:t>Division</w:t>
      </w:r>
      <w:r w:rsidR="00C72A74" w:rsidRPr="00C72A74">
        <w:rPr>
          <w:rStyle w:val="CharDivNo"/>
        </w:rPr>
        <w:t> </w:t>
      </w:r>
      <w:r w:rsidR="000F716A" w:rsidRPr="00C72A74">
        <w:rPr>
          <w:rStyle w:val="CharDivNo"/>
        </w:rPr>
        <w:t>3.</w:t>
      </w:r>
      <w:r w:rsidR="006F4ACF" w:rsidRPr="00C72A74">
        <w:rPr>
          <w:rStyle w:val="CharDivNo"/>
        </w:rPr>
        <w:t>5</w:t>
      </w:r>
      <w:r w:rsidRPr="00C72A74">
        <w:t>—</w:t>
      </w:r>
      <w:r w:rsidR="000F716A" w:rsidRPr="00C72A74">
        <w:rPr>
          <w:rStyle w:val="CharDivText"/>
        </w:rPr>
        <w:t xml:space="preserve">Individual </w:t>
      </w:r>
      <w:r w:rsidR="003E3A4C" w:rsidRPr="00C72A74">
        <w:rPr>
          <w:rStyle w:val="CharDivText"/>
        </w:rPr>
        <w:t>n</w:t>
      </w:r>
      <w:r w:rsidR="000F716A" w:rsidRPr="00C72A74">
        <w:rPr>
          <w:rStyle w:val="CharDivText"/>
        </w:rPr>
        <w:t>on</w:t>
      </w:r>
      <w:r w:rsidR="00C72A74" w:rsidRPr="00C72A74">
        <w:rPr>
          <w:rStyle w:val="CharDivText"/>
        </w:rPr>
        <w:noBreakHyphen/>
      </w:r>
      <w:r w:rsidR="000F716A" w:rsidRPr="00C72A74">
        <w:rPr>
          <w:rStyle w:val="CharDivText"/>
        </w:rPr>
        <w:t xml:space="preserve">MVP </w:t>
      </w:r>
      <w:r w:rsidR="003E3A4C" w:rsidRPr="00C72A74">
        <w:rPr>
          <w:rStyle w:val="CharDivText"/>
        </w:rPr>
        <w:t>q</w:t>
      </w:r>
      <w:r w:rsidR="000F716A" w:rsidRPr="00C72A74">
        <w:rPr>
          <w:rStyle w:val="CharDivText"/>
        </w:rPr>
        <w:t xml:space="preserve">uarterly </w:t>
      </w:r>
      <w:r w:rsidR="003E3A4C" w:rsidRPr="00C72A74">
        <w:rPr>
          <w:rStyle w:val="CharDivText"/>
        </w:rPr>
        <w:t>a</w:t>
      </w:r>
      <w:r w:rsidR="000F716A" w:rsidRPr="00C72A74">
        <w:rPr>
          <w:rStyle w:val="CharDivText"/>
        </w:rPr>
        <w:t>ssistance</w:t>
      </w:r>
      <w:bookmarkEnd w:id="20"/>
    </w:p>
    <w:p w:rsidR="000F716A" w:rsidRPr="00C72A74" w:rsidRDefault="000F716A" w:rsidP="002F064D">
      <w:pPr>
        <w:pStyle w:val="ActHead5"/>
      </w:pPr>
      <w:bookmarkStart w:id="21" w:name="_Toc359833559"/>
      <w:r w:rsidRPr="00C72A74">
        <w:rPr>
          <w:rStyle w:val="CharSectno"/>
        </w:rPr>
        <w:t>3.5</w:t>
      </w:r>
      <w:r w:rsidR="002F064D" w:rsidRPr="00C72A74">
        <w:t xml:space="preserve">  </w:t>
      </w:r>
      <w:r w:rsidR="00735372" w:rsidRPr="00C72A74">
        <w:t>Working out</w:t>
      </w:r>
      <w:r w:rsidRPr="00C72A74">
        <w:t xml:space="preserve"> of quarterly assistance for </w:t>
      </w:r>
      <w:r w:rsidR="00084D59" w:rsidRPr="00C72A74">
        <w:t xml:space="preserve">all </w:t>
      </w:r>
      <w:r w:rsidRPr="00C72A74">
        <w:t>quarters</w:t>
      </w:r>
      <w:bookmarkEnd w:id="21"/>
    </w:p>
    <w:p w:rsidR="000F716A" w:rsidRDefault="008451E9" w:rsidP="002F064D">
      <w:pPr>
        <w:pStyle w:val="subsection"/>
        <w:rPr>
          <w:bCs/>
          <w:iCs/>
        </w:rPr>
      </w:pPr>
      <w:r w:rsidRPr="00C72A74">
        <w:tab/>
      </w:r>
      <w:r w:rsidR="000F716A" w:rsidRPr="00C72A74">
        <w:tab/>
        <w:t xml:space="preserve">For </w:t>
      </w:r>
      <w:r w:rsidR="00735372" w:rsidRPr="00C72A74">
        <w:t xml:space="preserve">working out the </w:t>
      </w:r>
      <w:r w:rsidR="000F716A" w:rsidRPr="00C72A74">
        <w:rPr>
          <w:bCs/>
          <w:iCs/>
        </w:rPr>
        <w:t>individual non</w:t>
      </w:r>
      <w:r w:rsidR="00C72A74">
        <w:rPr>
          <w:bCs/>
          <w:iCs/>
        </w:rPr>
        <w:noBreakHyphen/>
      </w:r>
      <w:r w:rsidR="000F716A" w:rsidRPr="00C72A74">
        <w:rPr>
          <w:bCs/>
          <w:iCs/>
        </w:rPr>
        <w:t xml:space="preserve">MVPs capped amounts </w:t>
      </w:r>
      <w:r w:rsidR="00084D59" w:rsidRPr="00C72A74">
        <w:rPr>
          <w:bCs/>
          <w:iCs/>
        </w:rPr>
        <w:t>for all quarters in an ATS year, the Secretary is to use the following steps.</w:t>
      </w:r>
    </w:p>
    <w:p w:rsidR="00E36A1C" w:rsidRDefault="00E36A1C" w:rsidP="002F064D">
      <w:pPr>
        <w:pStyle w:val="subsection"/>
        <w:rPr>
          <w:bCs/>
          <w:iCs/>
        </w:rPr>
      </w:pPr>
    </w:p>
    <w:tbl>
      <w:tblPr>
        <w:tblStyle w:val="TableGrid"/>
        <w:tblW w:w="0" w:type="auto"/>
        <w:tblInd w:w="108" w:type="dxa"/>
        <w:tblLook w:val="04A0" w:firstRow="1" w:lastRow="0" w:firstColumn="1" w:lastColumn="0" w:noHBand="0" w:noVBand="1"/>
      </w:tblPr>
      <w:tblGrid>
        <w:gridCol w:w="1022"/>
        <w:gridCol w:w="7388"/>
        <w:gridCol w:w="11"/>
      </w:tblGrid>
      <w:tr w:rsidR="00E36A1C" w:rsidRPr="00217933" w:rsidTr="00E36A1C">
        <w:trPr>
          <w:tblHeader/>
        </w:trPr>
        <w:tc>
          <w:tcPr>
            <w:tcW w:w="8421" w:type="dxa"/>
            <w:gridSpan w:val="3"/>
            <w:tcBorders>
              <w:top w:val="single" w:sz="12" w:space="0" w:color="auto"/>
              <w:left w:val="nil"/>
              <w:bottom w:val="single" w:sz="4" w:space="0" w:color="auto"/>
              <w:right w:val="nil"/>
            </w:tcBorders>
          </w:tcPr>
          <w:p w:rsidR="00E36A1C" w:rsidRPr="00217933" w:rsidRDefault="00E36A1C" w:rsidP="007C0492">
            <w:pPr>
              <w:pStyle w:val="TableHeading"/>
            </w:pPr>
            <w:r w:rsidRPr="00217933">
              <w:t>Steps</w:t>
            </w:r>
          </w:p>
        </w:tc>
      </w:tr>
      <w:tr w:rsidR="000C37DF" w:rsidRPr="005B0D2C" w:rsidTr="00E36A1C">
        <w:tblPrEx>
          <w:tblBorders>
            <w:left w:val="none" w:sz="0" w:space="0" w:color="auto"/>
            <w:right w:val="none" w:sz="0" w:space="0" w:color="auto"/>
            <w:insideV w:val="none" w:sz="0" w:space="0" w:color="auto"/>
          </w:tblBorders>
        </w:tblPrEx>
        <w:tc>
          <w:tcPr>
            <w:tcW w:w="1022" w:type="dxa"/>
            <w:tcBorders>
              <w:top w:val="single" w:sz="4" w:space="0" w:color="auto"/>
              <w:bottom w:val="single" w:sz="12" w:space="0" w:color="auto"/>
            </w:tcBorders>
          </w:tcPr>
          <w:p w:rsidR="000C37DF" w:rsidRPr="005B0D2C" w:rsidRDefault="000C37DF" w:rsidP="000C37DF">
            <w:pPr>
              <w:pStyle w:val="TableHeading"/>
            </w:pPr>
            <w:r w:rsidRPr="005B0D2C">
              <w:t>Step 1</w:t>
            </w:r>
          </w:p>
        </w:tc>
        <w:tc>
          <w:tcPr>
            <w:tcW w:w="7399" w:type="dxa"/>
            <w:gridSpan w:val="2"/>
            <w:tcBorders>
              <w:top w:val="single" w:sz="4" w:space="0" w:color="auto"/>
              <w:bottom w:val="single" w:sz="12" w:space="0" w:color="auto"/>
            </w:tcBorders>
          </w:tcPr>
          <w:p w:rsidR="000C37DF" w:rsidRPr="005B0D2C" w:rsidRDefault="000C37DF" w:rsidP="000C37DF">
            <w:pPr>
              <w:pStyle w:val="TableHeading"/>
            </w:pPr>
            <w:r w:rsidRPr="005B0D2C">
              <w:t>Modulate the capped amount for each non</w:t>
            </w:r>
            <w:r w:rsidRPr="005B0D2C">
              <w:noBreakHyphen/>
              <w:t>MVP for a quarter in an ATS year</w:t>
            </w:r>
          </w:p>
        </w:tc>
      </w:tr>
      <w:tr w:rsidR="000F716A" w:rsidRPr="00F13BF3" w:rsidTr="00E36A1C">
        <w:tblPrEx>
          <w:tblBorders>
            <w:left w:val="none" w:sz="0" w:space="0" w:color="auto"/>
            <w:right w:val="none" w:sz="0" w:space="0" w:color="auto"/>
            <w:insideV w:val="none" w:sz="0" w:space="0" w:color="auto"/>
          </w:tblBorders>
        </w:tblPrEx>
        <w:trPr>
          <w:gridAfter w:val="1"/>
          <w:wAfter w:w="11" w:type="dxa"/>
        </w:trPr>
        <w:tc>
          <w:tcPr>
            <w:tcW w:w="1022" w:type="dxa"/>
          </w:tcPr>
          <w:p w:rsidR="000F716A" w:rsidRPr="00F13BF3" w:rsidRDefault="00084D59" w:rsidP="00F13BF3">
            <w:pPr>
              <w:pStyle w:val="Tabletext"/>
            </w:pPr>
            <w:bookmarkStart w:id="22" w:name="BK_S3P12L1C1"/>
            <w:r w:rsidRPr="00F13BF3">
              <w:t>1</w:t>
            </w:r>
          </w:p>
        </w:tc>
        <w:tc>
          <w:tcPr>
            <w:tcW w:w="7388" w:type="dxa"/>
          </w:tcPr>
          <w:p w:rsidR="000F716A" w:rsidRPr="00F13BF3" w:rsidRDefault="000F716A">
            <w:pPr>
              <w:pStyle w:val="Tabletext"/>
            </w:pPr>
            <w:r w:rsidRPr="00F13BF3">
              <w:t>Apply the modulation rate for each non</w:t>
            </w:r>
            <w:r w:rsidR="00C72A74" w:rsidRPr="00F13BF3">
              <w:noBreakHyphen/>
            </w:r>
            <w:r w:rsidRPr="00F13BF3">
              <w:t xml:space="preserve">MVP for the current quarter by multiplying the amount obtained from </w:t>
            </w:r>
            <w:r w:rsidR="002F064D" w:rsidRPr="00F13BF3">
              <w:t>Division</w:t>
            </w:r>
            <w:r w:rsidR="00C72A74" w:rsidRPr="00F13BF3">
              <w:t> </w:t>
            </w:r>
            <w:r w:rsidRPr="00F13BF3">
              <w:t>3.</w:t>
            </w:r>
            <w:r w:rsidR="006F4ACF" w:rsidRPr="00F13BF3">
              <w:t>4</w:t>
            </w:r>
            <w:r w:rsidRPr="00F13BF3">
              <w:t xml:space="preserve">, </w:t>
            </w:r>
            <w:r w:rsidR="006F4ACF" w:rsidRPr="00F13BF3">
              <w:t>step</w:t>
            </w:r>
            <w:r w:rsidRPr="00F13BF3">
              <w:t xml:space="preserve"> </w:t>
            </w:r>
            <w:r w:rsidR="007B026F">
              <w:t>6(c)</w:t>
            </w:r>
            <w:r w:rsidRPr="00F13BF3">
              <w:t xml:space="preserve"> by the amount obtained from </w:t>
            </w:r>
            <w:r w:rsidR="002F064D" w:rsidRPr="00F13BF3">
              <w:t>Division</w:t>
            </w:r>
            <w:r w:rsidR="00C72A74" w:rsidRPr="00F13BF3">
              <w:t> </w:t>
            </w:r>
            <w:r w:rsidR="00084D59" w:rsidRPr="00F13BF3">
              <w:t>3.4, Step 4(a)</w:t>
            </w:r>
            <w:r w:rsidRPr="00F13BF3">
              <w:t>.</w:t>
            </w:r>
          </w:p>
        </w:tc>
      </w:tr>
      <w:bookmarkEnd w:id="22"/>
      <w:tr w:rsidR="000C37DF" w:rsidRPr="000C37DF" w:rsidTr="00E36A1C">
        <w:tblPrEx>
          <w:tblBorders>
            <w:left w:val="none" w:sz="0" w:space="0" w:color="auto"/>
            <w:right w:val="none" w:sz="0" w:space="0" w:color="auto"/>
            <w:insideV w:val="none" w:sz="0" w:space="0" w:color="auto"/>
          </w:tblBorders>
        </w:tblPrEx>
        <w:tc>
          <w:tcPr>
            <w:tcW w:w="1022" w:type="dxa"/>
            <w:tcBorders>
              <w:top w:val="single" w:sz="12" w:space="0" w:color="auto"/>
              <w:bottom w:val="single" w:sz="12" w:space="0" w:color="auto"/>
            </w:tcBorders>
          </w:tcPr>
          <w:p w:rsidR="000C37DF" w:rsidRPr="000C37DF" w:rsidRDefault="000C37DF" w:rsidP="000C37DF">
            <w:pPr>
              <w:pStyle w:val="TableHeading"/>
            </w:pPr>
            <w:r w:rsidRPr="000C37DF">
              <w:t>Step 2</w:t>
            </w:r>
          </w:p>
        </w:tc>
        <w:tc>
          <w:tcPr>
            <w:tcW w:w="7399" w:type="dxa"/>
            <w:gridSpan w:val="2"/>
            <w:tcBorders>
              <w:top w:val="single" w:sz="12" w:space="0" w:color="auto"/>
              <w:bottom w:val="single" w:sz="12" w:space="0" w:color="auto"/>
            </w:tcBorders>
          </w:tcPr>
          <w:p w:rsidR="000C37DF" w:rsidRPr="000C37DF" w:rsidRDefault="000C37DF" w:rsidP="000C37DF">
            <w:pPr>
              <w:pStyle w:val="TableHeading"/>
            </w:pPr>
            <w:r w:rsidRPr="000C37DF">
              <w:t>Work out the total amount to be paid for each non</w:t>
            </w:r>
            <w:r w:rsidRPr="000C37DF">
              <w:noBreakHyphen/>
              <w:t>MVP for a quarter in an ATS year</w:t>
            </w:r>
          </w:p>
        </w:tc>
      </w:tr>
      <w:tr w:rsidR="000F716A" w:rsidRPr="00F13BF3" w:rsidTr="00E36A1C">
        <w:tblPrEx>
          <w:tblBorders>
            <w:left w:val="none" w:sz="0" w:space="0" w:color="auto"/>
            <w:right w:val="none" w:sz="0" w:space="0" w:color="auto"/>
            <w:insideV w:val="none" w:sz="0" w:space="0" w:color="auto"/>
          </w:tblBorders>
        </w:tblPrEx>
        <w:trPr>
          <w:gridAfter w:val="1"/>
          <w:wAfter w:w="11" w:type="dxa"/>
        </w:trPr>
        <w:tc>
          <w:tcPr>
            <w:tcW w:w="1022" w:type="dxa"/>
            <w:tcBorders>
              <w:bottom w:val="single" w:sz="4" w:space="0" w:color="auto"/>
            </w:tcBorders>
          </w:tcPr>
          <w:p w:rsidR="000F716A" w:rsidRPr="00F13BF3" w:rsidRDefault="00084D59" w:rsidP="00F13BF3">
            <w:pPr>
              <w:pStyle w:val="Tabletext"/>
            </w:pPr>
            <w:bookmarkStart w:id="23" w:name="BK_S3P12L7C1"/>
            <w:r w:rsidRPr="00F13BF3">
              <w:t>2</w:t>
            </w:r>
            <w:r w:rsidR="000F716A" w:rsidRPr="00F13BF3">
              <w:t>(a)</w:t>
            </w:r>
          </w:p>
        </w:tc>
        <w:tc>
          <w:tcPr>
            <w:tcW w:w="7388" w:type="dxa"/>
            <w:tcBorders>
              <w:bottom w:val="single" w:sz="4" w:space="0" w:color="auto"/>
            </w:tcBorders>
          </w:tcPr>
          <w:p w:rsidR="000F716A" w:rsidRPr="00F13BF3" w:rsidRDefault="000F716A" w:rsidP="00F13BF3">
            <w:pPr>
              <w:pStyle w:val="Tabletext"/>
            </w:pPr>
            <w:r w:rsidRPr="00F13BF3">
              <w:t>Determine the Scheme debt capped offset amount for each non</w:t>
            </w:r>
            <w:r w:rsidR="00C72A74" w:rsidRPr="00F13BF3">
              <w:noBreakHyphen/>
            </w:r>
            <w:r w:rsidRPr="00F13BF3">
              <w:t xml:space="preserve">MVP for the current quarter, mentioned in </w:t>
            </w:r>
            <w:r w:rsidR="008451E9" w:rsidRPr="00F13BF3">
              <w:t>r</w:t>
            </w:r>
            <w:r w:rsidRPr="00F13BF3">
              <w:t>egulation</w:t>
            </w:r>
            <w:r w:rsidR="00C72A74" w:rsidRPr="00F13BF3">
              <w:t> </w:t>
            </w:r>
            <w:r w:rsidRPr="00F13BF3">
              <w:t>4.3</w:t>
            </w:r>
          </w:p>
        </w:tc>
      </w:tr>
      <w:tr w:rsidR="000F716A" w:rsidRPr="00C72A74" w:rsidTr="00E36A1C">
        <w:tblPrEx>
          <w:tblBorders>
            <w:left w:val="none" w:sz="0" w:space="0" w:color="auto"/>
            <w:right w:val="none" w:sz="0" w:space="0" w:color="auto"/>
            <w:insideV w:val="none" w:sz="0" w:space="0" w:color="auto"/>
          </w:tblBorders>
        </w:tblPrEx>
        <w:trPr>
          <w:gridAfter w:val="1"/>
          <w:wAfter w:w="11" w:type="dxa"/>
        </w:trPr>
        <w:tc>
          <w:tcPr>
            <w:tcW w:w="1022" w:type="dxa"/>
            <w:tcBorders>
              <w:bottom w:val="single" w:sz="12" w:space="0" w:color="auto"/>
            </w:tcBorders>
          </w:tcPr>
          <w:p w:rsidR="000F716A" w:rsidRPr="00C72A74" w:rsidRDefault="00084D59" w:rsidP="002F064D">
            <w:pPr>
              <w:pStyle w:val="Tabletext"/>
            </w:pPr>
            <w:r w:rsidRPr="00C72A74">
              <w:rPr>
                <w:szCs w:val="21"/>
              </w:rPr>
              <w:t>2</w:t>
            </w:r>
            <w:r w:rsidR="000F716A" w:rsidRPr="00C72A74">
              <w:rPr>
                <w:szCs w:val="21"/>
              </w:rPr>
              <w:t>(b)</w:t>
            </w:r>
          </w:p>
        </w:tc>
        <w:tc>
          <w:tcPr>
            <w:tcW w:w="7388" w:type="dxa"/>
            <w:tcBorders>
              <w:bottom w:val="single" w:sz="12" w:space="0" w:color="auto"/>
            </w:tcBorders>
          </w:tcPr>
          <w:p w:rsidR="000F716A" w:rsidRPr="00C72A74" w:rsidRDefault="000F716A" w:rsidP="002F064D">
            <w:pPr>
              <w:pStyle w:val="Tabletext"/>
            </w:pPr>
            <w:r w:rsidRPr="00C72A74">
              <w:rPr>
                <w:szCs w:val="21"/>
              </w:rPr>
              <w:t xml:space="preserve">Determine the total amount to be paid for each </w:t>
            </w:r>
            <w:r w:rsidR="00084D59" w:rsidRPr="00C72A74">
              <w:rPr>
                <w:szCs w:val="21"/>
              </w:rPr>
              <w:t>non</w:t>
            </w:r>
            <w:r w:rsidR="00C72A74">
              <w:rPr>
                <w:szCs w:val="21"/>
              </w:rPr>
              <w:noBreakHyphen/>
            </w:r>
            <w:r w:rsidRPr="00C72A74">
              <w:rPr>
                <w:szCs w:val="21"/>
              </w:rPr>
              <w:t xml:space="preserve">MVP for the current quarter by subtracting the Scheme debt capped offset amount arrived at under </w:t>
            </w:r>
            <w:r w:rsidR="006F4ACF" w:rsidRPr="00C72A74">
              <w:rPr>
                <w:szCs w:val="21"/>
              </w:rPr>
              <w:t>step</w:t>
            </w:r>
            <w:r w:rsidRPr="00C72A74">
              <w:rPr>
                <w:szCs w:val="21"/>
              </w:rPr>
              <w:t xml:space="preserve"> </w:t>
            </w:r>
            <w:r w:rsidR="00084D59" w:rsidRPr="00C72A74">
              <w:rPr>
                <w:szCs w:val="21"/>
              </w:rPr>
              <w:t>2</w:t>
            </w:r>
            <w:r w:rsidRPr="00C72A74">
              <w:rPr>
                <w:szCs w:val="21"/>
              </w:rPr>
              <w:t>(a) from the capped amount for each non</w:t>
            </w:r>
            <w:r w:rsidR="00C72A74">
              <w:rPr>
                <w:szCs w:val="21"/>
              </w:rPr>
              <w:noBreakHyphen/>
            </w:r>
            <w:r w:rsidRPr="00C72A74">
              <w:rPr>
                <w:szCs w:val="21"/>
              </w:rPr>
              <w:t xml:space="preserve">MVP worked out under step </w:t>
            </w:r>
            <w:r w:rsidR="00084D59" w:rsidRPr="00C72A74">
              <w:rPr>
                <w:szCs w:val="21"/>
              </w:rPr>
              <w:t>1.</w:t>
            </w:r>
          </w:p>
        </w:tc>
      </w:tr>
    </w:tbl>
    <w:bookmarkEnd w:id="23"/>
    <w:p w:rsidR="000F716A" w:rsidRPr="00C72A74" w:rsidRDefault="002F064D" w:rsidP="001B33AC">
      <w:pPr>
        <w:pStyle w:val="notemargin"/>
      </w:pPr>
      <w:r w:rsidRPr="00C72A74">
        <w:t>Note:</w:t>
      </w:r>
      <w:r w:rsidRPr="00C72A74">
        <w:tab/>
      </w:r>
      <w:r w:rsidR="000F716A" w:rsidRPr="00C72A74">
        <w:t>Payments are made in accordance with regulation</w:t>
      </w:r>
      <w:r w:rsidR="00C72A74">
        <w:t> </w:t>
      </w:r>
      <w:r w:rsidR="000F716A" w:rsidRPr="00C72A74">
        <w:t>3.13.</w:t>
      </w:r>
    </w:p>
    <w:p w:rsidR="000F716A" w:rsidRPr="00C72A74" w:rsidRDefault="002F064D" w:rsidP="002F064D">
      <w:pPr>
        <w:pStyle w:val="ActHead2"/>
        <w:pageBreakBefore/>
      </w:pPr>
      <w:bookmarkStart w:id="24" w:name="_Toc359833560"/>
      <w:r w:rsidRPr="00C72A74">
        <w:rPr>
          <w:rStyle w:val="CharPartNo"/>
        </w:rPr>
        <w:lastRenderedPageBreak/>
        <w:t>Part</w:t>
      </w:r>
      <w:r w:rsidR="00C72A74" w:rsidRPr="00C72A74">
        <w:rPr>
          <w:rStyle w:val="CharPartNo"/>
        </w:rPr>
        <w:t> </w:t>
      </w:r>
      <w:r w:rsidR="000F716A" w:rsidRPr="00C72A74">
        <w:rPr>
          <w:rStyle w:val="CharPartNo"/>
        </w:rPr>
        <w:t>4</w:t>
      </w:r>
      <w:r w:rsidRPr="00C72A74">
        <w:t>—</w:t>
      </w:r>
      <w:r w:rsidR="000F716A" w:rsidRPr="00C72A74">
        <w:rPr>
          <w:rStyle w:val="CharPartText"/>
        </w:rPr>
        <w:t xml:space="preserve">Other Commonwealth </w:t>
      </w:r>
      <w:r w:rsidR="003E3A4C" w:rsidRPr="00C72A74">
        <w:rPr>
          <w:rStyle w:val="CharPartText"/>
        </w:rPr>
        <w:t>a</w:t>
      </w:r>
      <w:r w:rsidR="000F716A" w:rsidRPr="00C72A74">
        <w:rPr>
          <w:rStyle w:val="CharPartText"/>
        </w:rPr>
        <w:t>ssistance</w:t>
      </w:r>
      <w:bookmarkEnd w:id="24"/>
    </w:p>
    <w:p w:rsidR="00770DDA" w:rsidRPr="00C72A74" w:rsidRDefault="002F064D" w:rsidP="00770DDA">
      <w:pPr>
        <w:pStyle w:val="Header"/>
      </w:pPr>
      <w:r w:rsidRPr="00C72A74">
        <w:rPr>
          <w:rStyle w:val="CharDivNo"/>
        </w:rPr>
        <w:t xml:space="preserve"> </w:t>
      </w:r>
      <w:r w:rsidRPr="00C72A74">
        <w:rPr>
          <w:rStyle w:val="CharDivText"/>
        </w:rPr>
        <w:t xml:space="preserve"> </w:t>
      </w:r>
    </w:p>
    <w:p w:rsidR="000F716A" w:rsidRPr="00C72A74" w:rsidRDefault="000F716A" w:rsidP="002F064D">
      <w:pPr>
        <w:pStyle w:val="ActHead5"/>
      </w:pPr>
      <w:bookmarkStart w:id="25" w:name="_Toc359833561"/>
      <w:r w:rsidRPr="00C72A74">
        <w:rPr>
          <w:rStyle w:val="CharSectno"/>
        </w:rPr>
        <w:t>4.1</w:t>
      </w:r>
      <w:r w:rsidR="002F064D" w:rsidRPr="00C72A74">
        <w:t xml:space="preserve">  </w:t>
      </w:r>
      <w:r w:rsidR="00794075" w:rsidRPr="00C72A74">
        <w:t xml:space="preserve">Meaning of </w:t>
      </w:r>
      <w:r w:rsidR="00794075" w:rsidRPr="00C72A74">
        <w:rPr>
          <w:i/>
        </w:rPr>
        <w:t xml:space="preserve">other </w:t>
      </w:r>
      <w:r w:rsidRPr="00C72A74">
        <w:rPr>
          <w:i/>
        </w:rPr>
        <w:t>Commonwealth assistance</w:t>
      </w:r>
      <w:bookmarkEnd w:id="25"/>
    </w:p>
    <w:p w:rsidR="000F716A" w:rsidRPr="00C72A74" w:rsidRDefault="000F716A" w:rsidP="002F064D">
      <w:pPr>
        <w:pStyle w:val="subsection"/>
      </w:pPr>
      <w:r w:rsidRPr="001B33AC">
        <w:rPr>
          <w:lang w:eastAsia="en-US"/>
        </w:rPr>
        <w:tab/>
        <w:t>(1)</w:t>
      </w:r>
      <w:r w:rsidRPr="001B33AC">
        <w:rPr>
          <w:lang w:eastAsia="en-US"/>
        </w:rPr>
        <w:tab/>
        <w:t>For the Scheme, an ATS participant has received other Commonwealth</w:t>
      </w:r>
      <w:r w:rsidRPr="00C72A74">
        <w:rPr>
          <w:b/>
          <w:i/>
        </w:rPr>
        <w:t xml:space="preserve"> assistance</w:t>
      </w:r>
      <w:r w:rsidRPr="00C72A74">
        <w:t xml:space="preserve"> if the participant has received, and is entitled to, financial assistance (other than assistance under the Scheme) in relation to MVP production, or in relation to eligible investment, of a kind giving rise to an entitlement to an amount under the Scheme.</w:t>
      </w:r>
    </w:p>
    <w:p w:rsidR="000F716A" w:rsidRPr="00C72A74" w:rsidRDefault="000F716A" w:rsidP="002F064D">
      <w:pPr>
        <w:pStyle w:val="subsection"/>
      </w:pPr>
      <w:r w:rsidRPr="00C72A74">
        <w:tab/>
        <w:t>(2)</w:t>
      </w:r>
      <w:r w:rsidRPr="00C72A74">
        <w:tab/>
        <w:t>However,</w:t>
      </w:r>
      <w:r w:rsidRPr="00C72A74">
        <w:rPr>
          <w:b/>
          <w:i/>
        </w:rPr>
        <w:t xml:space="preserve"> other Commonwealth assistance </w:t>
      </w:r>
      <w:r w:rsidRPr="00C72A74">
        <w:t>includes financial assistance an MVP is taken to have received, and to which the MVP was entitled, in relation to unsold motor vehicles, engines or engine components.</w:t>
      </w:r>
    </w:p>
    <w:p w:rsidR="000F716A" w:rsidRPr="00C72A74" w:rsidRDefault="000F716A" w:rsidP="002F064D">
      <w:pPr>
        <w:pStyle w:val="subsection"/>
      </w:pPr>
      <w:r w:rsidRPr="00C72A74">
        <w:tab/>
        <w:t>(3)</w:t>
      </w:r>
      <w:r w:rsidRPr="00C72A74">
        <w:tab/>
        <w:t xml:space="preserve">For </w:t>
      </w:r>
      <w:r w:rsidR="00C72A74">
        <w:t>subsection (</w:t>
      </w:r>
      <w:r w:rsidRPr="00C72A74">
        <w:t>1), neither assistance under the Scheme nor assistance mentioned in section</w:t>
      </w:r>
      <w:r w:rsidR="00C72A74">
        <w:t> </w:t>
      </w:r>
      <w:r w:rsidRPr="00C72A74">
        <w:t>4.</w:t>
      </w:r>
      <w:r w:rsidR="00794075" w:rsidRPr="00C72A74">
        <w:t>2</w:t>
      </w:r>
      <w:r w:rsidRPr="00C72A74">
        <w:t xml:space="preserve"> is to be regarded as other Commonwealth assistance.</w:t>
      </w:r>
    </w:p>
    <w:p w:rsidR="00794075" w:rsidRPr="00C72A74" w:rsidRDefault="00794075" w:rsidP="002F064D">
      <w:pPr>
        <w:pStyle w:val="ActHead5"/>
      </w:pPr>
      <w:bookmarkStart w:id="26" w:name="_Toc359833562"/>
      <w:r w:rsidRPr="00C72A74">
        <w:rPr>
          <w:rStyle w:val="CharSectno"/>
        </w:rPr>
        <w:t>4.2</w:t>
      </w:r>
      <w:r w:rsidR="002F064D" w:rsidRPr="00C72A74">
        <w:t xml:space="preserve">  </w:t>
      </w:r>
      <w:r w:rsidRPr="00C72A74">
        <w:t>Other Commonwealth assistance that is not financial assistance</w:t>
      </w:r>
      <w:bookmarkEnd w:id="26"/>
      <w:r w:rsidRPr="00C72A74">
        <w:t xml:space="preserve"> </w:t>
      </w:r>
    </w:p>
    <w:p w:rsidR="00794075" w:rsidRPr="00C72A74" w:rsidRDefault="00794075" w:rsidP="002F064D">
      <w:pPr>
        <w:pStyle w:val="subsection"/>
      </w:pPr>
      <w:r w:rsidRPr="00C72A74">
        <w:tab/>
      </w:r>
      <w:r w:rsidRPr="00C72A74">
        <w:tab/>
        <w:t>For the Scheme, the following forms of assistance provided by the Commonwealth are not financial assistance:</w:t>
      </w:r>
    </w:p>
    <w:p w:rsidR="00EA1252" w:rsidRPr="001B33AC" w:rsidRDefault="00EA1252" w:rsidP="001B33AC">
      <w:pPr>
        <w:pStyle w:val="paragraph"/>
      </w:pPr>
      <w:r w:rsidRPr="00B808A2">
        <w:tab/>
        <w:t>(a)</w:t>
      </w:r>
      <w:r w:rsidRPr="00B808A2">
        <w:tab/>
        <w:t xml:space="preserve">the income tax offset, known as the R&amp;D tax offset, in respect of </w:t>
      </w:r>
      <w:r w:rsidRPr="001B33AC">
        <w:t>research and development activities as set out in the following provisions:</w:t>
      </w:r>
    </w:p>
    <w:p w:rsidR="00EA1252" w:rsidRPr="00B808A2" w:rsidRDefault="00EA1252" w:rsidP="001B33AC">
      <w:pPr>
        <w:pStyle w:val="paragraphsub"/>
      </w:pPr>
      <w:r w:rsidRPr="00B808A2">
        <w:tab/>
        <w:t>(i)</w:t>
      </w:r>
      <w:r w:rsidRPr="00B808A2">
        <w:tab/>
        <w:t xml:space="preserve">Division 355 of the </w:t>
      </w:r>
      <w:r w:rsidRPr="001B33AC">
        <w:t>Income Tax Assessment Act 1997</w:t>
      </w:r>
      <w:r w:rsidRPr="00B808A2">
        <w:t>;</w:t>
      </w:r>
    </w:p>
    <w:p w:rsidR="00EA1252" w:rsidRPr="00B808A2" w:rsidRDefault="00EA1252" w:rsidP="001B33AC">
      <w:pPr>
        <w:pStyle w:val="paragraphsub"/>
      </w:pPr>
      <w:r w:rsidRPr="00B808A2">
        <w:tab/>
        <w:t>(ii)</w:t>
      </w:r>
      <w:r w:rsidRPr="00B808A2">
        <w:tab/>
        <w:t xml:space="preserve">Subdivision 20-A of the </w:t>
      </w:r>
      <w:r w:rsidRPr="001B33AC">
        <w:t>Income Tax Assessment Act 1997</w:t>
      </w:r>
      <w:r w:rsidRPr="00B808A2">
        <w:t>;</w:t>
      </w:r>
    </w:p>
    <w:p w:rsidR="00EA1252" w:rsidRPr="00B808A2" w:rsidRDefault="00EA1252" w:rsidP="001B33AC">
      <w:pPr>
        <w:pStyle w:val="paragraphsub"/>
      </w:pPr>
      <w:r w:rsidRPr="00B808A2">
        <w:tab/>
        <w:t>(iii)</w:t>
      </w:r>
      <w:r w:rsidRPr="00B808A2">
        <w:tab/>
        <w:t xml:space="preserve">Part III of the </w:t>
      </w:r>
      <w:r w:rsidRPr="001B33AC">
        <w:t>Industry Research and Development Act 1986</w:t>
      </w:r>
      <w:r w:rsidRPr="00B808A2">
        <w:t>;</w:t>
      </w:r>
    </w:p>
    <w:p w:rsidR="00EA1252" w:rsidRDefault="00EA1252" w:rsidP="001B33AC">
      <w:pPr>
        <w:pStyle w:val="noteToPara"/>
      </w:pPr>
      <w:r w:rsidRPr="001B33AC">
        <w:t>Note</w:t>
      </w:r>
      <w:r w:rsidR="001B33AC" w:rsidRPr="001B33AC">
        <w:t>:</w:t>
      </w:r>
      <w:r w:rsidR="001B33AC" w:rsidRPr="001B33AC">
        <w:tab/>
      </w:r>
      <w:r w:rsidRPr="001B33AC">
        <w:t>The new R&amp;D tax credit arrangements replace the R&amp;D tax concession</w:t>
      </w:r>
      <w:r w:rsidRPr="00B808A2">
        <w:t xml:space="preserve"> arrangements for income years commencing on or after 1 July 2011.</w:t>
      </w:r>
    </w:p>
    <w:p w:rsidR="00794075" w:rsidRPr="00C72A74" w:rsidRDefault="00794075" w:rsidP="002F064D">
      <w:pPr>
        <w:pStyle w:val="paragraph"/>
      </w:pPr>
      <w:r w:rsidRPr="00C72A74">
        <w:tab/>
        <w:t>(b)</w:t>
      </w:r>
      <w:r w:rsidRPr="00C72A74">
        <w:tab/>
        <w:t xml:space="preserve">financial assistance under the Commonwealth Government program known as Commercialising Emerging Technologies (or </w:t>
      </w:r>
      <w:r w:rsidR="008451E9" w:rsidRPr="00C72A74">
        <w:t>‘</w:t>
      </w:r>
      <w:r w:rsidRPr="00C72A74">
        <w:t>COMET</w:t>
      </w:r>
      <w:r w:rsidR="008451E9" w:rsidRPr="00C72A74">
        <w:t>’</w:t>
      </w:r>
      <w:r w:rsidRPr="00C72A74">
        <w:t xml:space="preserve">); </w:t>
      </w:r>
    </w:p>
    <w:p w:rsidR="00794075" w:rsidRPr="00C72A74" w:rsidRDefault="00794075" w:rsidP="002F064D">
      <w:pPr>
        <w:pStyle w:val="paragraph"/>
      </w:pPr>
      <w:r w:rsidRPr="00C72A74">
        <w:tab/>
        <w:t>(c)</w:t>
      </w:r>
      <w:r w:rsidRPr="00C72A74">
        <w:tab/>
        <w:t>financial assistance under the Commonwealth Government program known as the Cooperative Research Centres Program;</w:t>
      </w:r>
    </w:p>
    <w:p w:rsidR="00794075" w:rsidRPr="00C72A74" w:rsidRDefault="00794075" w:rsidP="002F064D">
      <w:pPr>
        <w:pStyle w:val="paragraph"/>
      </w:pPr>
      <w:r w:rsidRPr="00C72A74">
        <w:tab/>
        <w:t>(d)</w:t>
      </w:r>
      <w:r w:rsidRPr="00C72A74">
        <w:tab/>
        <w:t xml:space="preserve">financial assistance under the Strategic Investment Coordination process; </w:t>
      </w:r>
    </w:p>
    <w:p w:rsidR="00794075" w:rsidRPr="00C72A74" w:rsidRDefault="00794075" w:rsidP="002F064D">
      <w:pPr>
        <w:pStyle w:val="paragraph"/>
      </w:pPr>
      <w:r w:rsidRPr="00C72A74">
        <w:tab/>
        <w:t>(e)</w:t>
      </w:r>
      <w:r w:rsidRPr="00C72A74">
        <w:tab/>
        <w:t>financial assistance under the Structural Adjustment Fund for South Australia</w:t>
      </w:r>
      <w:r w:rsidR="008451E9" w:rsidRPr="00C72A74">
        <w:t xml:space="preserve"> (SAFSA)</w:t>
      </w:r>
      <w:r w:rsidRPr="00C72A74">
        <w:t>;</w:t>
      </w:r>
    </w:p>
    <w:p w:rsidR="00794075" w:rsidRPr="00C72A74" w:rsidRDefault="00794075" w:rsidP="002F064D">
      <w:pPr>
        <w:pStyle w:val="paragraph"/>
      </w:pPr>
      <w:r w:rsidRPr="00C72A74">
        <w:tab/>
        <w:t>(f)</w:t>
      </w:r>
      <w:r w:rsidRPr="00C72A74">
        <w:tab/>
        <w:t>financial assistance under the Automotive Industry Structural Adjustment Program</w:t>
      </w:r>
      <w:r w:rsidR="008451E9" w:rsidRPr="00C72A74">
        <w:t xml:space="preserve"> (AISAP)</w:t>
      </w:r>
      <w:r w:rsidRPr="00C72A74">
        <w:t>;</w:t>
      </w:r>
    </w:p>
    <w:p w:rsidR="00794075" w:rsidRPr="00C72A74" w:rsidRDefault="00794075" w:rsidP="002F064D">
      <w:pPr>
        <w:pStyle w:val="paragraph"/>
      </w:pPr>
      <w:r w:rsidRPr="00C72A74">
        <w:tab/>
        <w:t>(g)</w:t>
      </w:r>
      <w:r w:rsidRPr="00C72A74">
        <w:tab/>
        <w:t>financial assistance under the Geelong Investment and Innovation Fund;</w:t>
      </w:r>
    </w:p>
    <w:p w:rsidR="00794075" w:rsidRPr="00C72A74" w:rsidRDefault="00794075" w:rsidP="002F064D">
      <w:pPr>
        <w:pStyle w:val="paragraph"/>
      </w:pPr>
      <w:r w:rsidRPr="00C72A74">
        <w:tab/>
        <w:t>(h)</w:t>
      </w:r>
      <w:r w:rsidRPr="00C72A74">
        <w:tab/>
        <w:t>financial assistance under the South Australia Innovation and Investment Fund</w:t>
      </w:r>
      <w:r w:rsidR="008451E9" w:rsidRPr="00C72A74">
        <w:t xml:space="preserve"> (SAIIF)</w:t>
      </w:r>
      <w:r w:rsidRPr="00C72A74">
        <w:t>;</w:t>
      </w:r>
    </w:p>
    <w:p w:rsidR="00794075" w:rsidRPr="00C72A74" w:rsidRDefault="00794075" w:rsidP="002F064D">
      <w:pPr>
        <w:pStyle w:val="paragraph"/>
      </w:pPr>
      <w:r w:rsidRPr="00C72A74">
        <w:tab/>
        <w:t>(i)</w:t>
      </w:r>
      <w:r w:rsidRPr="00C72A74">
        <w:tab/>
        <w:t>financial assistance under the North East Tasmania Innovation and Investment Fund</w:t>
      </w:r>
      <w:r w:rsidR="008451E9" w:rsidRPr="00C72A74">
        <w:t xml:space="preserve"> (NETIIF)</w:t>
      </w:r>
      <w:r w:rsidRPr="00C72A74">
        <w:t>.</w:t>
      </w:r>
    </w:p>
    <w:p w:rsidR="000F716A" w:rsidRPr="00C72A74" w:rsidRDefault="000F716A" w:rsidP="002F064D">
      <w:pPr>
        <w:pStyle w:val="ActHead5"/>
      </w:pPr>
      <w:bookmarkStart w:id="27" w:name="_Toc359833563"/>
      <w:r w:rsidRPr="00C72A74">
        <w:rPr>
          <w:rStyle w:val="CharSectno"/>
        </w:rPr>
        <w:lastRenderedPageBreak/>
        <w:t>4.</w:t>
      </w:r>
      <w:r w:rsidR="00794075" w:rsidRPr="00C72A74">
        <w:rPr>
          <w:rStyle w:val="CharSectno"/>
        </w:rPr>
        <w:t>3</w:t>
      </w:r>
      <w:r w:rsidR="002F064D" w:rsidRPr="00C72A74">
        <w:t xml:space="preserve">  </w:t>
      </w:r>
      <w:r w:rsidR="00794075" w:rsidRPr="00C72A74">
        <w:t>Working out the amount of o</w:t>
      </w:r>
      <w:r w:rsidRPr="00C72A74">
        <w:t>ther Commonwealth assistance</w:t>
      </w:r>
      <w:bookmarkEnd w:id="27"/>
      <w:r w:rsidRPr="00C72A74">
        <w:t xml:space="preserve"> </w:t>
      </w:r>
    </w:p>
    <w:p w:rsidR="000F716A" w:rsidRPr="00C72A74" w:rsidRDefault="000F716A" w:rsidP="002F064D">
      <w:pPr>
        <w:pStyle w:val="subsection"/>
      </w:pPr>
      <w:r w:rsidRPr="00C72A74">
        <w:tab/>
        <w:t>(1)</w:t>
      </w:r>
      <w:r w:rsidRPr="00C72A74">
        <w:tab/>
        <w:t>For section</w:t>
      </w:r>
      <w:r w:rsidR="00C72A74">
        <w:t> </w:t>
      </w:r>
      <w:r w:rsidRPr="00C72A74">
        <w:t xml:space="preserve">4.1, the amount of </w:t>
      </w:r>
      <w:r w:rsidR="00794075" w:rsidRPr="00C72A74">
        <w:t xml:space="preserve">other Commonwealth </w:t>
      </w:r>
      <w:r w:rsidRPr="00C72A74">
        <w:t>assistance received by an ATS participant in relation to eligible investment in allowable research and development is worked out using the formula:</w:t>
      </w:r>
    </w:p>
    <w:p w:rsidR="000F716A" w:rsidRPr="00C72A74" w:rsidRDefault="002F064D" w:rsidP="002F064D">
      <w:pPr>
        <w:pStyle w:val="subsection"/>
        <w:spacing w:before="120" w:after="120"/>
      </w:pPr>
      <w:r w:rsidRPr="00C72A74">
        <w:tab/>
      </w:r>
      <w:r w:rsidRPr="00C72A74">
        <w:tab/>
      </w:r>
      <w:r w:rsidR="005B0D2C">
        <w:rPr>
          <w:noProof/>
        </w:rPr>
        <w:drawing>
          <wp:inline distT="0" distB="0" distL="0" distR="0">
            <wp:extent cx="982980" cy="41910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82980" cy="419100"/>
                    </a:xfrm>
                    <a:prstGeom prst="rect">
                      <a:avLst/>
                    </a:prstGeom>
                    <a:noFill/>
                    <a:ln>
                      <a:noFill/>
                    </a:ln>
                  </pic:spPr>
                </pic:pic>
              </a:graphicData>
            </a:graphic>
          </wp:inline>
        </w:drawing>
      </w:r>
    </w:p>
    <w:p w:rsidR="000F716A" w:rsidRPr="00C72A74" w:rsidRDefault="000F716A" w:rsidP="002F064D">
      <w:pPr>
        <w:pStyle w:val="subsection2"/>
      </w:pPr>
      <w:r w:rsidRPr="00C72A74">
        <w:t>where:</w:t>
      </w:r>
    </w:p>
    <w:p w:rsidR="000F716A" w:rsidRPr="00C72A74" w:rsidRDefault="000F716A" w:rsidP="002F064D">
      <w:pPr>
        <w:pStyle w:val="Definition"/>
      </w:pPr>
      <w:r w:rsidRPr="00C72A74">
        <w:rPr>
          <w:b/>
          <w:bCs/>
          <w:i/>
          <w:iCs/>
        </w:rPr>
        <w:t>A </w:t>
      </w:r>
      <w:r w:rsidRPr="00C72A74">
        <w:t>is the total amount of the other Commonwealth assistance received in the quarter.</w:t>
      </w:r>
    </w:p>
    <w:p w:rsidR="000F716A" w:rsidRPr="00C72A74" w:rsidRDefault="000F716A" w:rsidP="002F064D">
      <w:pPr>
        <w:pStyle w:val="Definition"/>
      </w:pPr>
      <w:r w:rsidRPr="00C72A74">
        <w:rPr>
          <w:b/>
          <w:bCs/>
          <w:i/>
          <w:iCs/>
        </w:rPr>
        <w:t>B </w:t>
      </w:r>
      <w:r w:rsidRPr="00C72A74">
        <w:t xml:space="preserve">is the total amount of the other Commonwealth assistance received in all relevant quarters </w:t>
      </w:r>
      <w:r w:rsidR="000B6D07" w:rsidRPr="00C72A74">
        <w:t>before</w:t>
      </w:r>
      <w:r w:rsidRPr="00C72A74">
        <w:t xml:space="preserve"> </w:t>
      </w:r>
      <w:r w:rsidR="000B6D07" w:rsidRPr="00C72A74">
        <w:t>the</w:t>
      </w:r>
      <w:r w:rsidRPr="00C72A74">
        <w:t xml:space="preserve"> quarter.</w:t>
      </w:r>
    </w:p>
    <w:p w:rsidR="000F716A" w:rsidRPr="00C72A74" w:rsidRDefault="000F716A" w:rsidP="002F064D">
      <w:pPr>
        <w:pStyle w:val="Definition"/>
      </w:pPr>
      <w:r w:rsidRPr="00C72A74">
        <w:rPr>
          <w:b/>
          <w:bCs/>
          <w:i/>
          <w:iCs/>
        </w:rPr>
        <w:t xml:space="preserve">RQ </w:t>
      </w:r>
      <w:r w:rsidRPr="00C72A74">
        <w:t xml:space="preserve">is the total number of relevant quarters in relation to </w:t>
      </w:r>
      <w:r w:rsidR="000B6D07" w:rsidRPr="00C72A74">
        <w:t>the</w:t>
      </w:r>
      <w:r w:rsidRPr="00C72A74">
        <w:t xml:space="preserve"> quarter.</w:t>
      </w:r>
    </w:p>
    <w:p w:rsidR="00794075" w:rsidRPr="00C72A74" w:rsidRDefault="002F064D" w:rsidP="002F064D">
      <w:pPr>
        <w:pStyle w:val="notetext"/>
      </w:pPr>
      <w:r w:rsidRPr="00C72A74">
        <w:t>Note:</w:t>
      </w:r>
      <w:r w:rsidRPr="00C72A74">
        <w:tab/>
      </w:r>
      <w:r w:rsidR="00794075" w:rsidRPr="00C72A74">
        <w:rPr>
          <w:b/>
          <w:i/>
        </w:rPr>
        <w:t xml:space="preserve">Allowable research and development </w:t>
      </w:r>
      <w:r w:rsidR="00794075" w:rsidRPr="00C72A74">
        <w:t>is defined in regulation</w:t>
      </w:r>
      <w:r w:rsidR="00C72A74">
        <w:t> </w:t>
      </w:r>
      <w:r w:rsidR="00794075" w:rsidRPr="00C72A74">
        <w:t>1.20.</w:t>
      </w:r>
    </w:p>
    <w:p w:rsidR="000F716A" w:rsidRPr="00C72A74" w:rsidRDefault="000F716A" w:rsidP="002F064D">
      <w:pPr>
        <w:pStyle w:val="subsection"/>
      </w:pPr>
      <w:r w:rsidRPr="00C72A74">
        <w:tab/>
        <w:t>(2)</w:t>
      </w:r>
      <w:r w:rsidRPr="00C72A74">
        <w:tab/>
        <w:t>For section</w:t>
      </w:r>
      <w:r w:rsidR="00C72A74">
        <w:t> </w:t>
      </w:r>
      <w:r w:rsidRPr="00C72A74">
        <w:t xml:space="preserve">4.1, the amount of </w:t>
      </w:r>
      <w:r w:rsidR="00D0064C" w:rsidRPr="00C72A74">
        <w:t xml:space="preserve">other Commonwealth </w:t>
      </w:r>
      <w:r w:rsidRPr="00C72A74">
        <w:t xml:space="preserve">assistance received by an ATS participant in relation to </w:t>
      </w:r>
      <w:r w:rsidR="00794075" w:rsidRPr="00C72A74">
        <w:t xml:space="preserve">eligible investment in </w:t>
      </w:r>
      <w:r w:rsidRPr="00C72A74">
        <w:t>allowable plant and equipment is worked out using the formula</w:t>
      </w:r>
      <w:r w:rsidR="00B75DD8" w:rsidRPr="00C72A74">
        <w:t>:</w:t>
      </w:r>
    </w:p>
    <w:p w:rsidR="000F716A" w:rsidRPr="00C72A74" w:rsidRDefault="002F064D" w:rsidP="002F064D">
      <w:pPr>
        <w:pStyle w:val="subsection"/>
        <w:spacing w:before="120" w:after="120"/>
      </w:pPr>
      <w:r w:rsidRPr="00C72A74">
        <w:tab/>
      </w:r>
      <w:r w:rsidRPr="00C72A74">
        <w:tab/>
      </w:r>
      <w:r w:rsidR="005B0D2C">
        <w:rPr>
          <w:noProof/>
        </w:rPr>
        <w:drawing>
          <wp:inline distT="0" distB="0" distL="0" distR="0">
            <wp:extent cx="982980" cy="41910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982980" cy="419100"/>
                    </a:xfrm>
                    <a:prstGeom prst="rect">
                      <a:avLst/>
                    </a:prstGeom>
                    <a:noFill/>
                    <a:ln>
                      <a:noFill/>
                    </a:ln>
                  </pic:spPr>
                </pic:pic>
              </a:graphicData>
            </a:graphic>
          </wp:inline>
        </w:drawing>
      </w:r>
    </w:p>
    <w:p w:rsidR="000F716A" w:rsidRPr="00C72A74" w:rsidRDefault="000F716A" w:rsidP="002F064D">
      <w:pPr>
        <w:pStyle w:val="subsection2"/>
      </w:pPr>
      <w:r w:rsidRPr="00C72A74">
        <w:t>where:</w:t>
      </w:r>
    </w:p>
    <w:p w:rsidR="000F716A" w:rsidRPr="00C72A74" w:rsidRDefault="000F716A" w:rsidP="002F064D">
      <w:pPr>
        <w:pStyle w:val="Definition"/>
      </w:pPr>
      <w:r w:rsidRPr="00C72A74">
        <w:rPr>
          <w:b/>
          <w:bCs/>
          <w:i/>
          <w:iCs/>
        </w:rPr>
        <w:t>E </w:t>
      </w:r>
      <w:r w:rsidRPr="00C72A74">
        <w:t>is the total amount of the other Commonwealth assistance received in the quarter in relation to eligible investment in allowable plant and equipment.</w:t>
      </w:r>
    </w:p>
    <w:p w:rsidR="000F716A" w:rsidRPr="00C72A74" w:rsidRDefault="000F716A" w:rsidP="002F064D">
      <w:pPr>
        <w:pStyle w:val="Definition"/>
      </w:pPr>
      <w:r w:rsidRPr="00C72A74">
        <w:rPr>
          <w:b/>
          <w:bCs/>
          <w:i/>
          <w:iCs/>
        </w:rPr>
        <w:t>F </w:t>
      </w:r>
      <w:r w:rsidRPr="00C72A74">
        <w:t xml:space="preserve">is the total amount of the other Commonwealth assistance received in all relevant quarters </w:t>
      </w:r>
      <w:r w:rsidR="000B6D07" w:rsidRPr="00C72A74">
        <w:t>before</w:t>
      </w:r>
      <w:r w:rsidRPr="00C72A74">
        <w:t xml:space="preserve"> </w:t>
      </w:r>
      <w:r w:rsidR="000B6D07" w:rsidRPr="00C72A74">
        <w:t>the</w:t>
      </w:r>
      <w:r w:rsidRPr="00C72A74">
        <w:t xml:space="preserve"> quarter in relation to eligible investment in allowable plant and equipment.</w:t>
      </w:r>
    </w:p>
    <w:p w:rsidR="000F716A" w:rsidRPr="00C72A74" w:rsidRDefault="000F716A" w:rsidP="002F064D">
      <w:pPr>
        <w:pStyle w:val="Definition"/>
      </w:pPr>
      <w:r w:rsidRPr="00C72A74">
        <w:rPr>
          <w:b/>
          <w:bCs/>
          <w:i/>
          <w:iCs/>
        </w:rPr>
        <w:t>RQ </w:t>
      </w:r>
      <w:r w:rsidRPr="00C72A74">
        <w:t xml:space="preserve">is the total number of relevant quarters in relation to </w:t>
      </w:r>
      <w:r w:rsidR="000B6D07" w:rsidRPr="00C72A74">
        <w:t>the</w:t>
      </w:r>
      <w:r w:rsidRPr="00C72A74">
        <w:t xml:space="preserve"> quarter.</w:t>
      </w:r>
    </w:p>
    <w:p w:rsidR="00794075" w:rsidRPr="00C72A74" w:rsidRDefault="002F064D" w:rsidP="002F064D">
      <w:pPr>
        <w:pStyle w:val="notetext"/>
      </w:pPr>
      <w:r w:rsidRPr="00C72A74">
        <w:t>Note:</w:t>
      </w:r>
      <w:r w:rsidRPr="00C72A74">
        <w:tab/>
      </w:r>
      <w:r w:rsidR="00794075" w:rsidRPr="00C72A74">
        <w:rPr>
          <w:b/>
          <w:i/>
        </w:rPr>
        <w:t>Allowable plant and equipment</w:t>
      </w:r>
      <w:r w:rsidR="00794075" w:rsidRPr="00C72A74">
        <w:t xml:space="preserve"> is defined in regulation</w:t>
      </w:r>
      <w:r w:rsidR="00C72A74">
        <w:t> </w:t>
      </w:r>
      <w:r w:rsidR="00794075" w:rsidRPr="00C72A74">
        <w:t>1.17.</w:t>
      </w:r>
    </w:p>
    <w:p w:rsidR="00D0064C" w:rsidRPr="00C72A74" w:rsidRDefault="00D0064C" w:rsidP="002F064D">
      <w:pPr>
        <w:pStyle w:val="subsection"/>
      </w:pPr>
      <w:r w:rsidRPr="00C72A74">
        <w:tab/>
        <w:t>(3)</w:t>
      </w:r>
      <w:r w:rsidRPr="00C72A74">
        <w:tab/>
        <w:t>For section</w:t>
      </w:r>
      <w:r w:rsidR="00C72A74">
        <w:t> </w:t>
      </w:r>
      <w:r w:rsidRPr="00C72A74">
        <w:t>4.1, the amount of other Commonwealth assistance received by an MVP in relation to allowable production for an MVP is worked out using the formula:</w:t>
      </w:r>
    </w:p>
    <w:p w:rsidR="00D0064C" w:rsidRPr="00C72A74" w:rsidRDefault="002F064D" w:rsidP="002F064D">
      <w:pPr>
        <w:pStyle w:val="subsection"/>
        <w:spacing w:before="120" w:after="120"/>
      </w:pPr>
      <w:r w:rsidRPr="00C72A74">
        <w:rPr>
          <w:position w:val="-6"/>
        </w:rPr>
        <w:tab/>
      </w:r>
      <w:r w:rsidRPr="00C72A74">
        <w:rPr>
          <w:position w:val="-6"/>
        </w:rPr>
        <w:tab/>
      </w:r>
      <w:r w:rsidR="005B0D2C">
        <w:rPr>
          <w:noProof/>
          <w:position w:val="-6"/>
        </w:rPr>
        <w:drawing>
          <wp:inline distT="0" distB="0" distL="0" distR="0">
            <wp:extent cx="4495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49580" cy="182880"/>
                    </a:xfrm>
                    <a:prstGeom prst="rect">
                      <a:avLst/>
                    </a:prstGeom>
                    <a:noFill/>
                    <a:ln>
                      <a:noFill/>
                    </a:ln>
                  </pic:spPr>
                </pic:pic>
              </a:graphicData>
            </a:graphic>
          </wp:inline>
        </w:drawing>
      </w:r>
      <w:r w:rsidR="00B75DD8" w:rsidRPr="00C72A74">
        <w:t xml:space="preserve"> </w:t>
      </w:r>
    </w:p>
    <w:p w:rsidR="00D0064C" w:rsidRPr="00C72A74" w:rsidRDefault="00D0064C" w:rsidP="002F064D">
      <w:pPr>
        <w:pStyle w:val="subsection2"/>
      </w:pPr>
      <w:r w:rsidRPr="00C72A74">
        <w:t>where:</w:t>
      </w:r>
    </w:p>
    <w:p w:rsidR="00D0064C" w:rsidRPr="00C72A74" w:rsidRDefault="00D0064C" w:rsidP="002F064D">
      <w:pPr>
        <w:pStyle w:val="Definition"/>
      </w:pPr>
      <w:r w:rsidRPr="00C72A74">
        <w:rPr>
          <w:b/>
          <w:bCs/>
          <w:i/>
          <w:iCs/>
        </w:rPr>
        <w:t>G </w:t>
      </w:r>
      <w:r w:rsidRPr="00C72A74">
        <w:t>is the total amount of the other Commonwealth assistance received in the quarter in relation to allowable production for an MVP.</w:t>
      </w:r>
    </w:p>
    <w:p w:rsidR="00D0064C" w:rsidRPr="00C72A74" w:rsidRDefault="002F064D" w:rsidP="002F064D">
      <w:pPr>
        <w:pStyle w:val="notetext"/>
      </w:pPr>
      <w:r w:rsidRPr="00C72A74">
        <w:t>Note:</w:t>
      </w:r>
      <w:r w:rsidRPr="00C72A74">
        <w:tab/>
      </w:r>
      <w:r w:rsidR="00D0064C" w:rsidRPr="00C72A74">
        <w:rPr>
          <w:b/>
          <w:i/>
        </w:rPr>
        <w:t>Allowable production for an MVP</w:t>
      </w:r>
      <w:r w:rsidR="00D0064C" w:rsidRPr="00C72A74">
        <w:t xml:space="preserve"> is defined in regulation</w:t>
      </w:r>
      <w:r w:rsidR="00C72A74">
        <w:t> </w:t>
      </w:r>
      <w:r w:rsidR="00D0064C" w:rsidRPr="00C72A74">
        <w:t>1.24.</w:t>
      </w:r>
    </w:p>
    <w:p w:rsidR="000F716A" w:rsidRPr="00C72A74" w:rsidRDefault="002F064D" w:rsidP="002F064D">
      <w:pPr>
        <w:pStyle w:val="ActHead2"/>
        <w:pageBreakBefore/>
      </w:pPr>
      <w:bookmarkStart w:id="28" w:name="_Toc359833564"/>
      <w:r w:rsidRPr="00C72A74">
        <w:rPr>
          <w:rStyle w:val="CharPartNo"/>
        </w:rPr>
        <w:lastRenderedPageBreak/>
        <w:t>Part</w:t>
      </w:r>
      <w:r w:rsidR="00C72A74" w:rsidRPr="00C72A74">
        <w:rPr>
          <w:rStyle w:val="CharPartNo"/>
        </w:rPr>
        <w:t> </w:t>
      </w:r>
      <w:r w:rsidR="000F716A" w:rsidRPr="00C72A74">
        <w:rPr>
          <w:rStyle w:val="CharPartNo"/>
        </w:rPr>
        <w:t>5</w:t>
      </w:r>
      <w:r w:rsidRPr="00C72A74">
        <w:t>—</w:t>
      </w:r>
      <w:r w:rsidR="000F716A" w:rsidRPr="00C72A74">
        <w:rPr>
          <w:rStyle w:val="CharPartText"/>
        </w:rPr>
        <w:t>Miscellaneous</w:t>
      </w:r>
      <w:bookmarkEnd w:id="28"/>
    </w:p>
    <w:p w:rsidR="00770DDA" w:rsidRPr="00C72A74" w:rsidRDefault="002F064D" w:rsidP="00770DDA">
      <w:pPr>
        <w:pStyle w:val="Header"/>
      </w:pPr>
      <w:r w:rsidRPr="00C72A74">
        <w:rPr>
          <w:rStyle w:val="CharDivNo"/>
        </w:rPr>
        <w:t xml:space="preserve"> </w:t>
      </w:r>
      <w:r w:rsidRPr="00C72A74">
        <w:rPr>
          <w:rStyle w:val="CharDivText"/>
        </w:rPr>
        <w:t xml:space="preserve"> </w:t>
      </w:r>
    </w:p>
    <w:p w:rsidR="000F716A" w:rsidRPr="00C72A74" w:rsidRDefault="000F716A" w:rsidP="002F064D">
      <w:pPr>
        <w:pStyle w:val="ActHead5"/>
      </w:pPr>
      <w:bookmarkStart w:id="29" w:name="_Toc359833565"/>
      <w:r w:rsidRPr="00C72A74">
        <w:rPr>
          <w:rStyle w:val="CharSectno"/>
        </w:rPr>
        <w:t>5.1</w:t>
      </w:r>
      <w:r w:rsidR="002F064D" w:rsidRPr="00C72A74">
        <w:t xml:space="preserve">  </w:t>
      </w:r>
      <w:r w:rsidRPr="00C72A74">
        <w:t>Particulars to be included in business plan etc</w:t>
      </w:r>
      <w:bookmarkEnd w:id="29"/>
    </w:p>
    <w:p w:rsidR="000F716A" w:rsidRPr="00C72A74" w:rsidRDefault="000F716A" w:rsidP="002F064D">
      <w:pPr>
        <w:pStyle w:val="subsection"/>
      </w:pPr>
      <w:r w:rsidRPr="00C72A74">
        <w:tab/>
        <w:t>(1)</w:t>
      </w:r>
      <w:r w:rsidRPr="00C72A74">
        <w:tab/>
        <w:t>For regulation</w:t>
      </w:r>
      <w:r w:rsidR="00C72A74">
        <w:t> </w:t>
      </w:r>
      <w:r w:rsidR="00655DED" w:rsidRPr="00C72A74">
        <w:t xml:space="preserve">6.7, </w:t>
      </w:r>
      <w:r w:rsidRPr="00C72A74">
        <w:t xml:space="preserve">an ATS participant must set out in the participant’s business plan and any update of the business plan, information detailing relevant issues against the </w:t>
      </w:r>
      <w:r w:rsidR="00655DED" w:rsidRPr="00C72A74">
        <w:t xml:space="preserve">reporting criteria </w:t>
      </w:r>
      <w:r w:rsidRPr="00C72A74">
        <w:t xml:space="preserve">set out in </w:t>
      </w:r>
      <w:r w:rsidR="002F064D" w:rsidRPr="00C72A74">
        <w:t>Schedule</w:t>
      </w:r>
      <w:r w:rsidR="00C72A74">
        <w:t> </w:t>
      </w:r>
      <w:r w:rsidRPr="00C72A74">
        <w:t>1.</w:t>
      </w:r>
    </w:p>
    <w:p w:rsidR="000F716A" w:rsidRPr="00C72A74" w:rsidRDefault="000F716A" w:rsidP="002F064D">
      <w:pPr>
        <w:pStyle w:val="subsection"/>
      </w:pPr>
      <w:r w:rsidRPr="00C72A74">
        <w:tab/>
        <w:t>(2)</w:t>
      </w:r>
      <w:r w:rsidRPr="00C72A74">
        <w:tab/>
        <w:t xml:space="preserve">Information referred to in </w:t>
      </w:r>
      <w:r w:rsidR="00C72A74">
        <w:t>subsection (</w:t>
      </w:r>
      <w:r w:rsidRPr="00C72A74">
        <w:t>1) may be included in the Department’s annual report of progress towards achieving economic sustainability of the Australian automotive industry.</w:t>
      </w:r>
    </w:p>
    <w:p w:rsidR="000F716A" w:rsidRPr="00C72A74" w:rsidRDefault="000F716A" w:rsidP="002F064D">
      <w:pPr>
        <w:pStyle w:val="ActHead5"/>
      </w:pPr>
      <w:bookmarkStart w:id="30" w:name="_Toc359833566"/>
      <w:r w:rsidRPr="00C72A74">
        <w:rPr>
          <w:rStyle w:val="CharSectno"/>
        </w:rPr>
        <w:t>5.2</w:t>
      </w:r>
      <w:r w:rsidR="002F064D" w:rsidRPr="00C72A74">
        <w:t xml:space="preserve">  </w:t>
      </w:r>
      <w:r w:rsidRPr="00C72A74">
        <w:t xml:space="preserve">Transitional: </w:t>
      </w:r>
      <w:r w:rsidR="001153CA" w:rsidRPr="00C72A74">
        <w:t>relevant quarter for recognition of</w:t>
      </w:r>
      <w:r w:rsidRPr="00C72A74">
        <w:t xml:space="preserve"> eligible investment</w:t>
      </w:r>
      <w:r w:rsidR="001153CA" w:rsidRPr="00C72A74">
        <w:t>s</w:t>
      </w:r>
      <w:bookmarkEnd w:id="30"/>
    </w:p>
    <w:p w:rsidR="000F716A" w:rsidRPr="00C72A74" w:rsidRDefault="000F716A" w:rsidP="002F064D">
      <w:pPr>
        <w:pStyle w:val="subsection"/>
      </w:pPr>
      <w:r w:rsidRPr="00C72A74">
        <w:tab/>
      </w:r>
      <w:r w:rsidRPr="00C72A74">
        <w:tab/>
        <w:t>For regulation</w:t>
      </w:r>
      <w:r w:rsidR="00C72A74">
        <w:t> </w:t>
      </w:r>
      <w:r w:rsidRPr="00C72A74">
        <w:t>3.12, eligible investment made in a</w:t>
      </w:r>
      <w:r w:rsidR="001153CA" w:rsidRPr="00C72A74">
        <w:t xml:space="preserve"> relevant</w:t>
      </w:r>
      <w:r w:rsidRPr="00C72A74">
        <w:t xml:space="preserve"> quarter </w:t>
      </w:r>
      <w:r w:rsidR="001153CA" w:rsidRPr="00C72A74">
        <w:t xml:space="preserve">by an ATS participant </w:t>
      </w:r>
      <w:r w:rsidR="00182658" w:rsidRPr="00C72A74">
        <w:t xml:space="preserve">under ACIS </w:t>
      </w:r>
      <w:r w:rsidR="001153CA" w:rsidRPr="00C72A74">
        <w:t xml:space="preserve">that is </w:t>
      </w:r>
      <w:r w:rsidRPr="00C72A74">
        <w:t>mentioned, or included in a range of quarters, in column</w:t>
      </w:r>
      <w:r w:rsidR="00655DED" w:rsidRPr="00C72A74">
        <w:t> </w:t>
      </w:r>
      <w:r w:rsidR="006F12AE" w:rsidRPr="00C72A74">
        <w:t>3</w:t>
      </w:r>
      <w:r w:rsidRPr="00C72A74">
        <w:t xml:space="preserve"> of an item in </w:t>
      </w:r>
      <w:r w:rsidR="002F064D" w:rsidRPr="00C72A74">
        <w:t>Schedule</w:t>
      </w:r>
      <w:r w:rsidR="00C72A74">
        <w:t> </w:t>
      </w:r>
      <w:r w:rsidRPr="00C72A74">
        <w:t xml:space="preserve">2 is to be regarded as eligible investment for the purpose of working out a quarterly payment under the Scheme for the quarter mentioned in column </w:t>
      </w:r>
      <w:r w:rsidR="006F12AE" w:rsidRPr="00C72A74">
        <w:t>1</w:t>
      </w:r>
      <w:r w:rsidRPr="00C72A74">
        <w:t xml:space="preserve"> of </w:t>
      </w:r>
      <w:r w:rsidR="000B6D07" w:rsidRPr="00C72A74">
        <w:t>the</w:t>
      </w:r>
      <w:r w:rsidRPr="00C72A74">
        <w:t xml:space="preserve"> item.</w:t>
      </w:r>
    </w:p>
    <w:p w:rsidR="001153CA" w:rsidRPr="00C72A74" w:rsidRDefault="002F064D" w:rsidP="002F064D">
      <w:pPr>
        <w:pStyle w:val="notetext"/>
      </w:pPr>
      <w:r w:rsidRPr="00C72A74">
        <w:t>Note:</w:t>
      </w:r>
      <w:r w:rsidRPr="00C72A74">
        <w:tab/>
      </w:r>
      <w:r w:rsidR="001153CA" w:rsidRPr="00C72A74">
        <w:t>Subregulation</w:t>
      </w:r>
      <w:r w:rsidR="00C72A74">
        <w:t> </w:t>
      </w:r>
      <w:r w:rsidR="001153CA" w:rsidRPr="00C72A74">
        <w:t>7.3 (1) sets out when investment under ACIS may be treated as eligible investment under the Scheme.</w:t>
      </w:r>
    </w:p>
    <w:p w:rsidR="00DC73C5" w:rsidRDefault="007B026F">
      <w:pPr>
        <w:pStyle w:val="ActHead2"/>
        <w:pageBreakBefore/>
      </w:pPr>
      <w:bookmarkStart w:id="31" w:name="_Toc359833567"/>
      <w:bookmarkStart w:id="32" w:name="OPCSB_BodyPrincipleA4"/>
      <w:r w:rsidRPr="00217933">
        <w:rPr>
          <w:rStyle w:val="CharPartNo"/>
        </w:rPr>
        <w:lastRenderedPageBreak/>
        <w:t>Part 6</w:t>
      </w:r>
      <w:r w:rsidRPr="00217933">
        <w:t>—</w:t>
      </w:r>
      <w:r w:rsidRPr="00217933">
        <w:rPr>
          <w:rStyle w:val="CharPartText"/>
        </w:rPr>
        <w:t>Savings and transitional provisions</w:t>
      </w:r>
      <w:bookmarkEnd w:id="31"/>
    </w:p>
    <w:p w:rsidR="007B026F" w:rsidRPr="00217933" w:rsidRDefault="007B026F" w:rsidP="007B026F">
      <w:pPr>
        <w:pStyle w:val="Header"/>
      </w:pPr>
      <w:r w:rsidRPr="00217933">
        <w:rPr>
          <w:rStyle w:val="CharDivNo"/>
        </w:rPr>
        <w:t xml:space="preserve"> </w:t>
      </w:r>
      <w:r w:rsidRPr="00217933">
        <w:rPr>
          <w:rStyle w:val="CharDivText"/>
        </w:rPr>
        <w:t xml:space="preserve"> </w:t>
      </w:r>
    </w:p>
    <w:p w:rsidR="007B026F" w:rsidRPr="00217933" w:rsidRDefault="007B026F" w:rsidP="007B026F">
      <w:pPr>
        <w:pStyle w:val="ActHead5"/>
        <w:rPr>
          <w:i/>
        </w:rPr>
      </w:pPr>
      <w:bookmarkStart w:id="33" w:name="_Toc359833568"/>
      <w:r w:rsidRPr="00217933">
        <w:rPr>
          <w:rStyle w:val="CharSectno"/>
        </w:rPr>
        <w:t>6.1</w:t>
      </w:r>
      <w:r w:rsidRPr="00217933">
        <w:t xml:space="preserve">  Amendments made by the </w:t>
      </w:r>
      <w:r w:rsidRPr="00217933">
        <w:rPr>
          <w:i/>
        </w:rPr>
        <w:t>Automotive Transformation Scheme Amendment Order 2013 (No. 1)</w:t>
      </w:r>
      <w:bookmarkEnd w:id="33"/>
    </w:p>
    <w:p w:rsidR="007B026F" w:rsidRPr="00217933" w:rsidRDefault="007B026F" w:rsidP="007B026F">
      <w:pPr>
        <w:pStyle w:val="subsection"/>
      </w:pPr>
      <w:r w:rsidRPr="00217933">
        <w:tab/>
      </w:r>
      <w:r w:rsidRPr="00217933">
        <w:tab/>
        <w:t xml:space="preserve">The amendments of this Order made by Schedule 1 to the </w:t>
      </w:r>
      <w:r w:rsidRPr="00217933">
        <w:rPr>
          <w:i/>
        </w:rPr>
        <w:t>Automotive Transformation Scheme Amendment Order 2013 (No. 1)</w:t>
      </w:r>
      <w:r w:rsidRPr="00217933">
        <w:t xml:space="preserve"> do not apply in relation to a calculation for, or referring to, assistance in the 2011 or 2012 ATS year.</w:t>
      </w:r>
    </w:p>
    <w:p w:rsidR="002F064D" w:rsidRPr="00C72A74" w:rsidRDefault="002F064D" w:rsidP="009566EC">
      <w:pPr>
        <w:sectPr w:rsidR="002F064D" w:rsidRPr="00C72A74" w:rsidSect="00E02272">
          <w:headerReference w:type="even" r:id="rId28"/>
          <w:headerReference w:type="default" r:id="rId29"/>
          <w:footerReference w:type="even" r:id="rId30"/>
          <w:footerReference w:type="default" r:id="rId31"/>
          <w:headerReference w:type="first" r:id="rId32"/>
          <w:footerReference w:type="first" r:id="rId33"/>
          <w:pgSz w:w="11907" w:h="16839" w:code="9"/>
          <w:pgMar w:top="2380" w:right="1797" w:bottom="1440" w:left="1797" w:header="720" w:footer="709" w:gutter="0"/>
          <w:pgNumType w:start="1"/>
          <w:cols w:space="708"/>
          <w:docGrid w:linePitch="360"/>
        </w:sectPr>
      </w:pPr>
    </w:p>
    <w:p w:rsidR="000F716A" w:rsidRPr="00C72A74" w:rsidRDefault="002F064D" w:rsidP="00304F81">
      <w:pPr>
        <w:pStyle w:val="ActHead1"/>
        <w:spacing w:before="120"/>
      </w:pPr>
      <w:bookmarkStart w:id="34" w:name="_Toc359833569"/>
      <w:bookmarkEnd w:id="32"/>
      <w:r w:rsidRPr="00C72A74">
        <w:rPr>
          <w:rStyle w:val="CharChapNo"/>
        </w:rPr>
        <w:lastRenderedPageBreak/>
        <w:t>Schedule</w:t>
      </w:r>
      <w:r w:rsidR="00C72A74" w:rsidRPr="00C72A74">
        <w:rPr>
          <w:rStyle w:val="CharChapNo"/>
        </w:rPr>
        <w:t> </w:t>
      </w:r>
      <w:r w:rsidR="000F716A" w:rsidRPr="00C72A74">
        <w:rPr>
          <w:rStyle w:val="CharChapNo"/>
        </w:rPr>
        <w:t>1</w:t>
      </w:r>
      <w:r w:rsidRPr="00C72A74">
        <w:t>—</w:t>
      </w:r>
      <w:r w:rsidR="00655DED" w:rsidRPr="00C72A74">
        <w:rPr>
          <w:rStyle w:val="CharChapText"/>
        </w:rPr>
        <w:t>Criteria for reporting progress on meeting object of Act</w:t>
      </w:r>
      <w:bookmarkEnd w:id="34"/>
    </w:p>
    <w:p w:rsidR="000F716A" w:rsidRPr="00C72A74" w:rsidRDefault="000F716A" w:rsidP="002F064D">
      <w:pPr>
        <w:pStyle w:val="notemargin"/>
      </w:pPr>
      <w:r w:rsidRPr="00C72A74">
        <w:t>(section</w:t>
      </w:r>
      <w:r w:rsidR="00C72A74">
        <w:t> </w:t>
      </w:r>
      <w:r w:rsidRPr="00C72A74">
        <w:t>5.</w:t>
      </w:r>
      <w:r w:rsidR="00655DED" w:rsidRPr="00C72A74">
        <w:t>1</w:t>
      </w:r>
      <w:r w:rsidRPr="00C72A74">
        <w:t>)</w:t>
      </w:r>
    </w:p>
    <w:p w:rsidR="00770DDA" w:rsidRPr="00C72A74" w:rsidRDefault="002F064D" w:rsidP="00770DDA">
      <w:pPr>
        <w:pStyle w:val="Header"/>
      </w:pPr>
      <w:r w:rsidRPr="00C72A74">
        <w:rPr>
          <w:rStyle w:val="CharPartNo"/>
        </w:rPr>
        <w:t xml:space="preserve"> </w:t>
      </w:r>
      <w:r w:rsidRPr="00C72A74">
        <w:rPr>
          <w:rStyle w:val="CharPartText"/>
        </w:rPr>
        <w:t xml:space="preserve"> </w:t>
      </w:r>
    </w:p>
    <w:p w:rsidR="000F716A" w:rsidRPr="00C72A74" w:rsidRDefault="000F716A" w:rsidP="009D77F8">
      <w:pPr>
        <w:pStyle w:val="ActHead5"/>
        <w:ind w:left="0" w:firstLine="0"/>
      </w:pPr>
      <w:bookmarkStart w:id="35" w:name="_Toc359833570"/>
      <w:r w:rsidRPr="00C72A74">
        <w:t>Re</w:t>
      </w:r>
      <w:r w:rsidR="00655DED" w:rsidRPr="00C72A74">
        <w:t>porting criteria for meeting the object in section</w:t>
      </w:r>
      <w:r w:rsidR="00C72A74">
        <w:t> </w:t>
      </w:r>
      <w:r w:rsidR="00655DED" w:rsidRPr="00C72A74">
        <w:t>3 of the Act</w:t>
      </w:r>
      <w:bookmarkEnd w:id="35"/>
    </w:p>
    <w:p w:rsidR="00655DED" w:rsidRPr="00FC03DD" w:rsidRDefault="000F716A" w:rsidP="00116FD8">
      <w:pPr>
        <w:keepNext/>
        <w:spacing w:before="120" w:after="40"/>
        <w:ind w:left="357" w:hanging="357"/>
        <w:rPr>
          <w:szCs w:val="22"/>
        </w:rPr>
      </w:pPr>
      <w:r w:rsidRPr="00FC03DD">
        <w:rPr>
          <w:szCs w:val="22"/>
        </w:rPr>
        <w:t>1.</w:t>
      </w:r>
      <w:r w:rsidRPr="00FC03DD">
        <w:rPr>
          <w:i/>
          <w:szCs w:val="22"/>
        </w:rPr>
        <w:t xml:space="preserve"> </w:t>
      </w:r>
      <w:r w:rsidRPr="00FC03DD">
        <w:rPr>
          <w:i/>
          <w:szCs w:val="22"/>
        </w:rPr>
        <w:tab/>
      </w:r>
      <w:r w:rsidR="00873572" w:rsidRPr="00FC03DD">
        <w:rPr>
          <w:szCs w:val="22"/>
          <w:u w:val="single"/>
        </w:rPr>
        <w:t>Innovation</w:t>
      </w:r>
    </w:p>
    <w:p w:rsidR="000F716A" w:rsidRPr="00FC03DD" w:rsidRDefault="00655DED" w:rsidP="000F716A">
      <w:pPr>
        <w:keepNext/>
        <w:ind w:left="357" w:hanging="357"/>
        <w:rPr>
          <w:szCs w:val="22"/>
        </w:rPr>
      </w:pPr>
      <w:r w:rsidRPr="00FC03DD">
        <w:rPr>
          <w:szCs w:val="22"/>
        </w:rPr>
        <w:tab/>
        <w:t xml:space="preserve">An </w:t>
      </w:r>
      <w:r w:rsidR="000F716A" w:rsidRPr="00FC03DD">
        <w:rPr>
          <w:szCs w:val="22"/>
        </w:rPr>
        <w:t>ATS participant must report against each of the following items:</w:t>
      </w:r>
    </w:p>
    <w:p w:rsidR="000F716A" w:rsidRPr="00FC03DD" w:rsidRDefault="000F716A" w:rsidP="00FF0729">
      <w:pPr>
        <w:pStyle w:val="Schedulelist"/>
        <w:spacing w:before="0"/>
        <w:ind w:left="851" w:hanging="397"/>
        <w:rPr>
          <w:szCs w:val="22"/>
        </w:rPr>
      </w:pPr>
      <w:r w:rsidRPr="00FC03DD">
        <w:rPr>
          <w:szCs w:val="22"/>
        </w:rPr>
        <w:t>(a)</w:t>
      </w:r>
      <w:r w:rsidRPr="00FC03DD">
        <w:rPr>
          <w:szCs w:val="22"/>
        </w:rPr>
        <w:tab/>
        <w:t>Research and development expenditure</w:t>
      </w:r>
    </w:p>
    <w:p w:rsidR="000F716A" w:rsidRPr="00FC03DD" w:rsidRDefault="000F716A" w:rsidP="000F716A">
      <w:pPr>
        <w:pStyle w:val="Schedulelist"/>
        <w:ind w:left="851" w:hanging="397"/>
        <w:rPr>
          <w:szCs w:val="22"/>
        </w:rPr>
      </w:pPr>
      <w:r w:rsidRPr="00FC03DD">
        <w:rPr>
          <w:szCs w:val="22"/>
        </w:rPr>
        <w:t>(b)</w:t>
      </w:r>
      <w:r w:rsidRPr="00FC03DD">
        <w:rPr>
          <w:szCs w:val="22"/>
        </w:rPr>
        <w:tab/>
        <w:t>Capability development:</w:t>
      </w:r>
    </w:p>
    <w:p w:rsidR="000F716A" w:rsidRPr="00FC03DD" w:rsidRDefault="000F716A" w:rsidP="00116FD8">
      <w:pPr>
        <w:pStyle w:val="paragraphsub"/>
        <w:tabs>
          <w:tab w:val="clear" w:pos="1985"/>
          <w:tab w:val="right" w:pos="1134"/>
        </w:tabs>
        <w:ind w:left="1418" w:hanging="1418"/>
        <w:rPr>
          <w:szCs w:val="22"/>
        </w:rPr>
      </w:pPr>
      <w:r w:rsidRPr="00FC03DD">
        <w:rPr>
          <w:szCs w:val="22"/>
        </w:rPr>
        <w:tab/>
        <w:t>(i)</w:t>
      </w:r>
      <w:r w:rsidRPr="00FC03DD">
        <w:rPr>
          <w:szCs w:val="22"/>
        </w:rPr>
        <w:tab/>
        <w:t xml:space="preserve">participation in change management processes, </w:t>
      </w:r>
      <w:r w:rsidRPr="00FC03DD">
        <w:rPr>
          <w:i/>
          <w:szCs w:val="22"/>
        </w:rPr>
        <w:t>for example</w:t>
      </w:r>
      <w:r w:rsidRPr="00FC03DD">
        <w:rPr>
          <w:szCs w:val="22"/>
        </w:rPr>
        <w:t xml:space="preserve">: </w:t>
      </w:r>
    </w:p>
    <w:p w:rsidR="000F716A" w:rsidRPr="00FC03DD" w:rsidRDefault="000F716A" w:rsidP="009B1EC8">
      <w:pPr>
        <w:numPr>
          <w:ilvl w:val="0"/>
          <w:numId w:val="5"/>
        </w:numPr>
        <w:tabs>
          <w:tab w:val="clear" w:pos="720"/>
        </w:tabs>
        <w:ind w:left="1798" w:hanging="314"/>
        <w:rPr>
          <w:szCs w:val="22"/>
        </w:rPr>
      </w:pPr>
      <w:r w:rsidRPr="00FC03DD">
        <w:rPr>
          <w:szCs w:val="22"/>
        </w:rPr>
        <w:t>management and leadership;</w:t>
      </w:r>
    </w:p>
    <w:p w:rsidR="000F716A" w:rsidRPr="00FC03DD" w:rsidRDefault="000F716A" w:rsidP="009B1EC8">
      <w:pPr>
        <w:numPr>
          <w:ilvl w:val="0"/>
          <w:numId w:val="5"/>
        </w:numPr>
        <w:tabs>
          <w:tab w:val="clear" w:pos="720"/>
        </w:tabs>
        <w:ind w:left="1798" w:hanging="314"/>
        <w:rPr>
          <w:szCs w:val="22"/>
        </w:rPr>
      </w:pPr>
      <w:r w:rsidRPr="00FC03DD">
        <w:rPr>
          <w:szCs w:val="22"/>
        </w:rPr>
        <w:t>performance benchmarking;</w:t>
      </w:r>
    </w:p>
    <w:p w:rsidR="000F716A" w:rsidRPr="00FC03DD" w:rsidRDefault="000F716A" w:rsidP="009B1EC8">
      <w:pPr>
        <w:numPr>
          <w:ilvl w:val="0"/>
          <w:numId w:val="5"/>
        </w:numPr>
        <w:tabs>
          <w:tab w:val="clear" w:pos="720"/>
        </w:tabs>
        <w:ind w:left="1798" w:hanging="314"/>
        <w:rPr>
          <w:szCs w:val="22"/>
        </w:rPr>
      </w:pPr>
      <w:r w:rsidRPr="00FC03DD">
        <w:rPr>
          <w:szCs w:val="22"/>
        </w:rPr>
        <w:t>customer relationships;</w:t>
      </w:r>
    </w:p>
    <w:p w:rsidR="000F716A" w:rsidRPr="00FC03DD" w:rsidRDefault="000F716A" w:rsidP="009B1EC8">
      <w:pPr>
        <w:numPr>
          <w:ilvl w:val="0"/>
          <w:numId w:val="5"/>
        </w:numPr>
        <w:tabs>
          <w:tab w:val="clear" w:pos="720"/>
        </w:tabs>
        <w:ind w:left="1798" w:hanging="314"/>
        <w:rPr>
          <w:szCs w:val="22"/>
        </w:rPr>
      </w:pPr>
      <w:r w:rsidRPr="00FC03DD">
        <w:rPr>
          <w:szCs w:val="22"/>
        </w:rPr>
        <w:t>supply chain integration;</w:t>
      </w:r>
    </w:p>
    <w:p w:rsidR="000F716A" w:rsidRPr="00FC03DD" w:rsidRDefault="000F716A" w:rsidP="009B1EC8">
      <w:pPr>
        <w:numPr>
          <w:ilvl w:val="0"/>
          <w:numId w:val="5"/>
        </w:numPr>
        <w:tabs>
          <w:tab w:val="clear" w:pos="720"/>
        </w:tabs>
        <w:ind w:left="1798" w:hanging="314"/>
        <w:rPr>
          <w:szCs w:val="22"/>
        </w:rPr>
      </w:pPr>
      <w:r w:rsidRPr="00FC03DD">
        <w:rPr>
          <w:szCs w:val="22"/>
        </w:rPr>
        <w:t>quality assurance;</w:t>
      </w:r>
    </w:p>
    <w:p w:rsidR="000F716A" w:rsidRPr="00FC03DD" w:rsidRDefault="000F716A" w:rsidP="009B1EC8">
      <w:pPr>
        <w:numPr>
          <w:ilvl w:val="0"/>
          <w:numId w:val="5"/>
        </w:numPr>
        <w:tabs>
          <w:tab w:val="clear" w:pos="720"/>
        </w:tabs>
        <w:ind w:left="1798" w:hanging="314"/>
        <w:rPr>
          <w:szCs w:val="22"/>
        </w:rPr>
      </w:pPr>
      <w:r w:rsidRPr="00FC03DD">
        <w:rPr>
          <w:szCs w:val="22"/>
        </w:rPr>
        <w:t>strength, weakness, opportunity and threat (SWOT) analysis programs;</w:t>
      </w:r>
    </w:p>
    <w:p w:rsidR="00FB0C90" w:rsidRPr="00FC03DD" w:rsidRDefault="00FB0C90" w:rsidP="009B1EC8">
      <w:pPr>
        <w:numPr>
          <w:ilvl w:val="0"/>
          <w:numId w:val="5"/>
        </w:numPr>
        <w:tabs>
          <w:tab w:val="clear" w:pos="720"/>
        </w:tabs>
        <w:ind w:left="1798" w:hanging="314"/>
        <w:rPr>
          <w:szCs w:val="22"/>
        </w:rPr>
      </w:pPr>
      <w:r w:rsidRPr="00FC03DD">
        <w:rPr>
          <w:szCs w:val="22"/>
        </w:rPr>
        <w:t>financial management systems.</w:t>
      </w:r>
    </w:p>
    <w:p w:rsidR="000F716A" w:rsidRPr="00FC03DD" w:rsidRDefault="00520A56" w:rsidP="00520A56">
      <w:pPr>
        <w:pStyle w:val="paragraphsub"/>
        <w:tabs>
          <w:tab w:val="clear" w:pos="1985"/>
          <w:tab w:val="right" w:pos="1134"/>
        </w:tabs>
        <w:ind w:left="1418" w:hanging="1418"/>
        <w:rPr>
          <w:szCs w:val="22"/>
        </w:rPr>
      </w:pPr>
      <w:r w:rsidRPr="00FC03DD">
        <w:rPr>
          <w:szCs w:val="22"/>
        </w:rPr>
        <w:tab/>
      </w:r>
      <w:r w:rsidR="000F716A" w:rsidRPr="00FC03DD">
        <w:rPr>
          <w:szCs w:val="22"/>
        </w:rPr>
        <w:t>(ii)</w:t>
      </w:r>
      <w:r w:rsidR="00FB0C90" w:rsidRPr="00FC03DD">
        <w:rPr>
          <w:szCs w:val="22"/>
        </w:rPr>
        <w:tab/>
      </w:r>
      <w:r w:rsidR="000F716A" w:rsidRPr="00FC03DD">
        <w:rPr>
          <w:szCs w:val="22"/>
        </w:rPr>
        <w:t xml:space="preserve">participation in government (federal, state or territory) or business programs designed to help businesses develop their strategic capability, </w:t>
      </w:r>
      <w:r w:rsidR="000F716A" w:rsidRPr="00FC03DD">
        <w:rPr>
          <w:i/>
          <w:szCs w:val="22"/>
        </w:rPr>
        <w:t>for example</w:t>
      </w:r>
      <w:r w:rsidR="000F716A" w:rsidRPr="00FC03DD">
        <w:rPr>
          <w:szCs w:val="22"/>
        </w:rPr>
        <w:t>:</w:t>
      </w:r>
    </w:p>
    <w:p w:rsidR="000F716A" w:rsidRPr="00FC03DD" w:rsidRDefault="000F716A" w:rsidP="009B1EC8">
      <w:pPr>
        <w:numPr>
          <w:ilvl w:val="0"/>
          <w:numId w:val="5"/>
        </w:numPr>
        <w:tabs>
          <w:tab w:val="clear" w:pos="720"/>
        </w:tabs>
        <w:ind w:left="1798" w:hanging="314"/>
        <w:rPr>
          <w:szCs w:val="22"/>
        </w:rPr>
      </w:pPr>
      <w:r w:rsidRPr="00FC03DD">
        <w:rPr>
          <w:szCs w:val="22"/>
        </w:rPr>
        <w:t>Enterprise Connect;</w:t>
      </w:r>
    </w:p>
    <w:p w:rsidR="000F716A" w:rsidRPr="00FC03DD" w:rsidRDefault="000F716A" w:rsidP="009B1EC8">
      <w:pPr>
        <w:numPr>
          <w:ilvl w:val="0"/>
          <w:numId w:val="5"/>
        </w:numPr>
        <w:tabs>
          <w:tab w:val="clear" w:pos="720"/>
        </w:tabs>
        <w:ind w:left="1798" w:hanging="314"/>
        <w:rPr>
          <w:szCs w:val="22"/>
        </w:rPr>
      </w:pPr>
      <w:r w:rsidRPr="00FC03DD">
        <w:rPr>
          <w:szCs w:val="22"/>
        </w:rPr>
        <w:t>Business Enterprise Centres;</w:t>
      </w:r>
    </w:p>
    <w:p w:rsidR="000F716A" w:rsidRPr="00FC03DD" w:rsidRDefault="000F716A" w:rsidP="009B1EC8">
      <w:pPr>
        <w:numPr>
          <w:ilvl w:val="0"/>
          <w:numId w:val="5"/>
        </w:numPr>
        <w:tabs>
          <w:tab w:val="clear" w:pos="720"/>
        </w:tabs>
        <w:ind w:left="1798" w:hanging="314"/>
        <w:rPr>
          <w:szCs w:val="22"/>
        </w:rPr>
      </w:pPr>
      <w:r w:rsidRPr="00FC03DD">
        <w:rPr>
          <w:szCs w:val="22"/>
        </w:rPr>
        <w:t>the Automotive Supplier Excellence Australia (ASEA) Program;</w:t>
      </w:r>
    </w:p>
    <w:p w:rsidR="000F716A" w:rsidRPr="00FC03DD" w:rsidRDefault="000F716A" w:rsidP="009B1EC8">
      <w:pPr>
        <w:numPr>
          <w:ilvl w:val="0"/>
          <w:numId w:val="5"/>
        </w:numPr>
        <w:tabs>
          <w:tab w:val="clear" w:pos="720"/>
        </w:tabs>
        <w:ind w:left="1798" w:hanging="314"/>
        <w:rPr>
          <w:szCs w:val="22"/>
        </w:rPr>
      </w:pPr>
      <w:r w:rsidRPr="00FC03DD">
        <w:rPr>
          <w:szCs w:val="22"/>
        </w:rPr>
        <w:t>Automotive Supply Chain Development Program.</w:t>
      </w:r>
    </w:p>
    <w:p w:rsidR="00655DED" w:rsidRPr="00FC03DD" w:rsidRDefault="000F716A" w:rsidP="00116FD8">
      <w:pPr>
        <w:keepNext/>
        <w:spacing w:before="120" w:after="40"/>
        <w:ind w:left="357" w:hanging="357"/>
        <w:rPr>
          <w:szCs w:val="22"/>
        </w:rPr>
      </w:pPr>
      <w:r w:rsidRPr="00FC03DD">
        <w:rPr>
          <w:szCs w:val="22"/>
        </w:rPr>
        <w:t>2.</w:t>
      </w:r>
      <w:r w:rsidRPr="00FC03DD">
        <w:rPr>
          <w:szCs w:val="22"/>
        </w:rPr>
        <w:tab/>
      </w:r>
      <w:r w:rsidRPr="00FC03DD">
        <w:rPr>
          <w:szCs w:val="22"/>
          <w:u w:val="single"/>
        </w:rPr>
        <w:t>Improved business performance</w:t>
      </w:r>
      <w:r w:rsidRPr="00FC03DD">
        <w:rPr>
          <w:szCs w:val="22"/>
        </w:rPr>
        <w:t xml:space="preserve"> </w:t>
      </w:r>
    </w:p>
    <w:p w:rsidR="000F716A" w:rsidRPr="00FC03DD" w:rsidRDefault="00655DED" w:rsidP="000F716A">
      <w:pPr>
        <w:keepNext/>
        <w:ind w:left="357" w:hanging="357"/>
        <w:rPr>
          <w:szCs w:val="22"/>
        </w:rPr>
      </w:pPr>
      <w:r w:rsidRPr="00FC03DD">
        <w:rPr>
          <w:szCs w:val="22"/>
        </w:rPr>
        <w:tab/>
        <w:t xml:space="preserve">An </w:t>
      </w:r>
      <w:r w:rsidR="000F716A" w:rsidRPr="00FC03DD">
        <w:rPr>
          <w:szCs w:val="22"/>
        </w:rPr>
        <w:t>ATS participant must report against one or more of the following items:</w:t>
      </w:r>
    </w:p>
    <w:p w:rsidR="000F716A" w:rsidRPr="00FC03DD" w:rsidRDefault="000F716A" w:rsidP="00FF0729">
      <w:pPr>
        <w:pStyle w:val="Schedulelist"/>
        <w:spacing w:before="0"/>
        <w:ind w:left="851" w:hanging="397"/>
        <w:rPr>
          <w:szCs w:val="22"/>
        </w:rPr>
      </w:pPr>
      <w:r w:rsidRPr="00FC03DD">
        <w:rPr>
          <w:szCs w:val="22"/>
        </w:rPr>
        <w:t>(a)</w:t>
      </w:r>
      <w:r w:rsidRPr="00FC03DD">
        <w:rPr>
          <w:szCs w:val="22"/>
        </w:rPr>
        <w:tab/>
        <w:t>improved profitability;</w:t>
      </w:r>
    </w:p>
    <w:p w:rsidR="000F716A" w:rsidRPr="00FC03DD" w:rsidRDefault="000F716A" w:rsidP="000F716A">
      <w:pPr>
        <w:pStyle w:val="Schedulelist"/>
        <w:ind w:left="851" w:hanging="397"/>
        <w:rPr>
          <w:szCs w:val="22"/>
        </w:rPr>
      </w:pPr>
      <w:r w:rsidRPr="00FC03DD">
        <w:rPr>
          <w:szCs w:val="22"/>
        </w:rPr>
        <w:t>(b)</w:t>
      </w:r>
      <w:r w:rsidRPr="00FC03DD">
        <w:rPr>
          <w:szCs w:val="22"/>
        </w:rPr>
        <w:tab/>
        <w:t>value of production;</w:t>
      </w:r>
    </w:p>
    <w:p w:rsidR="000F716A" w:rsidRPr="00FC03DD" w:rsidRDefault="000F716A" w:rsidP="000F716A">
      <w:pPr>
        <w:pStyle w:val="Schedulelist"/>
        <w:ind w:left="851" w:hanging="397"/>
        <w:rPr>
          <w:szCs w:val="22"/>
        </w:rPr>
      </w:pPr>
      <w:r w:rsidRPr="00FC03DD">
        <w:rPr>
          <w:szCs w:val="22"/>
        </w:rPr>
        <w:t>(c)</w:t>
      </w:r>
      <w:r w:rsidR="00FB0C90" w:rsidRPr="00FC03DD">
        <w:rPr>
          <w:szCs w:val="22"/>
        </w:rPr>
        <w:tab/>
      </w:r>
      <w:r w:rsidRPr="00FC03DD">
        <w:rPr>
          <w:szCs w:val="22"/>
        </w:rPr>
        <w:t>new customers;</w:t>
      </w:r>
    </w:p>
    <w:p w:rsidR="000F716A" w:rsidRPr="00FC03DD" w:rsidRDefault="000F716A" w:rsidP="000F716A">
      <w:pPr>
        <w:pStyle w:val="Schedulelist"/>
        <w:ind w:left="851" w:hanging="397"/>
        <w:rPr>
          <w:szCs w:val="22"/>
        </w:rPr>
      </w:pPr>
      <w:r w:rsidRPr="00FC03DD">
        <w:rPr>
          <w:szCs w:val="22"/>
        </w:rPr>
        <w:t>(d)</w:t>
      </w:r>
      <w:r w:rsidRPr="00FC03DD">
        <w:rPr>
          <w:szCs w:val="22"/>
        </w:rPr>
        <w:tab/>
        <w:t>increased sales;</w:t>
      </w:r>
    </w:p>
    <w:p w:rsidR="000F716A" w:rsidRPr="00FC03DD" w:rsidRDefault="000F716A" w:rsidP="000F716A">
      <w:pPr>
        <w:pStyle w:val="Schedulelist"/>
        <w:ind w:left="851" w:hanging="397"/>
        <w:rPr>
          <w:szCs w:val="22"/>
        </w:rPr>
      </w:pPr>
      <w:r w:rsidRPr="00FC03DD">
        <w:rPr>
          <w:szCs w:val="22"/>
        </w:rPr>
        <w:t>(e)</w:t>
      </w:r>
      <w:r w:rsidRPr="00FC03DD">
        <w:rPr>
          <w:szCs w:val="22"/>
        </w:rPr>
        <w:tab/>
        <w:t xml:space="preserve">increased productivity; </w:t>
      </w:r>
    </w:p>
    <w:p w:rsidR="000F716A" w:rsidRPr="00FC03DD" w:rsidRDefault="000F716A" w:rsidP="000F716A">
      <w:pPr>
        <w:pStyle w:val="Schedulelist"/>
        <w:spacing w:after="120"/>
        <w:ind w:left="851" w:hanging="397"/>
        <w:rPr>
          <w:szCs w:val="22"/>
        </w:rPr>
      </w:pPr>
      <w:r w:rsidRPr="00FC03DD">
        <w:rPr>
          <w:szCs w:val="22"/>
        </w:rPr>
        <w:t>(f)</w:t>
      </w:r>
      <w:r w:rsidRPr="00FC03DD">
        <w:rPr>
          <w:szCs w:val="22"/>
        </w:rPr>
        <w:tab/>
        <w:t>other activities resulting in the development of the participant’s capability.</w:t>
      </w:r>
    </w:p>
    <w:p w:rsidR="00FB0C90" w:rsidRPr="00FC03DD" w:rsidRDefault="000F716A" w:rsidP="00116FD8">
      <w:pPr>
        <w:keepNext/>
        <w:spacing w:before="120" w:after="40"/>
        <w:ind w:left="357" w:hanging="357"/>
        <w:rPr>
          <w:szCs w:val="22"/>
        </w:rPr>
      </w:pPr>
      <w:r w:rsidRPr="00FC03DD">
        <w:rPr>
          <w:szCs w:val="22"/>
        </w:rPr>
        <w:t>3.</w:t>
      </w:r>
      <w:r w:rsidRPr="00FC03DD">
        <w:rPr>
          <w:szCs w:val="22"/>
        </w:rPr>
        <w:tab/>
      </w:r>
      <w:r w:rsidR="00FB0C90" w:rsidRPr="00FC03DD">
        <w:rPr>
          <w:szCs w:val="22"/>
          <w:u w:val="single"/>
        </w:rPr>
        <w:t>Other activities</w:t>
      </w:r>
    </w:p>
    <w:p w:rsidR="000F716A" w:rsidRPr="00FC03DD" w:rsidRDefault="00FB0C90" w:rsidP="000F716A">
      <w:pPr>
        <w:ind w:left="357" w:hanging="357"/>
        <w:rPr>
          <w:szCs w:val="22"/>
        </w:rPr>
      </w:pPr>
      <w:r w:rsidRPr="00FC03DD">
        <w:rPr>
          <w:szCs w:val="22"/>
        </w:rPr>
        <w:tab/>
        <w:t>An ATS participant may report o</w:t>
      </w:r>
      <w:r w:rsidR="000F716A" w:rsidRPr="00FC03DD">
        <w:rPr>
          <w:szCs w:val="22"/>
        </w:rPr>
        <w:t xml:space="preserve">ther activities undertaken by </w:t>
      </w:r>
      <w:r w:rsidRPr="00FC03DD">
        <w:rPr>
          <w:szCs w:val="22"/>
        </w:rPr>
        <w:t xml:space="preserve">the </w:t>
      </w:r>
      <w:r w:rsidR="000F716A" w:rsidRPr="00FC03DD">
        <w:rPr>
          <w:szCs w:val="22"/>
        </w:rPr>
        <w:t>participant that would contribute to placing industry on an economically sustainable footing</w:t>
      </w:r>
      <w:r w:rsidRPr="00FC03DD">
        <w:rPr>
          <w:szCs w:val="22"/>
        </w:rPr>
        <w:t>.</w:t>
      </w:r>
      <w:r w:rsidR="000F716A" w:rsidRPr="00FC03DD">
        <w:rPr>
          <w:szCs w:val="22"/>
        </w:rPr>
        <w:t xml:space="preserve"> </w:t>
      </w:r>
    </w:p>
    <w:p w:rsidR="000F716A" w:rsidRPr="00C72A74" w:rsidRDefault="000F716A" w:rsidP="0058246A">
      <w:pPr>
        <w:pStyle w:val="ActHead5"/>
        <w:ind w:left="0" w:firstLine="0"/>
      </w:pPr>
      <w:bookmarkStart w:id="36" w:name="_Toc359833571"/>
      <w:r w:rsidRPr="00C72A74">
        <w:t>Re</w:t>
      </w:r>
      <w:r w:rsidR="00FB0C90" w:rsidRPr="00C72A74">
        <w:t>porting criteria for achieving the object in a way that</w:t>
      </w:r>
      <w:r w:rsidR="00695965" w:rsidRPr="00C72A74">
        <w:t xml:space="preserve"> improves </w:t>
      </w:r>
      <w:r w:rsidRPr="00C72A74">
        <w:t>environmental outcomes</w:t>
      </w:r>
      <w:bookmarkEnd w:id="36"/>
    </w:p>
    <w:p w:rsidR="000F716A" w:rsidRPr="00FC03DD" w:rsidRDefault="00FB0C90" w:rsidP="00FF0729">
      <w:pPr>
        <w:rPr>
          <w:szCs w:val="22"/>
        </w:rPr>
      </w:pPr>
      <w:r w:rsidRPr="00FC03DD">
        <w:rPr>
          <w:szCs w:val="22"/>
        </w:rPr>
        <w:t>An ATS participant must report against one or more of the following items, t</w:t>
      </w:r>
      <w:r w:rsidR="000F716A" w:rsidRPr="00FC03DD">
        <w:rPr>
          <w:szCs w:val="22"/>
        </w:rPr>
        <w:t>he extent to which the participant is improving its environmental outcomes, as demonstrated by, but not limited to:</w:t>
      </w:r>
    </w:p>
    <w:p w:rsidR="000F716A" w:rsidRPr="00FC03DD" w:rsidRDefault="000F716A" w:rsidP="00FF0729">
      <w:pPr>
        <w:spacing w:before="60"/>
        <w:ind w:left="357" w:hanging="357"/>
        <w:rPr>
          <w:szCs w:val="22"/>
        </w:rPr>
      </w:pPr>
      <w:r w:rsidRPr="00FC03DD">
        <w:rPr>
          <w:szCs w:val="22"/>
        </w:rPr>
        <w:t>1.</w:t>
      </w:r>
      <w:r w:rsidRPr="00FC03DD">
        <w:rPr>
          <w:szCs w:val="22"/>
        </w:rPr>
        <w:tab/>
        <w:t xml:space="preserve">a reduction in the environmental impact of the ATS participant’s manufacturing process, </w:t>
      </w:r>
      <w:r w:rsidRPr="00FC03DD">
        <w:rPr>
          <w:i/>
          <w:szCs w:val="22"/>
        </w:rPr>
        <w:t>for example</w:t>
      </w:r>
      <w:r w:rsidRPr="00FC03DD">
        <w:rPr>
          <w:szCs w:val="22"/>
        </w:rPr>
        <w:t>:</w:t>
      </w:r>
    </w:p>
    <w:p w:rsidR="000F716A" w:rsidRPr="00FC03DD" w:rsidRDefault="000F716A" w:rsidP="000F716A">
      <w:pPr>
        <w:numPr>
          <w:ilvl w:val="0"/>
          <w:numId w:val="20"/>
        </w:numPr>
        <w:rPr>
          <w:szCs w:val="22"/>
        </w:rPr>
      </w:pPr>
      <w:r w:rsidRPr="00FC03DD">
        <w:rPr>
          <w:szCs w:val="22"/>
        </w:rPr>
        <w:t>more efficient and sustainable energy sources for the manufacturing process;</w:t>
      </w:r>
    </w:p>
    <w:p w:rsidR="000F716A" w:rsidRPr="00FC03DD" w:rsidRDefault="000F716A" w:rsidP="000F716A">
      <w:pPr>
        <w:numPr>
          <w:ilvl w:val="0"/>
          <w:numId w:val="20"/>
        </w:numPr>
        <w:rPr>
          <w:szCs w:val="22"/>
        </w:rPr>
      </w:pPr>
      <w:r w:rsidRPr="00FC03DD">
        <w:rPr>
          <w:szCs w:val="22"/>
        </w:rPr>
        <w:t>recycling measures for waste products;</w:t>
      </w:r>
    </w:p>
    <w:p w:rsidR="000F716A" w:rsidRPr="00FC03DD" w:rsidRDefault="000F716A" w:rsidP="000F716A">
      <w:pPr>
        <w:numPr>
          <w:ilvl w:val="0"/>
          <w:numId w:val="20"/>
        </w:numPr>
        <w:rPr>
          <w:szCs w:val="22"/>
        </w:rPr>
      </w:pPr>
      <w:r w:rsidRPr="00FC03DD">
        <w:rPr>
          <w:szCs w:val="22"/>
        </w:rPr>
        <w:lastRenderedPageBreak/>
        <w:t xml:space="preserve">environmental upgrades of plant and equipment; </w:t>
      </w:r>
    </w:p>
    <w:p w:rsidR="000F716A" w:rsidRPr="00FC03DD" w:rsidRDefault="000F716A" w:rsidP="000F716A">
      <w:pPr>
        <w:numPr>
          <w:ilvl w:val="0"/>
          <w:numId w:val="20"/>
        </w:numPr>
        <w:spacing w:after="120"/>
        <w:ind w:left="714" w:hanging="357"/>
        <w:rPr>
          <w:szCs w:val="22"/>
        </w:rPr>
      </w:pPr>
      <w:r w:rsidRPr="00FC03DD">
        <w:rPr>
          <w:szCs w:val="22"/>
        </w:rPr>
        <w:t>use of sustainable materials.</w:t>
      </w:r>
    </w:p>
    <w:p w:rsidR="000F716A" w:rsidRPr="00FC03DD" w:rsidRDefault="000F716A" w:rsidP="000F716A">
      <w:pPr>
        <w:keepNext/>
        <w:ind w:left="357" w:hanging="357"/>
        <w:rPr>
          <w:szCs w:val="22"/>
        </w:rPr>
      </w:pPr>
      <w:r w:rsidRPr="00FC03DD">
        <w:rPr>
          <w:szCs w:val="22"/>
        </w:rPr>
        <w:t>2.</w:t>
      </w:r>
      <w:r w:rsidRPr="00FC03DD">
        <w:rPr>
          <w:szCs w:val="22"/>
        </w:rPr>
        <w:tab/>
        <w:t xml:space="preserve">input into the development or manufacture of more environmentally sustainable cars, </w:t>
      </w:r>
      <w:r w:rsidRPr="00FC03DD">
        <w:rPr>
          <w:i/>
          <w:szCs w:val="22"/>
        </w:rPr>
        <w:t>for example</w:t>
      </w:r>
      <w:r w:rsidRPr="00FC03DD">
        <w:rPr>
          <w:szCs w:val="22"/>
        </w:rPr>
        <w:t>:</w:t>
      </w:r>
    </w:p>
    <w:p w:rsidR="000F716A" w:rsidRPr="00FC03DD" w:rsidRDefault="000F716A" w:rsidP="000F716A">
      <w:pPr>
        <w:numPr>
          <w:ilvl w:val="0"/>
          <w:numId w:val="20"/>
        </w:numPr>
        <w:rPr>
          <w:szCs w:val="22"/>
        </w:rPr>
      </w:pPr>
      <w:r w:rsidRPr="00FC03DD">
        <w:rPr>
          <w:szCs w:val="22"/>
        </w:rPr>
        <w:t>alternative fuels;</w:t>
      </w:r>
    </w:p>
    <w:p w:rsidR="000F716A" w:rsidRPr="00FC03DD" w:rsidRDefault="000F716A" w:rsidP="000F716A">
      <w:pPr>
        <w:numPr>
          <w:ilvl w:val="0"/>
          <w:numId w:val="20"/>
        </w:numPr>
        <w:rPr>
          <w:szCs w:val="22"/>
        </w:rPr>
      </w:pPr>
      <w:r w:rsidRPr="00FC03DD">
        <w:rPr>
          <w:szCs w:val="22"/>
        </w:rPr>
        <w:t>hybrid vehicles;</w:t>
      </w:r>
    </w:p>
    <w:p w:rsidR="000F716A" w:rsidRPr="00FC03DD" w:rsidRDefault="000F716A" w:rsidP="000F716A">
      <w:pPr>
        <w:numPr>
          <w:ilvl w:val="0"/>
          <w:numId w:val="20"/>
        </w:numPr>
        <w:rPr>
          <w:szCs w:val="22"/>
        </w:rPr>
      </w:pPr>
      <w:r w:rsidRPr="00FC03DD">
        <w:rPr>
          <w:szCs w:val="22"/>
        </w:rPr>
        <w:t>reduced greenhouse gas emissions;</w:t>
      </w:r>
    </w:p>
    <w:p w:rsidR="000F716A" w:rsidRPr="00FC03DD" w:rsidRDefault="000F716A" w:rsidP="000F716A">
      <w:pPr>
        <w:numPr>
          <w:ilvl w:val="0"/>
          <w:numId w:val="20"/>
        </w:numPr>
        <w:rPr>
          <w:szCs w:val="22"/>
        </w:rPr>
      </w:pPr>
      <w:r w:rsidRPr="00FC03DD">
        <w:rPr>
          <w:szCs w:val="22"/>
        </w:rPr>
        <w:t xml:space="preserve">mass reduction, including components; </w:t>
      </w:r>
    </w:p>
    <w:p w:rsidR="000F716A" w:rsidRPr="00FC03DD" w:rsidRDefault="000F716A" w:rsidP="000F716A">
      <w:pPr>
        <w:numPr>
          <w:ilvl w:val="0"/>
          <w:numId w:val="20"/>
        </w:numPr>
        <w:rPr>
          <w:szCs w:val="22"/>
        </w:rPr>
      </w:pPr>
      <w:r w:rsidRPr="00FC03DD">
        <w:rPr>
          <w:szCs w:val="22"/>
        </w:rPr>
        <w:t xml:space="preserve">environmentally sustainable materials; </w:t>
      </w:r>
    </w:p>
    <w:p w:rsidR="000F716A" w:rsidRPr="00FC03DD" w:rsidRDefault="000F716A" w:rsidP="000F716A">
      <w:pPr>
        <w:numPr>
          <w:ilvl w:val="0"/>
          <w:numId w:val="20"/>
        </w:numPr>
        <w:spacing w:after="120"/>
        <w:ind w:left="714" w:hanging="357"/>
        <w:rPr>
          <w:szCs w:val="22"/>
        </w:rPr>
      </w:pPr>
      <w:r w:rsidRPr="00FC03DD">
        <w:rPr>
          <w:szCs w:val="22"/>
        </w:rPr>
        <w:t>increased fuel efficiency, including fuel management.</w:t>
      </w:r>
    </w:p>
    <w:p w:rsidR="000F716A" w:rsidRPr="00FC03DD" w:rsidRDefault="000F716A" w:rsidP="000F716A">
      <w:pPr>
        <w:keepNext/>
        <w:ind w:left="357" w:hanging="357"/>
        <w:rPr>
          <w:szCs w:val="22"/>
        </w:rPr>
      </w:pPr>
      <w:r w:rsidRPr="00FC03DD">
        <w:rPr>
          <w:szCs w:val="22"/>
        </w:rPr>
        <w:t>3.</w:t>
      </w:r>
      <w:r w:rsidRPr="00FC03DD">
        <w:rPr>
          <w:szCs w:val="22"/>
        </w:rPr>
        <w:tab/>
        <w:t xml:space="preserve">participation in government (federal/state and territory) environmental programs, </w:t>
      </w:r>
      <w:r w:rsidRPr="00FC03DD">
        <w:rPr>
          <w:i/>
          <w:szCs w:val="22"/>
        </w:rPr>
        <w:t>for example:</w:t>
      </w:r>
    </w:p>
    <w:p w:rsidR="000F716A" w:rsidRPr="00FC03DD" w:rsidRDefault="000F716A" w:rsidP="000F716A">
      <w:pPr>
        <w:numPr>
          <w:ilvl w:val="0"/>
          <w:numId w:val="20"/>
        </w:numPr>
        <w:rPr>
          <w:szCs w:val="22"/>
        </w:rPr>
      </w:pPr>
      <w:r w:rsidRPr="00FC03DD">
        <w:rPr>
          <w:szCs w:val="22"/>
        </w:rPr>
        <w:t>re</w:t>
      </w:r>
      <w:r w:rsidR="00C72A74" w:rsidRPr="00FC03DD">
        <w:rPr>
          <w:szCs w:val="22"/>
        </w:rPr>
        <w:noBreakHyphen/>
      </w:r>
      <w:r w:rsidRPr="00FC03DD">
        <w:rPr>
          <w:szCs w:val="22"/>
        </w:rPr>
        <w:t xml:space="preserve">tooling for climate change; </w:t>
      </w:r>
    </w:p>
    <w:p w:rsidR="000F716A" w:rsidRPr="00FC03DD" w:rsidRDefault="000F716A" w:rsidP="000F716A">
      <w:pPr>
        <w:numPr>
          <w:ilvl w:val="0"/>
          <w:numId w:val="20"/>
        </w:numPr>
        <w:spacing w:after="120"/>
        <w:ind w:left="714" w:hanging="357"/>
        <w:rPr>
          <w:szCs w:val="22"/>
        </w:rPr>
      </w:pPr>
      <w:r w:rsidRPr="00FC03DD">
        <w:rPr>
          <w:szCs w:val="22"/>
        </w:rPr>
        <w:t>Green Car Innovation Fund.</w:t>
      </w:r>
    </w:p>
    <w:p w:rsidR="000F716A" w:rsidRPr="00FC03DD" w:rsidRDefault="000F716A" w:rsidP="00FF0729">
      <w:pPr>
        <w:keepNext/>
        <w:spacing w:after="120"/>
        <w:ind w:left="357" w:hanging="357"/>
        <w:rPr>
          <w:szCs w:val="22"/>
        </w:rPr>
      </w:pPr>
      <w:r w:rsidRPr="00FC03DD">
        <w:rPr>
          <w:szCs w:val="22"/>
        </w:rPr>
        <w:t>4.</w:t>
      </w:r>
      <w:r w:rsidRPr="00FC03DD">
        <w:rPr>
          <w:szCs w:val="22"/>
        </w:rPr>
        <w:tab/>
        <w:t xml:space="preserve">compliance with national/international automotive environmental standards; </w:t>
      </w:r>
    </w:p>
    <w:p w:rsidR="000F716A" w:rsidRPr="00FC03DD" w:rsidRDefault="000F716A" w:rsidP="000F716A">
      <w:pPr>
        <w:keepNext/>
        <w:ind w:left="357" w:hanging="357"/>
        <w:rPr>
          <w:szCs w:val="22"/>
        </w:rPr>
      </w:pPr>
      <w:r w:rsidRPr="00FC03DD">
        <w:rPr>
          <w:szCs w:val="22"/>
        </w:rPr>
        <w:t>5.</w:t>
      </w:r>
      <w:r w:rsidRPr="00FC03DD">
        <w:rPr>
          <w:szCs w:val="22"/>
        </w:rPr>
        <w:tab/>
        <w:t>other activities resulting in improved environmental outcomes.</w:t>
      </w:r>
    </w:p>
    <w:p w:rsidR="000F716A" w:rsidRPr="00C72A74" w:rsidRDefault="000F716A" w:rsidP="0058246A">
      <w:pPr>
        <w:pStyle w:val="ActHead5"/>
        <w:ind w:left="0" w:firstLine="0"/>
      </w:pPr>
      <w:bookmarkStart w:id="37" w:name="_Toc359833572"/>
      <w:r w:rsidRPr="00C72A74">
        <w:t>Re</w:t>
      </w:r>
      <w:r w:rsidR="00D14D70" w:rsidRPr="00C72A74">
        <w:t xml:space="preserve">porting criteria for achieving the object in a way that </w:t>
      </w:r>
      <w:r w:rsidRPr="00C72A74">
        <w:t>promote</w:t>
      </w:r>
      <w:r w:rsidR="00D14D70" w:rsidRPr="00C72A74">
        <w:t>s</w:t>
      </w:r>
      <w:r w:rsidRPr="00C72A74">
        <w:t xml:space="preserve"> the development of workforce skills</w:t>
      </w:r>
      <w:bookmarkEnd w:id="37"/>
      <w:r w:rsidRPr="00C72A74">
        <w:t xml:space="preserve"> </w:t>
      </w:r>
    </w:p>
    <w:p w:rsidR="000F716A" w:rsidRPr="00374086" w:rsidRDefault="00D14D70" w:rsidP="000F716A">
      <w:pPr>
        <w:spacing w:after="120"/>
        <w:rPr>
          <w:szCs w:val="22"/>
        </w:rPr>
      </w:pPr>
      <w:r w:rsidRPr="00374086">
        <w:rPr>
          <w:szCs w:val="22"/>
        </w:rPr>
        <w:t>An ATS participant must report against one or more of the following items, t</w:t>
      </w:r>
      <w:r w:rsidR="000F716A" w:rsidRPr="00374086">
        <w:rPr>
          <w:szCs w:val="22"/>
        </w:rPr>
        <w:t>he extent to which the participant is promoting the development of its workforce’s skills, as demonstrated by, but not limited to:</w:t>
      </w:r>
    </w:p>
    <w:p w:rsidR="000F716A" w:rsidRPr="00374086" w:rsidRDefault="000F716A" w:rsidP="000F716A">
      <w:pPr>
        <w:keepNext/>
        <w:ind w:left="357" w:hanging="357"/>
        <w:rPr>
          <w:szCs w:val="22"/>
        </w:rPr>
      </w:pPr>
      <w:r w:rsidRPr="00374086">
        <w:rPr>
          <w:szCs w:val="22"/>
        </w:rPr>
        <w:t>1.</w:t>
      </w:r>
      <w:r w:rsidRPr="00374086">
        <w:rPr>
          <w:szCs w:val="22"/>
        </w:rPr>
        <w:tab/>
        <w:t>the number of people within the individual workforce with applicable post</w:t>
      </w:r>
      <w:r w:rsidR="00C72A74" w:rsidRPr="00374086">
        <w:rPr>
          <w:szCs w:val="22"/>
        </w:rPr>
        <w:noBreakHyphen/>
      </w:r>
      <w:r w:rsidRPr="00374086">
        <w:rPr>
          <w:szCs w:val="22"/>
        </w:rPr>
        <w:t>school qualifications</w:t>
      </w:r>
      <w:r w:rsidRPr="00374086">
        <w:rPr>
          <w:i/>
          <w:szCs w:val="22"/>
        </w:rPr>
        <w:t>, for example</w:t>
      </w:r>
      <w:r w:rsidRPr="00374086">
        <w:rPr>
          <w:szCs w:val="22"/>
        </w:rPr>
        <w:t>:</w:t>
      </w:r>
    </w:p>
    <w:p w:rsidR="000F716A" w:rsidRPr="00374086" w:rsidRDefault="000F716A" w:rsidP="000F716A">
      <w:pPr>
        <w:numPr>
          <w:ilvl w:val="0"/>
          <w:numId w:val="20"/>
        </w:numPr>
        <w:rPr>
          <w:szCs w:val="22"/>
        </w:rPr>
      </w:pPr>
      <w:r w:rsidRPr="00374086">
        <w:rPr>
          <w:szCs w:val="22"/>
        </w:rPr>
        <w:t>Australian Qualification Framework (AQF) Certificate I &amp; II;</w:t>
      </w:r>
    </w:p>
    <w:p w:rsidR="000F716A" w:rsidRPr="00374086" w:rsidRDefault="000F716A" w:rsidP="000F716A">
      <w:pPr>
        <w:numPr>
          <w:ilvl w:val="0"/>
          <w:numId w:val="20"/>
        </w:numPr>
        <w:rPr>
          <w:szCs w:val="22"/>
        </w:rPr>
      </w:pPr>
      <w:r w:rsidRPr="00374086">
        <w:rPr>
          <w:szCs w:val="22"/>
        </w:rPr>
        <w:t>AQF Certificate III &amp; IV;</w:t>
      </w:r>
    </w:p>
    <w:p w:rsidR="000F716A" w:rsidRPr="00374086" w:rsidRDefault="000F716A" w:rsidP="000F716A">
      <w:pPr>
        <w:numPr>
          <w:ilvl w:val="0"/>
          <w:numId w:val="20"/>
        </w:numPr>
        <w:rPr>
          <w:szCs w:val="22"/>
        </w:rPr>
      </w:pPr>
      <w:r w:rsidRPr="00374086">
        <w:rPr>
          <w:szCs w:val="22"/>
        </w:rPr>
        <w:t>Trade qualifications;</w:t>
      </w:r>
    </w:p>
    <w:p w:rsidR="000F716A" w:rsidRPr="00374086" w:rsidRDefault="000F716A" w:rsidP="000F716A">
      <w:pPr>
        <w:numPr>
          <w:ilvl w:val="0"/>
          <w:numId w:val="20"/>
        </w:numPr>
        <w:rPr>
          <w:szCs w:val="22"/>
        </w:rPr>
      </w:pPr>
      <w:r w:rsidRPr="00374086">
        <w:rPr>
          <w:szCs w:val="22"/>
        </w:rPr>
        <w:t>Advanced Diploma, Diploma;</w:t>
      </w:r>
    </w:p>
    <w:p w:rsidR="000F716A" w:rsidRPr="00374086" w:rsidRDefault="000F716A" w:rsidP="000F716A">
      <w:pPr>
        <w:numPr>
          <w:ilvl w:val="0"/>
          <w:numId w:val="20"/>
        </w:numPr>
        <w:rPr>
          <w:szCs w:val="22"/>
        </w:rPr>
      </w:pPr>
      <w:r w:rsidRPr="00374086">
        <w:rPr>
          <w:szCs w:val="22"/>
        </w:rPr>
        <w:t xml:space="preserve">Bachelor Degree; </w:t>
      </w:r>
    </w:p>
    <w:p w:rsidR="000F716A" w:rsidRPr="00374086" w:rsidRDefault="000F716A" w:rsidP="000F716A">
      <w:pPr>
        <w:numPr>
          <w:ilvl w:val="0"/>
          <w:numId w:val="20"/>
        </w:numPr>
        <w:spacing w:after="120"/>
        <w:ind w:left="714" w:hanging="357"/>
        <w:rPr>
          <w:szCs w:val="22"/>
        </w:rPr>
      </w:pPr>
      <w:r w:rsidRPr="00374086">
        <w:rPr>
          <w:szCs w:val="22"/>
        </w:rPr>
        <w:t>Postgraduate/Graduate Diploma.</w:t>
      </w:r>
    </w:p>
    <w:p w:rsidR="000F716A" w:rsidRPr="00374086" w:rsidRDefault="000F716A" w:rsidP="00FF0729">
      <w:pPr>
        <w:spacing w:after="120"/>
        <w:ind w:left="357" w:hanging="357"/>
        <w:rPr>
          <w:szCs w:val="22"/>
        </w:rPr>
      </w:pPr>
      <w:r w:rsidRPr="00374086">
        <w:rPr>
          <w:szCs w:val="22"/>
        </w:rPr>
        <w:t>2.</w:t>
      </w:r>
      <w:r w:rsidRPr="00374086">
        <w:rPr>
          <w:szCs w:val="22"/>
        </w:rPr>
        <w:tab/>
        <w:t>the number of apprentices in the workforce;</w:t>
      </w:r>
    </w:p>
    <w:p w:rsidR="000F716A" w:rsidRPr="00374086" w:rsidRDefault="000F716A" w:rsidP="00FF0729">
      <w:pPr>
        <w:spacing w:after="120"/>
        <w:ind w:left="357" w:hanging="357"/>
        <w:rPr>
          <w:szCs w:val="22"/>
        </w:rPr>
      </w:pPr>
      <w:r w:rsidRPr="00374086">
        <w:rPr>
          <w:szCs w:val="22"/>
        </w:rPr>
        <w:t>3.</w:t>
      </w:r>
      <w:r w:rsidRPr="00374086">
        <w:rPr>
          <w:szCs w:val="22"/>
        </w:rPr>
        <w:tab/>
        <w:t xml:space="preserve">the number of apprentices within the workforce successfully completing their apprenticeships; </w:t>
      </w:r>
    </w:p>
    <w:p w:rsidR="000F716A" w:rsidRPr="00374086" w:rsidRDefault="000F716A" w:rsidP="000F716A">
      <w:pPr>
        <w:keepNext/>
        <w:ind w:left="357" w:hanging="357"/>
        <w:rPr>
          <w:szCs w:val="22"/>
        </w:rPr>
      </w:pPr>
      <w:r w:rsidRPr="00374086">
        <w:rPr>
          <w:szCs w:val="22"/>
        </w:rPr>
        <w:t>4.</w:t>
      </w:r>
      <w:r w:rsidRPr="00374086">
        <w:rPr>
          <w:szCs w:val="22"/>
        </w:rPr>
        <w:tab/>
        <w:t xml:space="preserve">participation in government (federal, state or territory) or commercial training programs designed to help businesses more effectively train their workforce, </w:t>
      </w:r>
      <w:r w:rsidRPr="00374086">
        <w:rPr>
          <w:i/>
          <w:szCs w:val="22"/>
        </w:rPr>
        <w:t>for example</w:t>
      </w:r>
      <w:r w:rsidRPr="00374086">
        <w:rPr>
          <w:szCs w:val="22"/>
        </w:rPr>
        <w:t>:</w:t>
      </w:r>
    </w:p>
    <w:p w:rsidR="000F716A" w:rsidRPr="00374086" w:rsidRDefault="000F716A" w:rsidP="000F716A">
      <w:pPr>
        <w:numPr>
          <w:ilvl w:val="0"/>
          <w:numId w:val="20"/>
        </w:numPr>
        <w:rPr>
          <w:szCs w:val="22"/>
        </w:rPr>
      </w:pPr>
      <w:r w:rsidRPr="00374086">
        <w:rPr>
          <w:szCs w:val="22"/>
        </w:rPr>
        <w:t>the provision of training under the Automotive Training Package or other applicable training package; and</w:t>
      </w:r>
    </w:p>
    <w:p w:rsidR="000F716A" w:rsidRPr="00374086" w:rsidRDefault="000F716A" w:rsidP="000F716A">
      <w:pPr>
        <w:numPr>
          <w:ilvl w:val="0"/>
          <w:numId w:val="20"/>
        </w:numPr>
        <w:spacing w:after="120"/>
        <w:ind w:left="714" w:hanging="357"/>
        <w:rPr>
          <w:szCs w:val="22"/>
        </w:rPr>
      </w:pPr>
      <w:r w:rsidRPr="00374086">
        <w:rPr>
          <w:szCs w:val="22"/>
        </w:rPr>
        <w:t>registered training providers providing flexible on</w:t>
      </w:r>
      <w:r w:rsidR="00C72A74" w:rsidRPr="00374086">
        <w:rPr>
          <w:szCs w:val="22"/>
        </w:rPr>
        <w:noBreakHyphen/>
      </w:r>
      <w:r w:rsidRPr="00374086">
        <w:rPr>
          <w:szCs w:val="22"/>
        </w:rPr>
        <w:t>the</w:t>
      </w:r>
      <w:r w:rsidR="00C72A74" w:rsidRPr="00374086">
        <w:rPr>
          <w:szCs w:val="22"/>
        </w:rPr>
        <w:noBreakHyphen/>
      </w:r>
      <w:r w:rsidRPr="00374086">
        <w:rPr>
          <w:szCs w:val="22"/>
        </w:rPr>
        <w:t>job recognised training;</w:t>
      </w:r>
    </w:p>
    <w:p w:rsidR="000F716A" w:rsidRPr="00374086" w:rsidRDefault="000F716A" w:rsidP="00FF0729">
      <w:pPr>
        <w:keepNext/>
        <w:spacing w:after="120"/>
        <w:ind w:left="357" w:hanging="357"/>
        <w:rPr>
          <w:szCs w:val="22"/>
        </w:rPr>
      </w:pPr>
      <w:r w:rsidRPr="00374086">
        <w:rPr>
          <w:szCs w:val="22"/>
        </w:rPr>
        <w:t>5.</w:t>
      </w:r>
      <w:r w:rsidRPr="00374086">
        <w:rPr>
          <w:szCs w:val="22"/>
        </w:rPr>
        <w:tab/>
        <w:t>improved productivity in the workplace;</w:t>
      </w:r>
    </w:p>
    <w:p w:rsidR="000F716A" w:rsidRPr="00374086" w:rsidRDefault="000F716A" w:rsidP="000F716A">
      <w:pPr>
        <w:keepNext/>
        <w:ind w:left="357" w:hanging="357"/>
        <w:rPr>
          <w:szCs w:val="22"/>
        </w:rPr>
      </w:pPr>
      <w:r w:rsidRPr="00374086">
        <w:rPr>
          <w:szCs w:val="22"/>
        </w:rPr>
        <w:t>6.</w:t>
      </w:r>
      <w:r w:rsidRPr="00374086">
        <w:rPr>
          <w:szCs w:val="22"/>
        </w:rPr>
        <w:tab/>
        <w:t>other activities resulting in the development of the workforce.</w:t>
      </w:r>
    </w:p>
    <w:p w:rsidR="00D86830" w:rsidRPr="00374086" w:rsidRDefault="00D86830" w:rsidP="00955201">
      <w:pPr>
        <w:rPr>
          <w:szCs w:val="22"/>
        </w:rPr>
        <w:sectPr w:rsidR="00D86830" w:rsidRPr="00374086" w:rsidSect="00304F81">
          <w:headerReference w:type="even" r:id="rId34"/>
          <w:headerReference w:type="default" r:id="rId35"/>
          <w:footerReference w:type="even" r:id="rId36"/>
          <w:footerReference w:type="default" r:id="rId37"/>
          <w:headerReference w:type="first" r:id="rId38"/>
          <w:footerReference w:type="first" r:id="rId39"/>
          <w:pgSz w:w="11907" w:h="16839" w:code="9"/>
          <w:pgMar w:top="2092" w:right="1797" w:bottom="1440" w:left="1797" w:header="720" w:footer="709" w:gutter="0"/>
          <w:cols w:space="720"/>
          <w:docGrid w:linePitch="299"/>
        </w:sectPr>
      </w:pPr>
      <w:bookmarkStart w:id="38" w:name="OPCSB_NonAmendSchClausesA4"/>
    </w:p>
    <w:p w:rsidR="00D14D70" w:rsidRPr="00C72A74" w:rsidRDefault="002F064D" w:rsidP="00304F81">
      <w:pPr>
        <w:pStyle w:val="ActHead1"/>
        <w:pageBreakBefore/>
        <w:spacing w:before="120"/>
      </w:pPr>
      <w:bookmarkStart w:id="39" w:name="_Toc359833573"/>
      <w:bookmarkEnd w:id="38"/>
      <w:r w:rsidRPr="00C72A74">
        <w:rPr>
          <w:rStyle w:val="CharChapNo"/>
        </w:rPr>
        <w:lastRenderedPageBreak/>
        <w:t>Schedule</w:t>
      </w:r>
      <w:r w:rsidR="00C72A74" w:rsidRPr="00C72A74">
        <w:rPr>
          <w:rStyle w:val="CharChapNo"/>
        </w:rPr>
        <w:t> </w:t>
      </w:r>
      <w:r w:rsidR="00D14D70" w:rsidRPr="00C72A74">
        <w:rPr>
          <w:rStyle w:val="CharChapNo"/>
        </w:rPr>
        <w:t>2</w:t>
      </w:r>
      <w:r w:rsidRPr="00C72A74">
        <w:t>—</w:t>
      </w:r>
      <w:r w:rsidR="00D14D70" w:rsidRPr="00C72A74">
        <w:rPr>
          <w:rStyle w:val="CharChapText"/>
        </w:rPr>
        <w:t>Investment under ACIS regarded as eligible investment</w:t>
      </w:r>
      <w:r w:rsidR="00182658" w:rsidRPr="00C72A74">
        <w:rPr>
          <w:rStyle w:val="CharChapText"/>
        </w:rPr>
        <w:t xml:space="preserve"> for ATS</w:t>
      </w:r>
      <w:bookmarkEnd w:id="39"/>
    </w:p>
    <w:p w:rsidR="000F716A" w:rsidRPr="00C72A74" w:rsidRDefault="00E93C79" w:rsidP="002F064D">
      <w:pPr>
        <w:pStyle w:val="notemargin"/>
      </w:pPr>
      <w:r w:rsidRPr="00C72A74">
        <w:t>(</w:t>
      </w:r>
      <w:r w:rsidR="000F716A" w:rsidRPr="00C72A74">
        <w:t>section</w:t>
      </w:r>
      <w:r w:rsidR="00D14D70" w:rsidRPr="00C72A74">
        <w:t>s</w:t>
      </w:r>
      <w:r w:rsidR="00C72A74">
        <w:t> </w:t>
      </w:r>
      <w:r w:rsidR="00D14D70" w:rsidRPr="00C72A74">
        <w:t xml:space="preserve">1.3 and </w:t>
      </w:r>
      <w:r w:rsidR="000F716A" w:rsidRPr="00C72A74">
        <w:t>5.</w:t>
      </w:r>
      <w:r w:rsidR="00D14D70" w:rsidRPr="00C72A74">
        <w:t>2</w:t>
      </w:r>
      <w:r w:rsidRPr="00C72A74">
        <w:t>)</w:t>
      </w:r>
    </w:p>
    <w:p w:rsidR="00770DDA" w:rsidRPr="00C72A74" w:rsidRDefault="002F064D" w:rsidP="00770DDA">
      <w:pPr>
        <w:pStyle w:val="Header"/>
      </w:pPr>
      <w:r w:rsidRPr="00C72A74">
        <w:rPr>
          <w:rStyle w:val="CharPartNo"/>
        </w:rPr>
        <w:t xml:space="preserve"> </w:t>
      </w:r>
      <w:r w:rsidRPr="00C72A74">
        <w:rPr>
          <w:rStyle w:val="CharPartText"/>
        </w:rPr>
        <w:t xml:space="preserve"> </w:t>
      </w:r>
    </w:p>
    <w:p w:rsidR="000F716A" w:rsidRPr="00C72A74" w:rsidRDefault="000F716A" w:rsidP="009D77F8">
      <w:pPr>
        <w:pStyle w:val="ActHead5"/>
        <w:ind w:left="0" w:firstLine="0"/>
      </w:pPr>
      <w:bookmarkStart w:id="40" w:name="_Toc359833574"/>
      <w:r w:rsidRPr="00C72A74">
        <w:t>ATS Year 1</w:t>
      </w:r>
      <w:bookmarkEnd w:id="40"/>
    </w:p>
    <w:p w:rsidR="002F064D" w:rsidRPr="00C72A74" w:rsidRDefault="002F064D" w:rsidP="002F064D">
      <w:pPr>
        <w:pStyle w:val="Tabletext"/>
      </w:pPr>
    </w:p>
    <w:tbl>
      <w:tblPr>
        <w:tblW w:w="14152" w:type="dxa"/>
        <w:tblInd w:w="24" w:type="dxa"/>
        <w:tblLook w:val="01E0" w:firstRow="1" w:lastRow="1" w:firstColumn="1" w:lastColumn="1" w:noHBand="0" w:noVBand="0"/>
      </w:tblPr>
      <w:tblGrid>
        <w:gridCol w:w="994"/>
        <w:gridCol w:w="3201"/>
        <w:gridCol w:w="5660"/>
        <w:gridCol w:w="2155"/>
        <w:gridCol w:w="2142"/>
      </w:tblGrid>
      <w:tr w:rsidR="000F716A" w:rsidRPr="009566EC" w:rsidTr="000C3430">
        <w:tc>
          <w:tcPr>
            <w:tcW w:w="994" w:type="dxa"/>
            <w:tcBorders>
              <w:top w:val="single" w:sz="12" w:space="0" w:color="auto"/>
              <w:bottom w:val="single" w:sz="12" w:space="0" w:color="auto"/>
            </w:tcBorders>
            <w:shd w:val="clear" w:color="auto" w:fill="auto"/>
          </w:tcPr>
          <w:p w:rsidR="000F716A" w:rsidRPr="009566EC" w:rsidRDefault="000F716A" w:rsidP="002F064D">
            <w:pPr>
              <w:pStyle w:val="TableHeading"/>
              <w:rPr>
                <w:rFonts w:ascii="Arial" w:hAnsi="Arial" w:cs="Arial"/>
                <w:sz w:val="17"/>
                <w:szCs w:val="17"/>
              </w:rPr>
            </w:pPr>
            <w:bookmarkStart w:id="41" w:name="BK_S5P21L6C1"/>
          </w:p>
        </w:tc>
        <w:tc>
          <w:tcPr>
            <w:tcW w:w="3201" w:type="dxa"/>
            <w:tcBorders>
              <w:top w:val="single" w:sz="12" w:space="0" w:color="auto"/>
              <w:bottom w:val="single" w:sz="12" w:space="0" w:color="auto"/>
            </w:tcBorders>
            <w:shd w:val="clear" w:color="auto" w:fill="auto"/>
          </w:tcPr>
          <w:p w:rsidR="000F716A" w:rsidRPr="009566EC" w:rsidRDefault="00D14D70" w:rsidP="002F064D">
            <w:pPr>
              <w:pStyle w:val="TableHeading"/>
              <w:rPr>
                <w:rFonts w:ascii="Arial" w:hAnsi="Arial" w:cs="Arial"/>
                <w:sz w:val="17"/>
                <w:szCs w:val="17"/>
              </w:rPr>
            </w:pPr>
            <w:r w:rsidRPr="009566EC">
              <w:rPr>
                <w:rFonts w:ascii="Arial" w:hAnsi="Arial" w:cs="Arial"/>
                <w:sz w:val="17"/>
                <w:szCs w:val="17"/>
              </w:rPr>
              <w:t>R</w:t>
            </w:r>
            <w:r w:rsidR="000F716A" w:rsidRPr="009566EC">
              <w:rPr>
                <w:rFonts w:ascii="Arial" w:hAnsi="Arial" w:cs="Arial"/>
                <w:sz w:val="17"/>
                <w:szCs w:val="17"/>
              </w:rPr>
              <w:t>egistration quarter</w:t>
            </w:r>
            <w:r w:rsidRPr="009566EC">
              <w:rPr>
                <w:rFonts w:ascii="Arial" w:hAnsi="Arial" w:cs="Arial"/>
                <w:sz w:val="17"/>
                <w:szCs w:val="17"/>
              </w:rPr>
              <w:t xml:space="preserve"> for ACIS</w:t>
            </w:r>
          </w:p>
        </w:tc>
        <w:tc>
          <w:tcPr>
            <w:tcW w:w="5660" w:type="dxa"/>
            <w:tcBorders>
              <w:top w:val="single" w:sz="12" w:space="0" w:color="auto"/>
              <w:bottom w:val="single" w:sz="12" w:space="0" w:color="auto"/>
            </w:tcBorders>
            <w:shd w:val="clear" w:color="auto" w:fill="auto"/>
          </w:tcPr>
          <w:p w:rsidR="000F716A" w:rsidRPr="009566EC" w:rsidRDefault="000F716A" w:rsidP="002F064D">
            <w:pPr>
              <w:pStyle w:val="TableHeading"/>
              <w:rPr>
                <w:rFonts w:ascii="Arial" w:hAnsi="Arial" w:cs="Arial"/>
                <w:sz w:val="17"/>
                <w:szCs w:val="17"/>
              </w:rPr>
            </w:pPr>
            <w:r w:rsidRPr="009566EC">
              <w:rPr>
                <w:rFonts w:ascii="Arial" w:hAnsi="Arial" w:cs="Arial"/>
                <w:sz w:val="17"/>
                <w:szCs w:val="17"/>
              </w:rPr>
              <w:t xml:space="preserve">The period for which investment </w:t>
            </w:r>
            <w:r w:rsidR="00D14D70" w:rsidRPr="009566EC">
              <w:rPr>
                <w:rFonts w:ascii="Arial" w:hAnsi="Arial" w:cs="Arial"/>
                <w:sz w:val="17"/>
                <w:szCs w:val="17"/>
              </w:rPr>
              <w:t xml:space="preserve">under ACIS </w:t>
            </w:r>
            <w:r w:rsidRPr="009566EC">
              <w:rPr>
                <w:rFonts w:ascii="Arial" w:hAnsi="Arial" w:cs="Arial"/>
                <w:sz w:val="17"/>
                <w:szCs w:val="17"/>
              </w:rPr>
              <w:t xml:space="preserve">is to be regarded as </w:t>
            </w:r>
            <w:r w:rsidR="00D14D70" w:rsidRPr="009566EC">
              <w:rPr>
                <w:rFonts w:ascii="Arial" w:hAnsi="Arial" w:cs="Arial"/>
                <w:sz w:val="17"/>
                <w:szCs w:val="17"/>
              </w:rPr>
              <w:t xml:space="preserve">eligible </w:t>
            </w:r>
            <w:r w:rsidRPr="009566EC">
              <w:rPr>
                <w:rFonts w:ascii="Arial" w:hAnsi="Arial" w:cs="Arial"/>
                <w:sz w:val="17"/>
                <w:szCs w:val="17"/>
              </w:rPr>
              <w:t>investment for working out unmodulated investment amount for: MVPs under section</w:t>
            </w:r>
            <w:r w:rsidR="00C72A74" w:rsidRPr="009566EC">
              <w:rPr>
                <w:rFonts w:ascii="Arial" w:hAnsi="Arial" w:cs="Arial"/>
                <w:sz w:val="17"/>
                <w:szCs w:val="17"/>
              </w:rPr>
              <w:t> </w:t>
            </w:r>
            <w:r w:rsidRPr="009566EC">
              <w:rPr>
                <w:rFonts w:ascii="Arial" w:hAnsi="Arial" w:cs="Arial"/>
                <w:sz w:val="17"/>
                <w:szCs w:val="17"/>
              </w:rPr>
              <w:t>2.2; and non</w:t>
            </w:r>
            <w:r w:rsidR="00C72A74" w:rsidRPr="009566EC">
              <w:rPr>
                <w:rFonts w:ascii="Arial" w:hAnsi="Arial" w:cs="Arial"/>
                <w:sz w:val="17"/>
                <w:szCs w:val="17"/>
              </w:rPr>
              <w:noBreakHyphen/>
            </w:r>
            <w:r w:rsidRPr="009566EC">
              <w:rPr>
                <w:rFonts w:ascii="Arial" w:hAnsi="Arial" w:cs="Arial"/>
                <w:sz w:val="17"/>
                <w:szCs w:val="17"/>
              </w:rPr>
              <w:t>MVPs under section</w:t>
            </w:r>
            <w:r w:rsidR="00C72A74" w:rsidRPr="009566EC">
              <w:rPr>
                <w:rFonts w:ascii="Arial" w:hAnsi="Arial" w:cs="Arial"/>
                <w:sz w:val="17"/>
                <w:szCs w:val="17"/>
              </w:rPr>
              <w:t> </w:t>
            </w:r>
            <w:r w:rsidRPr="009566EC">
              <w:rPr>
                <w:rFonts w:ascii="Arial" w:hAnsi="Arial" w:cs="Arial"/>
                <w:sz w:val="17"/>
                <w:szCs w:val="17"/>
              </w:rPr>
              <w:t xml:space="preserve">2.3 </w:t>
            </w:r>
          </w:p>
        </w:tc>
        <w:tc>
          <w:tcPr>
            <w:tcW w:w="2155" w:type="dxa"/>
            <w:tcBorders>
              <w:top w:val="single" w:sz="12" w:space="0" w:color="auto"/>
              <w:bottom w:val="single" w:sz="12" w:space="0" w:color="auto"/>
            </w:tcBorders>
            <w:shd w:val="clear" w:color="auto" w:fill="auto"/>
          </w:tcPr>
          <w:p w:rsidR="000F716A" w:rsidRPr="009566EC" w:rsidRDefault="000F716A" w:rsidP="002F064D">
            <w:pPr>
              <w:pStyle w:val="TableHeading"/>
              <w:rPr>
                <w:rFonts w:ascii="Arial" w:hAnsi="Arial" w:cs="Arial"/>
                <w:sz w:val="17"/>
                <w:szCs w:val="17"/>
              </w:rPr>
            </w:pPr>
            <w:r w:rsidRPr="009566EC">
              <w:rPr>
                <w:rFonts w:ascii="Arial" w:hAnsi="Arial" w:cs="Arial"/>
                <w:sz w:val="17"/>
                <w:szCs w:val="17"/>
              </w:rPr>
              <w:t xml:space="preserve">No. of quarters </w:t>
            </w:r>
            <w:r w:rsidR="00D14D70" w:rsidRPr="009566EC">
              <w:rPr>
                <w:rFonts w:ascii="Arial" w:hAnsi="Arial" w:cs="Arial"/>
                <w:sz w:val="17"/>
                <w:szCs w:val="17"/>
              </w:rPr>
              <w:t xml:space="preserve">under ACIS </w:t>
            </w:r>
            <w:r w:rsidRPr="009566EC">
              <w:rPr>
                <w:rFonts w:ascii="Arial" w:hAnsi="Arial" w:cs="Arial"/>
                <w:sz w:val="17"/>
                <w:szCs w:val="17"/>
              </w:rPr>
              <w:t xml:space="preserve">to be included in </w:t>
            </w:r>
            <w:r w:rsidRPr="009566EC">
              <w:rPr>
                <w:rFonts w:ascii="Arial" w:hAnsi="Arial" w:cs="Arial"/>
                <w:i/>
                <w:sz w:val="17"/>
                <w:szCs w:val="17"/>
              </w:rPr>
              <w:t>RQ</w:t>
            </w:r>
            <w:r w:rsidR="00E93C79" w:rsidRPr="009566EC">
              <w:rPr>
                <w:rFonts w:ascii="Arial" w:hAnsi="Arial" w:cs="Arial"/>
                <w:sz w:val="17"/>
                <w:szCs w:val="17"/>
              </w:rPr>
              <w:t xml:space="preserve"> in sections</w:t>
            </w:r>
            <w:r w:rsidR="00C72A74" w:rsidRPr="009566EC">
              <w:rPr>
                <w:rFonts w:ascii="Arial" w:hAnsi="Arial" w:cs="Arial"/>
                <w:sz w:val="17"/>
                <w:szCs w:val="17"/>
              </w:rPr>
              <w:t> </w:t>
            </w:r>
            <w:r w:rsidR="00E93C79" w:rsidRPr="009566EC">
              <w:rPr>
                <w:rFonts w:ascii="Arial" w:hAnsi="Arial" w:cs="Arial"/>
                <w:sz w:val="17"/>
                <w:szCs w:val="17"/>
              </w:rPr>
              <w:t>2.2 and </w:t>
            </w:r>
            <w:r w:rsidRPr="009566EC">
              <w:rPr>
                <w:rFonts w:ascii="Arial" w:hAnsi="Arial" w:cs="Arial"/>
                <w:sz w:val="17"/>
                <w:szCs w:val="17"/>
              </w:rPr>
              <w:t>2.3</w:t>
            </w:r>
          </w:p>
        </w:tc>
        <w:tc>
          <w:tcPr>
            <w:tcW w:w="2142" w:type="dxa"/>
            <w:tcBorders>
              <w:top w:val="single" w:sz="12" w:space="0" w:color="auto"/>
              <w:bottom w:val="single" w:sz="12" w:space="0" w:color="auto"/>
            </w:tcBorders>
            <w:shd w:val="clear" w:color="auto" w:fill="auto"/>
          </w:tcPr>
          <w:p w:rsidR="000F716A" w:rsidRPr="009566EC" w:rsidRDefault="000F716A" w:rsidP="002F064D">
            <w:pPr>
              <w:pStyle w:val="TableHeading"/>
              <w:rPr>
                <w:rFonts w:ascii="Arial" w:hAnsi="Arial" w:cs="Arial"/>
                <w:sz w:val="17"/>
                <w:szCs w:val="17"/>
              </w:rPr>
            </w:pPr>
            <w:r w:rsidRPr="009566EC">
              <w:rPr>
                <w:rFonts w:ascii="Arial" w:hAnsi="Arial" w:cs="Arial"/>
                <w:sz w:val="17"/>
                <w:szCs w:val="17"/>
              </w:rPr>
              <w:t xml:space="preserve">No. of quarters </w:t>
            </w:r>
            <w:r w:rsidR="00D14D70" w:rsidRPr="009566EC">
              <w:rPr>
                <w:rFonts w:ascii="Arial" w:hAnsi="Arial" w:cs="Arial"/>
                <w:sz w:val="17"/>
                <w:szCs w:val="17"/>
              </w:rPr>
              <w:t xml:space="preserve">under ATS </w:t>
            </w:r>
            <w:r w:rsidRPr="009566EC">
              <w:rPr>
                <w:rFonts w:ascii="Arial" w:hAnsi="Arial" w:cs="Arial"/>
                <w:sz w:val="17"/>
                <w:szCs w:val="17"/>
              </w:rPr>
              <w:t xml:space="preserve">to be included in </w:t>
            </w:r>
            <w:r w:rsidRPr="009566EC">
              <w:rPr>
                <w:rFonts w:ascii="Arial" w:hAnsi="Arial" w:cs="Arial"/>
                <w:i/>
                <w:sz w:val="17"/>
                <w:szCs w:val="17"/>
              </w:rPr>
              <w:t>RQ</w:t>
            </w:r>
            <w:r w:rsidR="00E93C79" w:rsidRPr="009566EC">
              <w:rPr>
                <w:rFonts w:ascii="Arial" w:hAnsi="Arial" w:cs="Arial"/>
                <w:sz w:val="17"/>
                <w:szCs w:val="17"/>
              </w:rPr>
              <w:t xml:space="preserve"> in sections</w:t>
            </w:r>
            <w:r w:rsidR="00C72A74" w:rsidRPr="009566EC">
              <w:rPr>
                <w:rFonts w:ascii="Arial" w:hAnsi="Arial" w:cs="Arial"/>
                <w:sz w:val="17"/>
                <w:szCs w:val="17"/>
              </w:rPr>
              <w:t> </w:t>
            </w:r>
            <w:r w:rsidR="00E93C79" w:rsidRPr="009566EC">
              <w:rPr>
                <w:rFonts w:ascii="Arial" w:hAnsi="Arial" w:cs="Arial"/>
                <w:sz w:val="17"/>
                <w:szCs w:val="17"/>
              </w:rPr>
              <w:t>2.2 and </w:t>
            </w:r>
            <w:r w:rsidRPr="009566EC">
              <w:rPr>
                <w:rFonts w:ascii="Arial" w:hAnsi="Arial" w:cs="Arial"/>
                <w:sz w:val="17"/>
                <w:szCs w:val="17"/>
              </w:rPr>
              <w:t>2.3</w:t>
            </w:r>
          </w:p>
        </w:tc>
      </w:tr>
      <w:tr w:rsidR="000F716A" w:rsidRPr="00C72A74" w:rsidTr="000C3430">
        <w:trPr>
          <w:trHeight w:val="104"/>
        </w:trPr>
        <w:tc>
          <w:tcPr>
            <w:tcW w:w="994" w:type="dxa"/>
            <w:tcBorders>
              <w:top w:val="single" w:sz="12" w:space="0" w:color="auto"/>
            </w:tcBorders>
            <w:shd w:val="clear" w:color="auto" w:fill="auto"/>
          </w:tcPr>
          <w:p w:rsidR="000F716A" w:rsidRPr="00C72A74" w:rsidRDefault="000F716A" w:rsidP="005B0D2C">
            <w:pPr>
              <w:pStyle w:val="Tabletext"/>
              <w:spacing w:beforeLines="60" w:before="144"/>
            </w:pPr>
            <w:r w:rsidRPr="00C72A74">
              <w:t>Quarter 1</w:t>
            </w:r>
          </w:p>
        </w:tc>
        <w:tc>
          <w:tcPr>
            <w:tcW w:w="3201" w:type="dxa"/>
            <w:tcBorders>
              <w:top w:val="single" w:sz="12" w:space="0" w:color="auto"/>
            </w:tcBorders>
            <w:shd w:val="clear" w:color="auto" w:fill="auto"/>
          </w:tcPr>
          <w:p w:rsidR="000F716A" w:rsidRPr="00C72A74" w:rsidRDefault="000F716A" w:rsidP="005B0D2C">
            <w:pPr>
              <w:pStyle w:val="Tabletext"/>
              <w:spacing w:beforeLines="60" w:before="144"/>
            </w:pPr>
            <w:r w:rsidRPr="00C72A74">
              <w:t>01/10/2010</w:t>
            </w:r>
            <w:r w:rsidR="00E93C79" w:rsidRPr="00C72A74">
              <w:t>–</w:t>
            </w:r>
            <w:r w:rsidRPr="00C72A74">
              <w:t>31/12/2010</w:t>
            </w:r>
          </w:p>
        </w:tc>
        <w:tc>
          <w:tcPr>
            <w:tcW w:w="5660" w:type="dxa"/>
            <w:tcBorders>
              <w:top w:val="single" w:sz="12" w:space="0" w:color="auto"/>
            </w:tcBorders>
            <w:shd w:val="clear" w:color="auto" w:fill="auto"/>
          </w:tcPr>
          <w:p w:rsidR="000F716A" w:rsidRPr="00C72A74" w:rsidRDefault="000F716A" w:rsidP="005B0D2C">
            <w:pPr>
              <w:pStyle w:val="Tabletext"/>
              <w:spacing w:beforeLines="60" w:before="144"/>
            </w:pPr>
            <w:r w:rsidRPr="00C72A74">
              <w:t>01/10/2008–31/12/2010</w:t>
            </w:r>
          </w:p>
        </w:tc>
        <w:tc>
          <w:tcPr>
            <w:tcW w:w="2155" w:type="dxa"/>
            <w:tcBorders>
              <w:top w:val="single" w:sz="12" w:space="0" w:color="auto"/>
            </w:tcBorders>
            <w:shd w:val="clear" w:color="auto" w:fill="auto"/>
          </w:tcPr>
          <w:p w:rsidR="000F716A" w:rsidRPr="00C72A74" w:rsidRDefault="000F716A" w:rsidP="005B0D2C">
            <w:pPr>
              <w:pStyle w:val="Tabletext"/>
              <w:spacing w:beforeLines="60" w:before="144"/>
            </w:pPr>
            <w:r w:rsidRPr="00C72A74">
              <w:t>9</w:t>
            </w:r>
          </w:p>
        </w:tc>
        <w:tc>
          <w:tcPr>
            <w:tcW w:w="2142" w:type="dxa"/>
            <w:tcBorders>
              <w:top w:val="single" w:sz="12" w:space="0" w:color="auto"/>
            </w:tcBorders>
            <w:shd w:val="clear" w:color="auto" w:fill="auto"/>
          </w:tcPr>
          <w:p w:rsidR="000F716A" w:rsidRPr="00C72A74" w:rsidRDefault="000F716A" w:rsidP="005B0D2C">
            <w:pPr>
              <w:pStyle w:val="Tabletext"/>
              <w:spacing w:beforeLines="60" w:before="144"/>
            </w:pPr>
            <w:r w:rsidRPr="00C72A74">
              <w:t>0</w:t>
            </w:r>
          </w:p>
        </w:tc>
      </w:tr>
      <w:tr w:rsidR="000F716A" w:rsidRPr="00C72A74" w:rsidTr="009566EC">
        <w:tc>
          <w:tcPr>
            <w:tcW w:w="994" w:type="dxa"/>
            <w:shd w:val="clear" w:color="auto" w:fill="auto"/>
          </w:tcPr>
          <w:p w:rsidR="000F716A" w:rsidRPr="00C72A74" w:rsidRDefault="000F716A" w:rsidP="005B0D2C">
            <w:pPr>
              <w:spacing w:beforeLines="60" w:before="144"/>
              <w:rPr>
                <w:rFonts w:cs="Times New Roman"/>
                <w:sz w:val="20"/>
              </w:rPr>
            </w:pPr>
          </w:p>
        </w:tc>
        <w:tc>
          <w:tcPr>
            <w:tcW w:w="3201" w:type="dxa"/>
            <w:shd w:val="clear" w:color="auto" w:fill="auto"/>
          </w:tcPr>
          <w:p w:rsidR="000F716A" w:rsidRPr="00C72A74" w:rsidRDefault="000F716A" w:rsidP="005B0D2C">
            <w:pPr>
              <w:pStyle w:val="Tabletext"/>
              <w:spacing w:beforeLines="60" w:before="144"/>
            </w:pPr>
            <w:r w:rsidRPr="00C72A74">
              <w:t>01/07/2010</w:t>
            </w:r>
            <w:r w:rsidR="00E93C79" w:rsidRPr="00C72A74">
              <w:t>–</w:t>
            </w:r>
            <w:r w:rsidRPr="00C72A74">
              <w:t>30/09/2010</w:t>
            </w:r>
          </w:p>
        </w:tc>
        <w:tc>
          <w:tcPr>
            <w:tcW w:w="5660" w:type="dxa"/>
            <w:shd w:val="clear" w:color="auto" w:fill="auto"/>
          </w:tcPr>
          <w:p w:rsidR="000F716A" w:rsidRPr="00C72A74" w:rsidRDefault="000F716A" w:rsidP="005B0D2C">
            <w:pPr>
              <w:pStyle w:val="Tabletext"/>
              <w:spacing w:beforeLines="60" w:before="144"/>
            </w:pPr>
            <w:r w:rsidRPr="00C72A74">
              <w:t>01/07/2008–31/12/2010</w:t>
            </w:r>
          </w:p>
        </w:tc>
        <w:tc>
          <w:tcPr>
            <w:tcW w:w="2155" w:type="dxa"/>
            <w:shd w:val="clear" w:color="auto" w:fill="auto"/>
          </w:tcPr>
          <w:p w:rsidR="000F716A" w:rsidRPr="00C72A74" w:rsidRDefault="000F716A" w:rsidP="005B0D2C">
            <w:pPr>
              <w:pStyle w:val="Tabletext"/>
              <w:spacing w:beforeLines="60" w:before="144"/>
            </w:pPr>
            <w:r w:rsidRPr="00C72A74">
              <w:t>10</w:t>
            </w:r>
          </w:p>
        </w:tc>
        <w:tc>
          <w:tcPr>
            <w:tcW w:w="2142" w:type="dxa"/>
            <w:shd w:val="clear" w:color="auto" w:fill="auto"/>
          </w:tcPr>
          <w:p w:rsidR="000F716A" w:rsidRPr="00C72A74" w:rsidRDefault="000F716A" w:rsidP="005B0D2C">
            <w:pPr>
              <w:pStyle w:val="Tabletext"/>
              <w:spacing w:beforeLines="60" w:before="144"/>
            </w:pPr>
            <w:r w:rsidRPr="00C72A74">
              <w:t>0</w:t>
            </w:r>
          </w:p>
        </w:tc>
      </w:tr>
      <w:tr w:rsidR="000F716A" w:rsidRPr="00C72A74" w:rsidTr="009566EC">
        <w:tc>
          <w:tcPr>
            <w:tcW w:w="994" w:type="dxa"/>
            <w:shd w:val="clear" w:color="auto" w:fill="auto"/>
          </w:tcPr>
          <w:p w:rsidR="000F716A" w:rsidRPr="00C72A74" w:rsidRDefault="000F716A" w:rsidP="005B0D2C">
            <w:pPr>
              <w:spacing w:beforeLines="60" w:before="144"/>
              <w:rPr>
                <w:rFonts w:cs="Times New Roman"/>
                <w:sz w:val="20"/>
              </w:rPr>
            </w:pPr>
          </w:p>
        </w:tc>
        <w:tc>
          <w:tcPr>
            <w:tcW w:w="3201" w:type="dxa"/>
            <w:shd w:val="clear" w:color="auto" w:fill="auto"/>
          </w:tcPr>
          <w:p w:rsidR="000F716A" w:rsidRPr="00C72A74" w:rsidRDefault="000F716A" w:rsidP="005B0D2C">
            <w:pPr>
              <w:pStyle w:val="Tabletext"/>
              <w:spacing w:beforeLines="60" w:before="144"/>
            </w:pPr>
            <w:r w:rsidRPr="00C72A74">
              <w:t>01/04/2010</w:t>
            </w:r>
            <w:r w:rsidR="00E93C79" w:rsidRPr="00C72A74">
              <w:t>–</w:t>
            </w:r>
            <w:r w:rsidRPr="00C72A74">
              <w:t>30/06/2010 or earlier</w:t>
            </w:r>
          </w:p>
        </w:tc>
        <w:tc>
          <w:tcPr>
            <w:tcW w:w="5660" w:type="dxa"/>
            <w:shd w:val="clear" w:color="auto" w:fill="auto"/>
          </w:tcPr>
          <w:p w:rsidR="000F716A" w:rsidRPr="00C72A74" w:rsidRDefault="000F716A" w:rsidP="005B0D2C">
            <w:pPr>
              <w:pStyle w:val="Tabletext"/>
              <w:spacing w:beforeLines="60" w:before="144"/>
            </w:pPr>
            <w:r w:rsidRPr="00C72A74">
              <w:t>01/04/2008–31/12/2010</w:t>
            </w:r>
          </w:p>
        </w:tc>
        <w:tc>
          <w:tcPr>
            <w:tcW w:w="2155" w:type="dxa"/>
            <w:shd w:val="clear" w:color="auto" w:fill="auto"/>
          </w:tcPr>
          <w:p w:rsidR="000F716A" w:rsidRPr="00C72A74" w:rsidRDefault="000F716A" w:rsidP="005B0D2C">
            <w:pPr>
              <w:pStyle w:val="Tabletext"/>
              <w:spacing w:beforeLines="60" w:before="144"/>
            </w:pPr>
            <w:r w:rsidRPr="00C72A74">
              <w:t>11</w:t>
            </w:r>
          </w:p>
        </w:tc>
        <w:tc>
          <w:tcPr>
            <w:tcW w:w="2142" w:type="dxa"/>
            <w:shd w:val="clear" w:color="auto" w:fill="auto"/>
          </w:tcPr>
          <w:p w:rsidR="000F716A" w:rsidRPr="00C72A74" w:rsidRDefault="000F716A" w:rsidP="005B0D2C">
            <w:pPr>
              <w:pStyle w:val="Tabletext"/>
              <w:spacing w:beforeLines="60" w:before="144"/>
            </w:pPr>
            <w:r w:rsidRPr="00C72A74">
              <w:t>0</w:t>
            </w:r>
          </w:p>
        </w:tc>
      </w:tr>
      <w:tr w:rsidR="000F716A" w:rsidRPr="00C72A74" w:rsidTr="009566EC">
        <w:tc>
          <w:tcPr>
            <w:tcW w:w="994" w:type="dxa"/>
            <w:shd w:val="clear" w:color="auto" w:fill="auto"/>
          </w:tcPr>
          <w:p w:rsidR="000F716A" w:rsidRPr="00C72A74" w:rsidRDefault="000F716A" w:rsidP="005B0D2C">
            <w:pPr>
              <w:pStyle w:val="Tabletext"/>
              <w:spacing w:beforeLines="60" w:before="144"/>
            </w:pPr>
            <w:r w:rsidRPr="00C72A74">
              <w:t>Quarter 2</w:t>
            </w:r>
          </w:p>
        </w:tc>
        <w:tc>
          <w:tcPr>
            <w:tcW w:w="3201" w:type="dxa"/>
            <w:shd w:val="clear" w:color="auto" w:fill="auto"/>
          </w:tcPr>
          <w:p w:rsidR="000F716A" w:rsidRPr="00C72A74" w:rsidRDefault="000F716A" w:rsidP="005B0D2C">
            <w:pPr>
              <w:pStyle w:val="Tabletext"/>
              <w:spacing w:beforeLines="60" w:before="144"/>
            </w:pPr>
            <w:r w:rsidRPr="00C72A74">
              <w:t>01/10/2010</w:t>
            </w:r>
            <w:r w:rsidR="00E93C79" w:rsidRPr="00C72A74">
              <w:t>–</w:t>
            </w:r>
            <w:r w:rsidRPr="00C72A74">
              <w:t>31/12/2010</w:t>
            </w:r>
          </w:p>
        </w:tc>
        <w:tc>
          <w:tcPr>
            <w:tcW w:w="5660" w:type="dxa"/>
            <w:shd w:val="clear" w:color="auto" w:fill="auto"/>
          </w:tcPr>
          <w:p w:rsidR="000F716A" w:rsidRPr="00C72A74" w:rsidRDefault="000F716A" w:rsidP="005B0D2C">
            <w:pPr>
              <w:pStyle w:val="Tabletext"/>
              <w:spacing w:beforeLines="60" w:before="144"/>
            </w:pPr>
            <w:r w:rsidRPr="00C72A74">
              <w:t>01/10/2008–31/12/2010</w:t>
            </w:r>
          </w:p>
        </w:tc>
        <w:tc>
          <w:tcPr>
            <w:tcW w:w="2155" w:type="dxa"/>
            <w:shd w:val="clear" w:color="auto" w:fill="auto"/>
          </w:tcPr>
          <w:p w:rsidR="000F716A" w:rsidRPr="00C72A74" w:rsidRDefault="000F716A" w:rsidP="005B0D2C">
            <w:pPr>
              <w:pStyle w:val="Tabletext"/>
              <w:spacing w:beforeLines="60" w:before="144"/>
            </w:pPr>
            <w:r w:rsidRPr="00C72A74">
              <w:t>9</w:t>
            </w:r>
          </w:p>
        </w:tc>
        <w:tc>
          <w:tcPr>
            <w:tcW w:w="2142" w:type="dxa"/>
            <w:shd w:val="clear" w:color="auto" w:fill="auto"/>
          </w:tcPr>
          <w:p w:rsidR="000F716A" w:rsidRPr="00C72A74" w:rsidRDefault="000F716A" w:rsidP="005B0D2C">
            <w:pPr>
              <w:pStyle w:val="Tabletext"/>
              <w:spacing w:beforeLines="60" w:before="144"/>
            </w:pPr>
            <w:r w:rsidRPr="00C72A74">
              <w:t>1</w:t>
            </w:r>
          </w:p>
        </w:tc>
      </w:tr>
      <w:tr w:rsidR="000F716A" w:rsidRPr="00C72A74" w:rsidTr="009566EC">
        <w:tc>
          <w:tcPr>
            <w:tcW w:w="994" w:type="dxa"/>
            <w:shd w:val="clear" w:color="auto" w:fill="auto"/>
          </w:tcPr>
          <w:p w:rsidR="000F716A" w:rsidRPr="00C72A74" w:rsidRDefault="000F716A" w:rsidP="005B0D2C">
            <w:pPr>
              <w:spacing w:beforeLines="60" w:before="144"/>
              <w:rPr>
                <w:rFonts w:cs="Times New Roman"/>
                <w:sz w:val="20"/>
              </w:rPr>
            </w:pPr>
          </w:p>
        </w:tc>
        <w:tc>
          <w:tcPr>
            <w:tcW w:w="3201" w:type="dxa"/>
            <w:shd w:val="clear" w:color="auto" w:fill="auto"/>
          </w:tcPr>
          <w:p w:rsidR="000F716A" w:rsidRPr="00C72A74" w:rsidRDefault="000F716A" w:rsidP="005B0D2C">
            <w:pPr>
              <w:pStyle w:val="Tabletext"/>
              <w:spacing w:beforeLines="60" w:before="144"/>
            </w:pPr>
            <w:r w:rsidRPr="00C72A74">
              <w:t>01/07/2010</w:t>
            </w:r>
            <w:r w:rsidR="00E93C79" w:rsidRPr="00C72A74">
              <w:t>–</w:t>
            </w:r>
            <w:r w:rsidRPr="00C72A74">
              <w:t>30/09/2010</w:t>
            </w:r>
          </w:p>
        </w:tc>
        <w:tc>
          <w:tcPr>
            <w:tcW w:w="5660" w:type="dxa"/>
            <w:shd w:val="clear" w:color="auto" w:fill="auto"/>
          </w:tcPr>
          <w:p w:rsidR="000F716A" w:rsidRPr="00C72A74" w:rsidRDefault="000F716A" w:rsidP="005B0D2C">
            <w:pPr>
              <w:pStyle w:val="Tabletext"/>
              <w:spacing w:beforeLines="60" w:before="144"/>
            </w:pPr>
            <w:r w:rsidRPr="00C72A74">
              <w:t>01/07/2008–31/12/2010</w:t>
            </w:r>
          </w:p>
        </w:tc>
        <w:tc>
          <w:tcPr>
            <w:tcW w:w="2155" w:type="dxa"/>
            <w:shd w:val="clear" w:color="auto" w:fill="auto"/>
          </w:tcPr>
          <w:p w:rsidR="000F716A" w:rsidRPr="00C72A74" w:rsidRDefault="000F716A" w:rsidP="005B0D2C">
            <w:pPr>
              <w:pStyle w:val="Tabletext"/>
              <w:spacing w:beforeLines="60" w:before="144"/>
            </w:pPr>
            <w:r w:rsidRPr="00C72A74">
              <w:t>10</w:t>
            </w:r>
          </w:p>
        </w:tc>
        <w:tc>
          <w:tcPr>
            <w:tcW w:w="2142" w:type="dxa"/>
            <w:shd w:val="clear" w:color="auto" w:fill="auto"/>
          </w:tcPr>
          <w:p w:rsidR="000F716A" w:rsidRPr="00C72A74" w:rsidRDefault="000F716A" w:rsidP="005B0D2C">
            <w:pPr>
              <w:pStyle w:val="Tabletext"/>
              <w:spacing w:beforeLines="60" w:before="144"/>
            </w:pPr>
            <w:r w:rsidRPr="00C72A74">
              <w:t>1</w:t>
            </w:r>
          </w:p>
        </w:tc>
      </w:tr>
      <w:tr w:rsidR="000F716A" w:rsidRPr="00C72A74" w:rsidTr="009566EC">
        <w:tc>
          <w:tcPr>
            <w:tcW w:w="994" w:type="dxa"/>
            <w:shd w:val="clear" w:color="auto" w:fill="auto"/>
          </w:tcPr>
          <w:p w:rsidR="000F716A" w:rsidRPr="00C72A74" w:rsidRDefault="000F716A" w:rsidP="005B0D2C">
            <w:pPr>
              <w:spacing w:beforeLines="60" w:before="144"/>
              <w:rPr>
                <w:rFonts w:cs="Times New Roman"/>
                <w:sz w:val="20"/>
              </w:rPr>
            </w:pPr>
          </w:p>
        </w:tc>
        <w:tc>
          <w:tcPr>
            <w:tcW w:w="3201" w:type="dxa"/>
            <w:shd w:val="clear" w:color="auto" w:fill="auto"/>
          </w:tcPr>
          <w:p w:rsidR="000F716A" w:rsidRPr="00C72A74" w:rsidRDefault="000F716A" w:rsidP="005B0D2C">
            <w:pPr>
              <w:pStyle w:val="Tabletext"/>
              <w:spacing w:beforeLines="60" w:before="144"/>
            </w:pPr>
            <w:r w:rsidRPr="00C72A74">
              <w:t>01/04/2010</w:t>
            </w:r>
            <w:r w:rsidR="00E93C79" w:rsidRPr="00C72A74">
              <w:t>–</w:t>
            </w:r>
            <w:r w:rsidRPr="00C72A74">
              <w:t>30/06/2010 or earlier</w:t>
            </w:r>
          </w:p>
        </w:tc>
        <w:tc>
          <w:tcPr>
            <w:tcW w:w="5660" w:type="dxa"/>
            <w:shd w:val="clear" w:color="auto" w:fill="auto"/>
          </w:tcPr>
          <w:p w:rsidR="000F716A" w:rsidRPr="00C72A74" w:rsidRDefault="000F716A" w:rsidP="005B0D2C">
            <w:pPr>
              <w:pStyle w:val="Tabletext"/>
              <w:spacing w:beforeLines="60" w:before="144"/>
            </w:pPr>
            <w:r w:rsidRPr="00C72A74">
              <w:t>01/07/2008–31/12/2010</w:t>
            </w:r>
          </w:p>
        </w:tc>
        <w:tc>
          <w:tcPr>
            <w:tcW w:w="2155" w:type="dxa"/>
            <w:shd w:val="clear" w:color="auto" w:fill="auto"/>
          </w:tcPr>
          <w:p w:rsidR="000F716A" w:rsidRPr="00C72A74" w:rsidRDefault="000F716A" w:rsidP="005B0D2C">
            <w:pPr>
              <w:pStyle w:val="Tabletext"/>
              <w:spacing w:beforeLines="60" w:before="144"/>
            </w:pPr>
            <w:r w:rsidRPr="00C72A74">
              <w:t>10</w:t>
            </w:r>
          </w:p>
        </w:tc>
        <w:tc>
          <w:tcPr>
            <w:tcW w:w="2142" w:type="dxa"/>
            <w:shd w:val="clear" w:color="auto" w:fill="auto"/>
          </w:tcPr>
          <w:p w:rsidR="000F716A" w:rsidRPr="00C72A74" w:rsidRDefault="000F716A" w:rsidP="005B0D2C">
            <w:pPr>
              <w:pStyle w:val="Tabletext"/>
              <w:spacing w:beforeLines="60" w:before="144"/>
            </w:pPr>
            <w:r w:rsidRPr="00C72A74">
              <w:t>1</w:t>
            </w:r>
          </w:p>
        </w:tc>
      </w:tr>
      <w:tr w:rsidR="000F716A" w:rsidRPr="00C72A74" w:rsidTr="009566EC">
        <w:tc>
          <w:tcPr>
            <w:tcW w:w="994" w:type="dxa"/>
            <w:shd w:val="clear" w:color="auto" w:fill="auto"/>
          </w:tcPr>
          <w:p w:rsidR="000F716A" w:rsidRPr="00C72A74" w:rsidRDefault="000F716A" w:rsidP="005B0D2C">
            <w:pPr>
              <w:pStyle w:val="Tabletext"/>
              <w:spacing w:beforeLines="60" w:before="144"/>
            </w:pPr>
            <w:r w:rsidRPr="00C72A74">
              <w:t xml:space="preserve">Quarter 3 </w:t>
            </w:r>
          </w:p>
        </w:tc>
        <w:tc>
          <w:tcPr>
            <w:tcW w:w="3201" w:type="dxa"/>
            <w:shd w:val="clear" w:color="auto" w:fill="auto"/>
          </w:tcPr>
          <w:p w:rsidR="000F716A" w:rsidRPr="00C72A74" w:rsidRDefault="000F716A" w:rsidP="005B0D2C">
            <w:pPr>
              <w:pStyle w:val="Tabletext"/>
              <w:spacing w:beforeLines="60" w:before="144"/>
            </w:pPr>
            <w:r w:rsidRPr="00C72A74">
              <w:t>01/10/2010</w:t>
            </w:r>
            <w:r w:rsidR="00E93C79" w:rsidRPr="00C72A74">
              <w:t>–</w:t>
            </w:r>
            <w:r w:rsidRPr="00C72A74">
              <w:t>31/12/2010</w:t>
            </w:r>
          </w:p>
        </w:tc>
        <w:tc>
          <w:tcPr>
            <w:tcW w:w="5660" w:type="dxa"/>
            <w:shd w:val="clear" w:color="auto" w:fill="auto"/>
          </w:tcPr>
          <w:p w:rsidR="000F716A" w:rsidRPr="00C72A74" w:rsidRDefault="000F716A" w:rsidP="005B0D2C">
            <w:pPr>
              <w:pStyle w:val="Tabletext"/>
              <w:spacing w:beforeLines="60" w:before="144"/>
            </w:pPr>
            <w:r w:rsidRPr="00C72A74">
              <w:t>01/10/2008–31/12/2010</w:t>
            </w:r>
          </w:p>
        </w:tc>
        <w:tc>
          <w:tcPr>
            <w:tcW w:w="2155" w:type="dxa"/>
            <w:shd w:val="clear" w:color="auto" w:fill="auto"/>
          </w:tcPr>
          <w:p w:rsidR="000F716A" w:rsidRPr="00C72A74" w:rsidRDefault="000F716A" w:rsidP="005B0D2C">
            <w:pPr>
              <w:pStyle w:val="Tabletext"/>
              <w:spacing w:beforeLines="60" w:before="144"/>
            </w:pPr>
            <w:r w:rsidRPr="00C72A74">
              <w:t>9</w:t>
            </w:r>
          </w:p>
        </w:tc>
        <w:tc>
          <w:tcPr>
            <w:tcW w:w="2142" w:type="dxa"/>
            <w:shd w:val="clear" w:color="auto" w:fill="auto"/>
          </w:tcPr>
          <w:p w:rsidR="000F716A" w:rsidRPr="00C72A74" w:rsidRDefault="000F716A" w:rsidP="005B0D2C">
            <w:pPr>
              <w:pStyle w:val="Tabletext"/>
              <w:spacing w:beforeLines="60" w:before="144"/>
            </w:pPr>
            <w:r w:rsidRPr="00C72A74">
              <w:t>2</w:t>
            </w:r>
          </w:p>
        </w:tc>
      </w:tr>
      <w:tr w:rsidR="000F716A" w:rsidRPr="00C72A74" w:rsidTr="009566EC">
        <w:tc>
          <w:tcPr>
            <w:tcW w:w="994" w:type="dxa"/>
            <w:shd w:val="clear" w:color="auto" w:fill="auto"/>
          </w:tcPr>
          <w:p w:rsidR="000F716A" w:rsidRPr="00C72A74" w:rsidRDefault="000F716A" w:rsidP="005B0D2C">
            <w:pPr>
              <w:spacing w:beforeLines="60" w:before="144"/>
              <w:rPr>
                <w:rFonts w:cs="Times New Roman"/>
                <w:sz w:val="20"/>
              </w:rPr>
            </w:pPr>
          </w:p>
        </w:tc>
        <w:tc>
          <w:tcPr>
            <w:tcW w:w="3201" w:type="dxa"/>
            <w:shd w:val="clear" w:color="auto" w:fill="auto"/>
          </w:tcPr>
          <w:p w:rsidR="000F716A" w:rsidRPr="00C72A74" w:rsidRDefault="000F716A" w:rsidP="005B0D2C">
            <w:pPr>
              <w:pStyle w:val="Tabletext"/>
              <w:spacing w:beforeLines="60" w:before="144"/>
            </w:pPr>
            <w:r w:rsidRPr="00C72A74">
              <w:t>01/07/2010</w:t>
            </w:r>
            <w:r w:rsidR="00E93C79" w:rsidRPr="00C72A74">
              <w:t>–</w:t>
            </w:r>
            <w:r w:rsidRPr="00C72A74">
              <w:t>30/09/2010</w:t>
            </w:r>
          </w:p>
        </w:tc>
        <w:tc>
          <w:tcPr>
            <w:tcW w:w="5660" w:type="dxa"/>
            <w:shd w:val="clear" w:color="auto" w:fill="auto"/>
          </w:tcPr>
          <w:p w:rsidR="000F716A" w:rsidRPr="00C72A74" w:rsidRDefault="000F716A" w:rsidP="005B0D2C">
            <w:pPr>
              <w:pStyle w:val="Tabletext"/>
              <w:spacing w:beforeLines="60" w:before="144"/>
            </w:pPr>
            <w:r w:rsidRPr="00C72A74">
              <w:t>01/10/2008–31/12/2010</w:t>
            </w:r>
          </w:p>
        </w:tc>
        <w:tc>
          <w:tcPr>
            <w:tcW w:w="2155" w:type="dxa"/>
            <w:shd w:val="clear" w:color="auto" w:fill="auto"/>
          </w:tcPr>
          <w:p w:rsidR="000F716A" w:rsidRPr="00C72A74" w:rsidRDefault="000F716A" w:rsidP="005B0D2C">
            <w:pPr>
              <w:pStyle w:val="Tabletext"/>
              <w:spacing w:beforeLines="60" w:before="144"/>
            </w:pPr>
            <w:r w:rsidRPr="00C72A74">
              <w:t>9</w:t>
            </w:r>
          </w:p>
        </w:tc>
        <w:tc>
          <w:tcPr>
            <w:tcW w:w="2142" w:type="dxa"/>
            <w:shd w:val="clear" w:color="auto" w:fill="auto"/>
          </w:tcPr>
          <w:p w:rsidR="000F716A" w:rsidRPr="00C72A74" w:rsidRDefault="000F716A" w:rsidP="005B0D2C">
            <w:pPr>
              <w:pStyle w:val="Tabletext"/>
              <w:spacing w:beforeLines="60" w:before="144"/>
            </w:pPr>
            <w:r w:rsidRPr="00C72A74">
              <w:t>2</w:t>
            </w:r>
          </w:p>
        </w:tc>
      </w:tr>
      <w:tr w:rsidR="000F716A" w:rsidRPr="00C72A74" w:rsidTr="009566EC">
        <w:tc>
          <w:tcPr>
            <w:tcW w:w="994" w:type="dxa"/>
            <w:shd w:val="clear" w:color="auto" w:fill="auto"/>
          </w:tcPr>
          <w:p w:rsidR="000F716A" w:rsidRPr="00C72A74" w:rsidRDefault="000F716A" w:rsidP="005B0D2C">
            <w:pPr>
              <w:spacing w:beforeLines="60" w:before="144"/>
              <w:rPr>
                <w:rFonts w:cs="Times New Roman"/>
                <w:sz w:val="20"/>
              </w:rPr>
            </w:pPr>
          </w:p>
        </w:tc>
        <w:tc>
          <w:tcPr>
            <w:tcW w:w="3201" w:type="dxa"/>
            <w:shd w:val="clear" w:color="auto" w:fill="auto"/>
          </w:tcPr>
          <w:p w:rsidR="000F716A" w:rsidRPr="00C72A74" w:rsidRDefault="000F716A" w:rsidP="005B0D2C">
            <w:pPr>
              <w:pStyle w:val="Tabletext"/>
              <w:spacing w:beforeLines="60" w:before="144"/>
            </w:pPr>
            <w:r w:rsidRPr="00C72A74">
              <w:t>01/04/2010</w:t>
            </w:r>
            <w:r w:rsidR="00E93C79" w:rsidRPr="00C72A74">
              <w:t>–</w:t>
            </w:r>
            <w:r w:rsidRPr="00C72A74">
              <w:t>30/06/2010 or earlier</w:t>
            </w:r>
          </w:p>
        </w:tc>
        <w:tc>
          <w:tcPr>
            <w:tcW w:w="5660" w:type="dxa"/>
            <w:shd w:val="clear" w:color="auto" w:fill="auto"/>
          </w:tcPr>
          <w:p w:rsidR="000F716A" w:rsidRPr="00C72A74" w:rsidRDefault="000F716A" w:rsidP="005B0D2C">
            <w:pPr>
              <w:pStyle w:val="Tabletext"/>
              <w:spacing w:beforeLines="60" w:before="144"/>
            </w:pPr>
            <w:r w:rsidRPr="00C72A74">
              <w:t>01/10/2008–31/12/2010</w:t>
            </w:r>
          </w:p>
        </w:tc>
        <w:tc>
          <w:tcPr>
            <w:tcW w:w="2155" w:type="dxa"/>
            <w:shd w:val="clear" w:color="auto" w:fill="auto"/>
          </w:tcPr>
          <w:p w:rsidR="000F716A" w:rsidRPr="00C72A74" w:rsidRDefault="000F716A" w:rsidP="005B0D2C">
            <w:pPr>
              <w:pStyle w:val="Tabletext"/>
              <w:spacing w:beforeLines="60" w:before="144"/>
            </w:pPr>
            <w:r w:rsidRPr="00C72A74">
              <w:t>9</w:t>
            </w:r>
          </w:p>
        </w:tc>
        <w:tc>
          <w:tcPr>
            <w:tcW w:w="2142" w:type="dxa"/>
            <w:shd w:val="clear" w:color="auto" w:fill="auto"/>
          </w:tcPr>
          <w:p w:rsidR="000F716A" w:rsidRPr="00C72A74" w:rsidRDefault="000F716A" w:rsidP="005B0D2C">
            <w:pPr>
              <w:pStyle w:val="Tabletext"/>
              <w:spacing w:beforeLines="60" w:before="144"/>
            </w:pPr>
            <w:r w:rsidRPr="00C72A74">
              <w:t>2</w:t>
            </w:r>
          </w:p>
        </w:tc>
      </w:tr>
      <w:tr w:rsidR="000F716A" w:rsidRPr="00C72A74" w:rsidTr="009566EC">
        <w:tc>
          <w:tcPr>
            <w:tcW w:w="994" w:type="dxa"/>
            <w:shd w:val="clear" w:color="auto" w:fill="auto"/>
          </w:tcPr>
          <w:p w:rsidR="000F716A" w:rsidRPr="00C72A74" w:rsidRDefault="000F716A" w:rsidP="005B0D2C">
            <w:pPr>
              <w:pStyle w:val="Tabletext"/>
              <w:spacing w:beforeLines="60" w:before="144"/>
            </w:pPr>
            <w:r w:rsidRPr="00C72A74">
              <w:t>Quarter 4</w:t>
            </w:r>
          </w:p>
        </w:tc>
        <w:tc>
          <w:tcPr>
            <w:tcW w:w="3201" w:type="dxa"/>
            <w:shd w:val="clear" w:color="auto" w:fill="auto"/>
          </w:tcPr>
          <w:p w:rsidR="000F716A" w:rsidRPr="00C72A74" w:rsidRDefault="000F716A" w:rsidP="005B0D2C">
            <w:pPr>
              <w:pStyle w:val="Tabletext"/>
              <w:spacing w:beforeLines="60" w:before="144"/>
            </w:pPr>
            <w:r w:rsidRPr="00C72A74">
              <w:t>01/10/2010</w:t>
            </w:r>
            <w:r w:rsidR="00E93C79" w:rsidRPr="00C72A74">
              <w:t>–</w:t>
            </w:r>
            <w:r w:rsidRPr="00C72A74">
              <w:t>31/12/2010</w:t>
            </w:r>
          </w:p>
        </w:tc>
        <w:tc>
          <w:tcPr>
            <w:tcW w:w="5660" w:type="dxa"/>
            <w:shd w:val="clear" w:color="auto" w:fill="auto"/>
          </w:tcPr>
          <w:p w:rsidR="000F716A" w:rsidRPr="00C72A74" w:rsidRDefault="000F716A" w:rsidP="005B0D2C">
            <w:pPr>
              <w:pStyle w:val="Tabletext"/>
              <w:spacing w:beforeLines="60" w:before="144"/>
            </w:pPr>
            <w:r w:rsidRPr="00C72A74">
              <w:t>01/01/2009–31/12/2010</w:t>
            </w:r>
          </w:p>
        </w:tc>
        <w:tc>
          <w:tcPr>
            <w:tcW w:w="2155" w:type="dxa"/>
            <w:shd w:val="clear" w:color="auto" w:fill="auto"/>
          </w:tcPr>
          <w:p w:rsidR="000F716A" w:rsidRPr="00C72A74" w:rsidRDefault="000F716A" w:rsidP="005B0D2C">
            <w:pPr>
              <w:pStyle w:val="Tabletext"/>
              <w:spacing w:beforeLines="60" w:before="144"/>
            </w:pPr>
            <w:r w:rsidRPr="00C72A74">
              <w:t>8</w:t>
            </w:r>
          </w:p>
        </w:tc>
        <w:tc>
          <w:tcPr>
            <w:tcW w:w="2142" w:type="dxa"/>
            <w:shd w:val="clear" w:color="auto" w:fill="auto"/>
          </w:tcPr>
          <w:p w:rsidR="000F716A" w:rsidRPr="00C72A74" w:rsidRDefault="000F716A" w:rsidP="005B0D2C">
            <w:pPr>
              <w:pStyle w:val="Tabletext"/>
              <w:spacing w:beforeLines="60" w:before="144"/>
            </w:pPr>
            <w:r w:rsidRPr="00C72A74">
              <w:t>3</w:t>
            </w:r>
          </w:p>
        </w:tc>
      </w:tr>
      <w:tr w:rsidR="000F716A" w:rsidRPr="00C72A74" w:rsidTr="0058246A">
        <w:tc>
          <w:tcPr>
            <w:tcW w:w="994" w:type="dxa"/>
            <w:shd w:val="clear" w:color="auto" w:fill="auto"/>
          </w:tcPr>
          <w:p w:rsidR="000F716A" w:rsidRPr="00C72A74" w:rsidRDefault="000F716A" w:rsidP="005B0D2C">
            <w:pPr>
              <w:spacing w:beforeLines="60" w:before="144"/>
              <w:rPr>
                <w:rFonts w:cs="Times New Roman"/>
                <w:sz w:val="20"/>
              </w:rPr>
            </w:pPr>
          </w:p>
        </w:tc>
        <w:tc>
          <w:tcPr>
            <w:tcW w:w="3201" w:type="dxa"/>
            <w:shd w:val="clear" w:color="auto" w:fill="auto"/>
          </w:tcPr>
          <w:p w:rsidR="000F716A" w:rsidRPr="00C72A74" w:rsidRDefault="000F716A" w:rsidP="005B0D2C">
            <w:pPr>
              <w:pStyle w:val="Tabletext"/>
              <w:spacing w:beforeLines="60" w:before="144"/>
            </w:pPr>
            <w:r w:rsidRPr="00C72A74">
              <w:t>01/07/2010</w:t>
            </w:r>
            <w:r w:rsidR="00E93C79" w:rsidRPr="00C72A74">
              <w:t>–</w:t>
            </w:r>
            <w:r w:rsidRPr="00C72A74">
              <w:t>30/09/2010</w:t>
            </w:r>
          </w:p>
        </w:tc>
        <w:tc>
          <w:tcPr>
            <w:tcW w:w="5660" w:type="dxa"/>
            <w:shd w:val="clear" w:color="auto" w:fill="auto"/>
          </w:tcPr>
          <w:p w:rsidR="000F716A" w:rsidRPr="00C72A74" w:rsidRDefault="000F716A" w:rsidP="005B0D2C">
            <w:pPr>
              <w:pStyle w:val="Tabletext"/>
              <w:spacing w:beforeLines="60" w:before="144"/>
            </w:pPr>
            <w:r w:rsidRPr="00C72A74">
              <w:t>01/01/2009–31/12/2010</w:t>
            </w:r>
          </w:p>
        </w:tc>
        <w:tc>
          <w:tcPr>
            <w:tcW w:w="2155" w:type="dxa"/>
            <w:shd w:val="clear" w:color="auto" w:fill="auto"/>
          </w:tcPr>
          <w:p w:rsidR="000F716A" w:rsidRPr="00C72A74" w:rsidRDefault="000F716A" w:rsidP="005B0D2C">
            <w:pPr>
              <w:pStyle w:val="Tabletext"/>
              <w:spacing w:beforeLines="60" w:before="144"/>
            </w:pPr>
            <w:r w:rsidRPr="00C72A74">
              <w:t>8</w:t>
            </w:r>
          </w:p>
        </w:tc>
        <w:tc>
          <w:tcPr>
            <w:tcW w:w="2142" w:type="dxa"/>
            <w:shd w:val="clear" w:color="auto" w:fill="auto"/>
          </w:tcPr>
          <w:p w:rsidR="000F716A" w:rsidRPr="00C72A74" w:rsidRDefault="000F716A" w:rsidP="005B0D2C">
            <w:pPr>
              <w:pStyle w:val="Tabletext"/>
              <w:spacing w:beforeLines="60" w:before="144"/>
            </w:pPr>
            <w:r w:rsidRPr="00C72A74">
              <w:t>3</w:t>
            </w:r>
          </w:p>
        </w:tc>
      </w:tr>
      <w:tr w:rsidR="000F716A" w:rsidRPr="00C72A74" w:rsidTr="0058246A">
        <w:tc>
          <w:tcPr>
            <w:tcW w:w="994" w:type="dxa"/>
            <w:tcBorders>
              <w:bottom w:val="single" w:sz="12" w:space="0" w:color="auto"/>
            </w:tcBorders>
            <w:shd w:val="clear" w:color="auto" w:fill="auto"/>
          </w:tcPr>
          <w:p w:rsidR="000F716A" w:rsidRPr="00C72A74" w:rsidRDefault="000F716A" w:rsidP="005B0D2C">
            <w:pPr>
              <w:spacing w:beforeLines="60" w:before="144"/>
              <w:rPr>
                <w:rFonts w:cs="Times New Roman"/>
                <w:sz w:val="20"/>
              </w:rPr>
            </w:pPr>
          </w:p>
        </w:tc>
        <w:tc>
          <w:tcPr>
            <w:tcW w:w="3201" w:type="dxa"/>
            <w:tcBorders>
              <w:bottom w:val="single" w:sz="12" w:space="0" w:color="auto"/>
            </w:tcBorders>
            <w:shd w:val="clear" w:color="auto" w:fill="auto"/>
          </w:tcPr>
          <w:p w:rsidR="000F716A" w:rsidRPr="00C72A74" w:rsidRDefault="000F716A" w:rsidP="005B0D2C">
            <w:pPr>
              <w:pStyle w:val="Tabletext"/>
              <w:spacing w:beforeLines="60" w:before="144"/>
            </w:pPr>
            <w:r w:rsidRPr="00C72A74">
              <w:t>01/04/2010</w:t>
            </w:r>
            <w:r w:rsidR="00E93C79" w:rsidRPr="00C72A74">
              <w:t>–</w:t>
            </w:r>
            <w:r w:rsidRPr="00C72A74">
              <w:t>30/06/2010 or earlier</w:t>
            </w:r>
          </w:p>
        </w:tc>
        <w:tc>
          <w:tcPr>
            <w:tcW w:w="5660" w:type="dxa"/>
            <w:tcBorders>
              <w:bottom w:val="single" w:sz="12" w:space="0" w:color="auto"/>
            </w:tcBorders>
            <w:shd w:val="clear" w:color="auto" w:fill="auto"/>
          </w:tcPr>
          <w:p w:rsidR="000F716A" w:rsidRPr="00C72A74" w:rsidRDefault="000F716A" w:rsidP="005B0D2C">
            <w:pPr>
              <w:pStyle w:val="Tabletext"/>
              <w:spacing w:beforeLines="60" w:before="144"/>
            </w:pPr>
            <w:r w:rsidRPr="00C72A74">
              <w:t>01/01/2009–31/12/2010</w:t>
            </w:r>
          </w:p>
        </w:tc>
        <w:tc>
          <w:tcPr>
            <w:tcW w:w="2155" w:type="dxa"/>
            <w:tcBorders>
              <w:bottom w:val="single" w:sz="12" w:space="0" w:color="auto"/>
            </w:tcBorders>
            <w:shd w:val="clear" w:color="auto" w:fill="auto"/>
          </w:tcPr>
          <w:p w:rsidR="000F716A" w:rsidRPr="00C72A74" w:rsidRDefault="000F716A" w:rsidP="005B0D2C">
            <w:pPr>
              <w:pStyle w:val="Tabletext"/>
              <w:spacing w:beforeLines="60" w:before="144"/>
            </w:pPr>
            <w:r w:rsidRPr="00C72A74">
              <w:t>8</w:t>
            </w:r>
          </w:p>
        </w:tc>
        <w:tc>
          <w:tcPr>
            <w:tcW w:w="2142" w:type="dxa"/>
            <w:tcBorders>
              <w:bottom w:val="single" w:sz="12" w:space="0" w:color="auto"/>
            </w:tcBorders>
            <w:shd w:val="clear" w:color="auto" w:fill="auto"/>
          </w:tcPr>
          <w:p w:rsidR="000F716A" w:rsidRPr="00C72A74" w:rsidRDefault="000F716A" w:rsidP="005B0D2C">
            <w:pPr>
              <w:pStyle w:val="Tabletext"/>
              <w:spacing w:beforeLines="60" w:before="144"/>
            </w:pPr>
            <w:r w:rsidRPr="00C72A74">
              <w:t>3</w:t>
            </w:r>
          </w:p>
        </w:tc>
      </w:tr>
    </w:tbl>
    <w:p w:rsidR="000F716A" w:rsidRPr="00C72A74" w:rsidRDefault="000F716A" w:rsidP="009D77F8">
      <w:pPr>
        <w:pStyle w:val="ActHead5"/>
        <w:ind w:left="0" w:firstLine="0"/>
      </w:pPr>
      <w:bookmarkStart w:id="42" w:name="_Toc359833575"/>
      <w:bookmarkEnd w:id="41"/>
      <w:r w:rsidRPr="00C72A74">
        <w:lastRenderedPageBreak/>
        <w:t>ATS Year 2</w:t>
      </w:r>
      <w:bookmarkEnd w:id="42"/>
    </w:p>
    <w:p w:rsidR="002F064D" w:rsidRPr="00C72A74" w:rsidRDefault="002F064D" w:rsidP="002F064D">
      <w:pPr>
        <w:pStyle w:val="Tabletext"/>
      </w:pPr>
    </w:p>
    <w:tbl>
      <w:tblPr>
        <w:tblW w:w="14152" w:type="dxa"/>
        <w:tblInd w:w="24" w:type="dxa"/>
        <w:tblLook w:val="01E0" w:firstRow="1" w:lastRow="1" w:firstColumn="1" w:lastColumn="1" w:noHBand="0" w:noVBand="0"/>
      </w:tblPr>
      <w:tblGrid>
        <w:gridCol w:w="1078"/>
        <w:gridCol w:w="3117"/>
        <w:gridCol w:w="5660"/>
        <w:gridCol w:w="2155"/>
        <w:gridCol w:w="2142"/>
      </w:tblGrid>
      <w:tr w:rsidR="000F716A" w:rsidRPr="009566EC" w:rsidTr="000C3430">
        <w:tc>
          <w:tcPr>
            <w:tcW w:w="1078" w:type="dxa"/>
            <w:tcBorders>
              <w:top w:val="single" w:sz="12" w:space="0" w:color="auto"/>
              <w:bottom w:val="single" w:sz="12" w:space="0" w:color="auto"/>
            </w:tcBorders>
            <w:shd w:val="clear" w:color="auto" w:fill="auto"/>
          </w:tcPr>
          <w:p w:rsidR="000F716A" w:rsidRPr="009566EC" w:rsidRDefault="000F716A" w:rsidP="002F064D">
            <w:pPr>
              <w:pStyle w:val="TableHeading"/>
              <w:rPr>
                <w:rFonts w:ascii="Arial" w:hAnsi="Arial" w:cs="Arial"/>
                <w:sz w:val="17"/>
                <w:szCs w:val="17"/>
              </w:rPr>
            </w:pPr>
            <w:bookmarkStart w:id="43" w:name="BK_S5P22L4C1"/>
          </w:p>
        </w:tc>
        <w:tc>
          <w:tcPr>
            <w:tcW w:w="3117" w:type="dxa"/>
            <w:tcBorders>
              <w:top w:val="single" w:sz="12" w:space="0" w:color="auto"/>
              <w:bottom w:val="single" w:sz="12" w:space="0" w:color="auto"/>
            </w:tcBorders>
            <w:shd w:val="clear" w:color="auto" w:fill="auto"/>
          </w:tcPr>
          <w:p w:rsidR="000F716A" w:rsidRPr="009566EC" w:rsidRDefault="004A4177" w:rsidP="002F064D">
            <w:pPr>
              <w:pStyle w:val="TableHeading"/>
              <w:rPr>
                <w:rFonts w:ascii="Arial" w:hAnsi="Arial" w:cs="Arial"/>
                <w:sz w:val="17"/>
                <w:szCs w:val="17"/>
              </w:rPr>
            </w:pPr>
            <w:r w:rsidRPr="009566EC">
              <w:rPr>
                <w:rFonts w:ascii="Arial" w:hAnsi="Arial" w:cs="Arial"/>
                <w:sz w:val="17"/>
                <w:szCs w:val="17"/>
              </w:rPr>
              <w:t>Registration quarter for ACIS</w:t>
            </w:r>
          </w:p>
        </w:tc>
        <w:tc>
          <w:tcPr>
            <w:tcW w:w="5660" w:type="dxa"/>
            <w:tcBorders>
              <w:top w:val="single" w:sz="12" w:space="0" w:color="auto"/>
              <w:bottom w:val="single" w:sz="12" w:space="0" w:color="auto"/>
            </w:tcBorders>
            <w:shd w:val="clear" w:color="auto" w:fill="auto"/>
          </w:tcPr>
          <w:p w:rsidR="000F716A" w:rsidRPr="009566EC" w:rsidRDefault="004A4177" w:rsidP="002F064D">
            <w:pPr>
              <w:pStyle w:val="TableHeading"/>
              <w:rPr>
                <w:rFonts w:ascii="Arial" w:hAnsi="Arial" w:cs="Arial"/>
                <w:sz w:val="17"/>
                <w:szCs w:val="17"/>
              </w:rPr>
            </w:pPr>
            <w:r w:rsidRPr="009566EC">
              <w:rPr>
                <w:rFonts w:ascii="Arial" w:hAnsi="Arial" w:cs="Arial"/>
                <w:sz w:val="17"/>
                <w:szCs w:val="17"/>
              </w:rPr>
              <w:t>The period for which investment under ACIS is to be regarded as eligible investment for working out unmodulated investment amount for: MVPs under section</w:t>
            </w:r>
            <w:r w:rsidR="00C72A74" w:rsidRPr="009566EC">
              <w:rPr>
                <w:rFonts w:ascii="Arial" w:hAnsi="Arial" w:cs="Arial"/>
                <w:sz w:val="17"/>
                <w:szCs w:val="17"/>
              </w:rPr>
              <w:t> </w:t>
            </w:r>
            <w:r w:rsidR="00E93C79" w:rsidRPr="009566EC">
              <w:rPr>
                <w:rFonts w:ascii="Arial" w:hAnsi="Arial" w:cs="Arial"/>
                <w:sz w:val="17"/>
                <w:szCs w:val="17"/>
              </w:rPr>
              <w:t>2.2; and non</w:t>
            </w:r>
            <w:r w:rsidR="00C72A74" w:rsidRPr="009566EC">
              <w:rPr>
                <w:rFonts w:ascii="Arial" w:hAnsi="Arial" w:cs="Arial"/>
                <w:sz w:val="17"/>
                <w:szCs w:val="17"/>
              </w:rPr>
              <w:noBreakHyphen/>
            </w:r>
            <w:r w:rsidR="00E93C79" w:rsidRPr="009566EC">
              <w:rPr>
                <w:rFonts w:ascii="Arial" w:hAnsi="Arial" w:cs="Arial"/>
                <w:sz w:val="17"/>
                <w:szCs w:val="17"/>
              </w:rPr>
              <w:t>MVPs under section</w:t>
            </w:r>
            <w:r w:rsidR="00C72A74" w:rsidRPr="009566EC">
              <w:rPr>
                <w:rFonts w:ascii="Arial" w:hAnsi="Arial" w:cs="Arial"/>
                <w:sz w:val="17"/>
                <w:szCs w:val="17"/>
              </w:rPr>
              <w:t> </w:t>
            </w:r>
            <w:r w:rsidRPr="009566EC">
              <w:rPr>
                <w:rFonts w:ascii="Arial" w:hAnsi="Arial" w:cs="Arial"/>
                <w:sz w:val="17"/>
                <w:szCs w:val="17"/>
              </w:rPr>
              <w:t>2.3</w:t>
            </w:r>
          </w:p>
        </w:tc>
        <w:tc>
          <w:tcPr>
            <w:tcW w:w="2155" w:type="dxa"/>
            <w:tcBorders>
              <w:top w:val="single" w:sz="12" w:space="0" w:color="auto"/>
              <w:bottom w:val="single" w:sz="12" w:space="0" w:color="auto"/>
            </w:tcBorders>
            <w:shd w:val="clear" w:color="auto" w:fill="auto"/>
          </w:tcPr>
          <w:p w:rsidR="000F716A" w:rsidRPr="009566EC" w:rsidRDefault="004A4177" w:rsidP="002F064D">
            <w:pPr>
              <w:pStyle w:val="TableHeading"/>
              <w:rPr>
                <w:rFonts w:ascii="Arial" w:hAnsi="Arial" w:cs="Arial"/>
                <w:sz w:val="17"/>
                <w:szCs w:val="17"/>
              </w:rPr>
            </w:pPr>
            <w:r w:rsidRPr="009566EC">
              <w:rPr>
                <w:rFonts w:ascii="Arial" w:hAnsi="Arial" w:cs="Arial"/>
                <w:sz w:val="17"/>
                <w:szCs w:val="17"/>
              </w:rPr>
              <w:t xml:space="preserve">No. of quarters under ACIS to be included in </w:t>
            </w:r>
            <w:r w:rsidRPr="009566EC">
              <w:rPr>
                <w:rFonts w:ascii="Arial" w:hAnsi="Arial" w:cs="Arial"/>
                <w:i/>
                <w:sz w:val="17"/>
                <w:szCs w:val="17"/>
              </w:rPr>
              <w:t>RQ</w:t>
            </w:r>
            <w:r w:rsidR="00E93C79" w:rsidRPr="009566EC">
              <w:rPr>
                <w:rFonts w:ascii="Arial" w:hAnsi="Arial" w:cs="Arial"/>
                <w:sz w:val="17"/>
                <w:szCs w:val="17"/>
              </w:rPr>
              <w:t xml:space="preserve"> in sections</w:t>
            </w:r>
            <w:r w:rsidR="00C72A74" w:rsidRPr="009566EC">
              <w:rPr>
                <w:rFonts w:ascii="Arial" w:hAnsi="Arial" w:cs="Arial"/>
                <w:sz w:val="17"/>
                <w:szCs w:val="17"/>
              </w:rPr>
              <w:t> </w:t>
            </w:r>
            <w:r w:rsidR="00E93C79" w:rsidRPr="009566EC">
              <w:rPr>
                <w:rFonts w:ascii="Arial" w:hAnsi="Arial" w:cs="Arial"/>
                <w:sz w:val="17"/>
                <w:szCs w:val="17"/>
              </w:rPr>
              <w:t>2.2 and </w:t>
            </w:r>
            <w:r w:rsidRPr="009566EC">
              <w:rPr>
                <w:rFonts w:ascii="Arial" w:hAnsi="Arial" w:cs="Arial"/>
                <w:sz w:val="17"/>
                <w:szCs w:val="17"/>
              </w:rPr>
              <w:t>2.3</w:t>
            </w:r>
          </w:p>
        </w:tc>
        <w:tc>
          <w:tcPr>
            <w:tcW w:w="2142" w:type="dxa"/>
            <w:tcBorders>
              <w:top w:val="single" w:sz="12" w:space="0" w:color="auto"/>
              <w:bottom w:val="single" w:sz="12" w:space="0" w:color="auto"/>
            </w:tcBorders>
            <w:shd w:val="clear" w:color="auto" w:fill="auto"/>
          </w:tcPr>
          <w:p w:rsidR="000F716A" w:rsidRPr="009566EC" w:rsidRDefault="004A4177" w:rsidP="002F064D">
            <w:pPr>
              <w:pStyle w:val="TableHeading"/>
              <w:rPr>
                <w:rFonts w:ascii="Arial" w:hAnsi="Arial" w:cs="Arial"/>
                <w:sz w:val="17"/>
                <w:szCs w:val="17"/>
              </w:rPr>
            </w:pPr>
            <w:r w:rsidRPr="009566EC">
              <w:rPr>
                <w:rFonts w:ascii="Arial" w:hAnsi="Arial" w:cs="Arial"/>
                <w:sz w:val="17"/>
                <w:szCs w:val="17"/>
              </w:rPr>
              <w:t xml:space="preserve">No. of quarters under ATS to be included in </w:t>
            </w:r>
            <w:r w:rsidRPr="009566EC">
              <w:rPr>
                <w:rFonts w:ascii="Arial" w:hAnsi="Arial" w:cs="Arial"/>
                <w:i/>
                <w:sz w:val="17"/>
                <w:szCs w:val="17"/>
              </w:rPr>
              <w:t>RQ</w:t>
            </w:r>
            <w:r w:rsidR="00E93C79" w:rsidRPr="009566EC">
              <w:rPr>
                <w:rFonts w:ascii="Arial" w:hAnsi="Arial" w:cs="Arial"/>
                <w:sz w:val="17"/>
                <w:szCs w:val="17"/>
              </w:rPr>
              <w:t xml:space="preserve"> in sections</w:t>
            </w:r>
            <w:r w:rsidR="00C72A74" w:rsidRPr="009566EC">
              <w:rPr>
                <w:rFonts w:ascii="Arial" w:hAnsi="Arial" w:cs="Arial"/>
                <w:sz w:val="17"/>
                <w:szCs w:val="17"/>
              </w:rPr>
              <w:t> </w:t>
            </w:r>
            <w:r w:rsidR="00E93C79" w:rsidRPr="009566EC">
              <w:rPr>
                <w:rFonts w:ascii="Arial" w:hAnsi="Arial" w:cs="Arial"/>
                <w:sz w:val="17"/>
                <w:szCs w:val="17"/>
              </w:rPr>
              <w:t>2.2 and </w:t>
            </w:r>
            <w:r w:rsidRPr="009566EC">
              <w:rPr>
                <w:rFonts w:ascii="Arial" w:hAnsi="Arial" w:cs="Arial"/>
                <w:sz w:val="17"/>
                <w:szCs w:val="17"/>
              </w:rPr>
              <w:t>2.3</w:t>
            </w:r>
          </w:p>
        </w:tc>
      </w:tr>
      <w:tr w:rsidR="000F716A" w:rsidRPr="00C72A74" w:rsidTr="000C3430">
        <w:tc>
          <w:tcPr>
            <w:tcW w:w="1078" w:type="dxa"/>
            <w:tcBorders>
              <w:top w:val="single" w:sz="12" w:space="0" w:color="auto"/>
            </w:tcBorders>
            <w:shd w:val="clear" w:color="auto" w:fill="auto"/>
          </w:tcPr>
          <w:p w:rsidR="000F716A" w:rsidRPr="00C72A74" w:rsidRDefault="000F716A" w:rsidP="005B0D2C">
            <w:pPr>
              <w:pStyle w:val="Tabletext"/>
              <w:spacing w:beforeLines="60" w:before="144"/>
            </w:pPr>
            <w:r w:rsidRPr="00C72A74">
              <w:t>Quarter 1</w:t>
            </w:r>
          </w:p>
        </w:tc>
        <w:tc>
          <w:tcPr>
            <w:tcW w:w="3117" w:type="dxa"/>
            <w:tcBorders>
              <w:top w:val="single" w:sz="12" w:space="0" w:color="auto"/>
            </w:tcBorders>
            <w:shd w:val="clear" w:color="auto" w:fill="auto"/>
          </w:tcPr>
          <w:p w:rsidR="000F716A" w:rsidRPr="00C72A74" w:rsidRDefault="000F716A" w:rsidP="005B0D2C">
            <w:pPr>
              <w:pStyle w:val="Tabletext"/>
              <w:spacing w:beforeLines="60" w:before="144"/>
            </w:pPr>
            <w:r w:rsidRPr="00C72A74">
              <w:t>01/10/2010</w:t>
            </w:r>
            <w:r w:rsidR="00E93C79" w:rsidRPr="00C72A74">
              <w:t>–</w:t>
            </w:r>
            <w:r w:rsidRPr="00C72A74">
              <w:t>31/12/2010</w:t>
            </w:r>
          </w:p>
        </w:tc>
        <w:tc>
          <w:tcPr>
            <w:tcW w:w="5660" w:type="dxa"/>
            <w:tcBorders>
              <w:top w:val="single" w:sz="12" w:space="0" w:color="auto"/>
            </w:tcBorders>
            <w:shd w:val="clear" w:color="auto" w:fill="auto"/>
          </w:tcPr>
          <w:p w:rsidR="000F716A" w:rsidRPr="00C72A74" w:rsidRDefault="000F716A" w:rsidP="005B0D2C">
            <w:pPr>
              <w:pStyle w:val="Tabletext"/>
              <w:spacing w:beforeLines="60" w:before="144"/>
            </w:pPr>
            <w:r w:rsidRPr="00C72A74">
              <w:t>01/04/2009</w:t>
            </w:r>
            <w:r w:rsidR="00E93C79" w:rsidRPr="00C72A74">
              <w:t>–</w:t>
            </w:r>
            <w:r w:rsidRPr="00C72A74">
              <w:t xml:space="preserve">31/12/2010 </w:t>
            </w:r>
          </w:p>
        </w:tc>
        <w:tc>
          <w:tcPr>
            <w:tcW w:w="2155" w:type="dxa"/>
            <w:tcBorders>
              <w:top w:val="single" w:sz="12" w:space="0" w:color="auto"/>
            </w:tcBorders>
            <w:shd w:val="clear" w:color="auto" w:fill="auto"/>
          </w:tcPr>
          <w:p w:rsidR="000F716A" w:rsidRPr="00C72A74" w:rsidRDefault="000F716A" w:rsidP="005B0D2C">
            <w:pPr>
              <w:pStyle w:val="Tabletext"/>
              <w:spacing w:beforeLines="60" w:before="144"/>
            </w:pPr>
            <w:r w:rsidRPr="00C72A74">
              <w:t>7</w:t>
            </w:r>
          </w:p>
        </w:tc>
        <w:tc>
          <w:tcPr>
            <w:tcW w:w="2142" w:type="dxa"/>
            <w:tcBorders>
              <w:top w:val="single" w:sz="12" w:space="0" w:color="auto"/>
            </w:tcBorders>
            <w:shd w:val="clear" w:color="auto" w:fill="auto"/>
          </w:tcPr>
          <w:p w:rsidR="000F716A" w:rsidRPr="00C72A74" w:rsidRDefault="000F716A" w:rsidP="005B0D2C">
            <w:pPr>
              <w:pStyle w:val="Tabletext"/>
              <w:spacing w:beforeLines="60" w:before="144"/>
            </w:pPr>
            <w:r w:rsidRPr="00C72A74">
              <w:t>4</w:t>
            </w:r>
          </w:p>
        </w:tc>
      </w:tr>
      <w:tr w:rsidR="000F716A" w:rsidRPr="00C72A74" w:rsidTr="009566EC">
        <w:tc>
          <w:tcPr>
            <w:tcW w:w="1078" w:type="dxa"/>
            <w:shd w:val="clear" w:color="auto" w:fill="auto"/>
          </w:tcPr>
          <w:p w:rsidR="000F716A" w:rsidRPr="00C72A74" w:rsidRDefault="000F716A" w:rsidP="005B0D2C">
            <w:pPr>
              <w:spacing w:beforeLines="60" w:before="144"/>
              <w:rPr>
                <w:rFonts w:cs="Times New Roman"/>
                <w:sz w:val="20"/>
              </w:rPr>
            </w:pPr>
          </w:p>
        </w:tc>
        <w:tc>
          <w:tcPr>
            <w:tcW w:w="3117" w:type="dxa"/>
            <w:shd w:val="clear" w:color="auto" w:fill="auto"/>
          </w:tcPr>
          <w:p w:rsidR="000F716A" w:rsidRPr="00C72A74" w:rsidRDefault="000F716A" w:rsidP="005B0D2C">
            <w:pPr>
              <w:pStyle w:val="Tabletext"/>
              <w:spacing w:beforeLines="60" w:before="144"/>
            </w:pPr>
            <w:r w:rsidRPr="00C72A74">
              <w:t>01/07/2010</w:t>
            </w:r>
            <w:r w:rsidR="00E93C79" w:rsidRPr="00C72A74">
              <w:t>–</w:t>
            </w:r>
            <w:r w:rsidRPr="00C72A74">
              <w:t>30/09/2010</w:t>
            </w:r>
          </w:p>
        </w:tc>
        <w:tc>
          <w:tcPr>
            <w:tcW w:w="5660" w:type="dxa"/>
            <w:shd w:val="clear" w:color="auto" w:fill="auto"/>
          </w:tcPr>
          <w:p w:rsidR="000F716A" w:rsidRPr="00C72A74" w:rsidRDefault="000F716A" w:rsidP="005B0D2C">
            <w:pPr>
              <w:pStyle w:val="Tabletext"/>
              <w:spacing w:beforeLines="60" w:before="144"/>
            </w:pPr>
            <w:r w:rsidRPr="00C72A74">
              <w:t>01/04/2009</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pPr>
            <w:r w:rsidRPr="00C72A74">
              <w:t>7</w:t>
            </w:r>
          </w:p>
        </w:tc>
        <w:tc>
          <w:tcPr>
            <w:tcW w:w="2142" w:type="dxa"/>
            <w:shd w:val="clear" w:color="auto" w:fill="auto"/>
          </w:tcPr>
          <w:p w:rsidR="000F716A" w:rsidRPr="00C72A74" w:rsidRDefault="000F716A" w:rsidP="005B0D2C">
            <w:pPr>
              <w:pStyle w:val="Tabletext"/>
              <w:spacing w:beforeLines="60" w:before="144"/>
            </w:pPr>
            <w:r w:rsidRPr="00C72A74">
              <w:t>4</w:t>
            </w:r>
          </w:p>
        </w:tc>
      </w:tr>
      <w:tr w:rsidR="000F716A" w:rsidRPr="00C72A74" w:rsidTr="009566EC">
        <w:tc>
          <w:tcPr>
            <w:tcW w:w="1078" w:type="dxa"/>
            <w:shd w:val="clear" w:color="auto" w:fill="auto"/>
          </w:tcPr>
          <w:p w:rsidR="000F716A" w:rsidRPr="00C72A74" w:rsidRDefault="000F716A" w:rsidP="005B0D2C">
            <w:pPr>
              <w:spacing w:beforeLines="60" w:before="144"/>
              <w:rPr>
                <w:rFonts w:cs="Times New Roman"/>
                <w:sz w:val="20"/>
              </w:rPr>
            </w:pPr>
          </w:p>
        </w:tc>
        <w:tc>
          <w:tcPr>
            <w:tcW w:w="3117" w:type="dxa"/>
            <w:shd w:val="clear" w:color="auto" w:fill="auto"/>
          </w:tcPr>
          <w:p w:rsidR="000F716A" w:rsidRPr="00C72A74" w:rsidRDefault="000F716A" w:rsidP="005B0D2C">
            <w:pPr>
              <w:pStyle w:val="Tabletext"/>
              <w:spacing w:beforeLines="60" w:before="144"/>
            </w:pPr>
            <w:r w:rsidRPr="00C72A74">
              <w:t>01/04/2010</w:t>
            </w:r>
            <w:r w:rsidR="00E93C79" w:rsidRPr="00C72A74">
              <w:t>–</w:t>
            </w:r>
            <w:r w:rsidRPr="00C72A74">
              <w:t>30/06/2010 or earlier</w:t>
            </w:r>
          </w:p>
        </w:tc>
        <w:tc>
          <w:tcPr>
            <w:tcW w:w="5660" w:type="dxa"/>
            <w:shd w:val="clear" w:color="auto" w:fill="auto"/>
          </w:tcPr>
          <w:p w:rsidR="000F716A" w:rsidRPr="00C72A74" w:rsidRDefault="000F716A" w:rsidP="005B0D2C">
            <w:pPr>
              <w:pStyle w:val="Tabletext"/>
              <w:spacing w:beforeLines="60" w:before="144"/>
            </w:pPr>
            <w:r w:rsidRPr="00C72A74">
              <w:t>01/04/2009</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pPr>
            <w:r w:rsidRPr="00C72A74">
              <w:t>7</w:t>
            </w:r>
          </w:p>
        </w:tc>
        <w:tc>
          <w:tcPr>
            <w:tcW w:w="2142" w:type="dxa"/>
            <w:shd w:val="clear" w:color="auto" w:fill="auto"/>
          </w:tcPr>
          <w:p w:rsidR="000F716A" w:rsidRPr="00C72A74" w:rsidRDefault="000F716A" w:rsidP="005B0D2C">
            <w:pPr>
              <w:pStyle w:val="Tabletext"/>
              <w:spacing w:beforeLines="60" w:before="144"/>
            </w:pPr>
            <w:r w:rsidRPr="00C72A74">
              <w:t>4</w:t>
            </w:r>
          </w:p>
        </w:tc>
      </w:tr>
      <w:tr w:rsidR="000F716A" w:rsidRPr="00C72A74" w:rsidTr="009566EC">
        <w:tc>
          <w:tcPr>
            <w:tcW w:w="1078" w:type="dxa"/>
            <w:shd w:val="clear" w:color="auto" w:fill="auto"/>
          </w:tcPr>
          <w:p w:rsidR="000F716A" w:rsidRPr="00C72A74" w:rsidRDefault="000F716A" w:rsidP="005B0D2C">
            <w:pPr>
              <w:pStyle w:val="Tabletext"/>
              <w:spacing w:beforeLines="60" w:before="144"/>
            </w:pPr>
            <w:r w:rsidRPr="00C72A74">
              <w:t>Quarter 2</w:t>
            </w:r>
          </w:p>
        </w:tc>
        <w:tc>
          <w:tcPr>
            <w:tcW w:w="3117" w:type="dxa"/>
            <w:shd w:val="clear" w:color="auto" w:fill="auto"/>
          </w:tcPr>
          <w:p w:rsidR="000F716A" w:rsidRPr="00C72A74" w:rsidRDefault="000F716A" w:rsidP="005B0D2C">
            <w:pPr>
              <w:pStyle w:val="Tabletext"/>
              <w:spacing w:beforeLines="60" w:before="144"/>
            </w:pPr>
            <w:r w:rsidRPr="00C72A74">
              <w:t>01/10/2010</w:t>
            </w:r>
            <w:r w:rsidR="00E93C79" w:rsidRPr="00C72A74">
              <w:t>–</w:t>
            </w:r>
            <w:r w:rsidRPr="00C72A74">
              <w:t>31/12/2010</w:t>
            </w:r>
          </w:p>
        </w:tc>
        <w:tc>
          <w:tcPr>
            <w:tcW w:w="5660" w:type="dxa"/>
            <w:shd w:val="clear" w:color="auto" w:fill="auto"/>
          </w:tcPr>
          <w:p w:rsidR="000F716A" w:rsidRPr="00C72A74" w:rsidRDefault="000F716A" w:rsidP="005B0D2C">
            <w:pPr>
              <w:pStyle w:val="Tabletext"/>
              <w:spacing w:beforeLines="60" w:before="144"/>
            </w:pPr>
            <w:r w:rsidRPr="00C72A74">
              <w:t>01/07/2009</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pPr>
            <w:r w:rsidRPr="00C72A74">
              <w:t>6</w:t>
            </w:r>
          </w:p>
        </w:tc>
        <w:tc>
          <w:tcPr>
            <w:tcW w:w="2142" w:type="dxa"/>
            <w:shd w:val="clear" w:color="auto" w:fill="auto"/>
          </w:tcPr>
          <w:p w:rsidR="000F716A" w:rsidRPr="00C72A74" w:rsidRDefault="000F716A" w:rsidP="005B0D2C">
            <w:pPr>
              <w:pStyle w:val="Tabletext"/>
              <w:spacing w:beforeLines="60" w:before="144"/>
            </w:pPr>
            <w:r w:rsidRPr="00C72A74">
              <w:t>5</w:t>
            </w:r>
          </w:p>
        </w:tc>
      </w:tr>
      <w:tr w:rsidR="000F716A" w:rsidRPr="00C72A74" w:rsidTr="009566EC">
        <w:tc>
          <w:tcPr>
            <w:tcW w:w="1078" w:type="dxa"/>
            <w:shd w:val="clear" w:color="auto" w:fill="auto"/>
          </w:tcPr>
          <w:p w:rsidR="000F716A" w:rsidRPr="00C72A74" w:rsidRDefault="000F716A" w:rsidP="005B0D2C">
            <w:pPr>
              <w:spacing w:beforeLines="60" w:before="144"/>
              <w:rPr>
                <w:rFonts w:cs="Times New Roman"/>
                <w:sz w:val="20"/>
              </w:rPr>
            </w:pPr>
          </w:p>
        </w:tc>
        <w:tc>
          <w:tcPr>
            <w:tcW w:w="3117" w:type="dxa"/>
            <w:shd w:val="clear" w:color="auto" w:fill="auto"/>
          </w:tcPr>
          <w:p w:rsidR="000F716A" w:rsidRPr="00C72A74" w:rsidRDefault="000F716A" w:rsidP="005B0D2C">
            <w:pPr>
              <w:pStyle w:val="Tabletext"/>
              <w:spacing w:beforeLines="60" w:before="144"/>
            </w:pPr>
            <w:r w:rsidRPr="00C72A74">
              <w:t>01/07/2010</w:t>
            </w:r>
            <w:r w:rsidR="00E93C79" w:rsidRPr="00C72A74">
              <w:t>–</w:t>
            </w:r>
            <w:r w:rsidRPr="00C72A74">
              <w:t>30/09/2010</w:t>
            </w:r>
          </w:p>
        </w:tc>
        <w:tc>
          <w:tcPr>
            <w:tcW w:w="5660" w:type="dxa"/>
            <w:shd w:val="clear" w:color="auto" w:fill="auto"/>
          </w:tcPr>
          <w:p w:rsidR="000F716A" w:rsidRPr="00C72A74" w:rsidRDefault="000F716A" w:rsidP="005B0D2C">
            <w:pPr>
              <w:pStyle w:val="Tabletext"/>
              <w:spacing w:beforeLines="60" w:before="144"/>
            </w:pPr>
            <w:r w:rsidRPr="00C72A74">
              <w:t>01/07/2009</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pPr>
            <w:r w:rsidRPr="00C72A74">
              <w:t>6</w:t>
            </w:r>
          </w:p>
        </w:tc>
        <w:tc>
          <w:tcPr>
            <w:tcW w:w="2142" w:type="dxa"/>
            <w:shd w:val="clear" w:color="auto" w:fill="auto"/>
          </w:tcPr>
          <w:p w:rsidR="000F716A" w:rsidRPr="00C72A74" w:rsidRDefault="000F716A" w:rsidP="005B0D2C">
            <w:pPr>
              <w:pStyle w:val="Tabletext"/>
              <w:spacing w:beforeLines="60" w:before="144"/>
            </w:pPr>
            <w:r w:rsidRPr="00C72A74">
              <w:t>5</w:t>
            </w:r>
          </w:p>
        </w:tc>
      </w:tr>
      <w:tr w:rsidR="000F716A" w:rsidRPr="00C72A74" w:rsidTr="009566EC">
        <w:tc>
          <w:tcPr>
            <w:tcW w:w="1078" w:type="dxa"/>
            <w:shd w:val="clear" w:color="auto" w:fill="auto"/>
          </w:tcPr>
          <w:p w:rsidR="000F716A" w:rsidRPr="00C72A74" w:rsidRDefault="000F716A" w:rsidP="005B0D2C">
            <w:pPr>
              <w:spacing w:beforeLines="60" w:before="144"/>
              <w:rPr>
                <w:rFonts w:cs="Times New Roman"/>
                <w:sz w:val="20"/>
              </w:rPr>
            </w:pPr>
          </w:p>
        </w:tc>
        <w:tc>
          <w:tcPr>
            <w:tcW w:w="3117" w:type="dxa"/>
            <w:shd w:val="clear" w:color="auto" w:fill="auto"/>
          </w:tcPr>
          <w:p w:rsidR="000F716A" w:rsidRPr="00C72A74" w:rsidRDefault="000F716A" w:rsidP="005B0D2C">
            <w:pPr>
              <w:pStyle w:val="Tabletext"/>
              <w:spacing w:beforeLines="60" w:before="144"/>
            </w:pPr>
            <w:r w:rsidRPr="00C72A74">
              <w:t>01/04/2010</w:t>
            </w:r>
            <w:r w:rsidR="00E93C79" w:rsidRPr="00C72A74">
              <w:t>–</w:t>
            </w:r>
            <w:r w:rsidRPr="00C72A74">
              <w:t>30/06/2010 or earlier</w:t>
            </w:r>
          </w:p>
        </w:tc>
        <w:tc>
          <w:tcPr>
            <w:tcW w:w="5660" w:type="dxa"/>
            <w:shd w:val="clear" w:color="auto" w:fill="auto"/>
          </w:tcPr>
          <w:p w:rsidR="000F716A" w:rsidRPr="00C72A74" w:rsidRDefault="000F716A" w:rsidP="005B0D2C">
            <w:pPr>
              <w:pStyle w:val="Tabletext"/>
              <w:spacing w:beforeLines="60" w:before="144"/>
            </w:pPr>
            <w:r w:rsidRPr="00C72A74">
              <w:t>01/07/2009</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pPr>
            <w:r w:rsidRPr="00C72A74">
              <w:t>6</w:t>
            </w:r>
          </w:p>
        </w:tc>
        <w:tc>
          <w:tcPr>
            <w:tcW w:w="2142" w:type="dxa"/>
            <w:shd w:val="clear" w:color="auto" w:fill="auto"/>
          </w:tcPr>
          <w:p w:rsidR="000F716A" w:rsidRPr="00C72A74" w:rsidRDefault="000F716A" w:rsidP="005B0D2C">
            <w:pPr>
              <w:pStyle w:val="Tabletext"/>
              <w:spacing w:beforeLines="60" w:before="144"/>
            </w:pPr>
            <w:r w:rsidRPr="00C72A74">
              <w:t>5</w:t>
            </w:r>
          </w:p>
        </w:tc>
      </w:tr>
      <w:tr w:rsidR="000F716A" w:rsidRPr="00C72A74" w:rsidTr="009566EC">
        <w:tc>
          <w:tcPr>
            <w:tcW w:w="1078" w:type="dxa"/>
            <w:shd w:val="clear" w:color="auto" w:fill="auto"/>
          </w:tcPr>
          <w:p w:rsidR="000F716A" w:rsidRPr="00C72A74" w:rsidRDefault="000F716A" w:rsidP="005B0D2C">
            <w:pPr>
              <w:pStyle w:val="Tabletext"/>
              <w:spacing w:beforeLines="60" w:before="144"/>
            </w:pPr>
            <w:r w:rsidRPr="00C72A74">
              <w:t xml:space="preserve">Quarter 3 </w:t>
            </w:r>
          </w:p>
        </w:tc>
        <w:tc>
          <w:tcPr>
            <w:tcW w:w="3117" w:type="dxa"/>
            <w:shd w:val="clear" w:color="auto" w:fill="auto"/>
          </w:tcPr>
          <w:p w:rsidR="000F716A" w:rsidRPr="00C72A74" w:rsidRDefault="000F716A" w:rsidP="005B0D2C">
            <w:pPr>
              <w:pStyle w:val="Tabletext"/>
              <w:spacing w:beforeLines="60" w:before="144"/>
            </w:pPr>
            <w:r w:rsidRPr="00C72A74">
              <w:t>01/10/2010</w:t>
            </w:r>
            <w:r w:rsidR="00E93C79" w:rsidRPr="00C72A74">
              <w:t>–</w:t>
            </w:r>
            <w:r w:rsidRPr="00C72A74">
              <w:t>31/12/2010</w:t>
            </w:r>
          </w:p>
        </w:tc>
        <w:tc>
          <w:tcPr>
            <w:tcW w:w="5660" w:type="dxa"/>
            <w:shd w:val="clear" w:color="auto" w:fill="auto"/>
          </w:tcPr>
          <w:p w:rsidR="000F716A" w:rsidRPr="00C72A74" w:rsidRDefault="000F716A" w:rsidP="005B0D2C">
            <w:pPr>
              <w:pStyle w:val="Tabletext"/>
              <w:spacing w:beforeLines="60" w:before="144"/>
            </w:pPr>
            <w:r w:rsidRPr="00C72A74">
              <w:t>01/10/2009</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pPr>
            <w:r w:rsidRPr="00C72A74">
              <w:t>5</w:t>
            </w:r>
          </w:p>
        </w:tc>
        <w:tc>
          <w:tcPr>
            <w:tcW w:w="2142" w:type="dxa"/>
            <w:shd w:val="clear" w:color="auto" w:fill="auto"/>
          </w:tcPr>
          <w:p w:rsidR="000F716A" w:rsidRPr="00C72A74" w:rsidRDefault="000F716A" w:rsidP="005B0D2C">
            <w:pPr>
              <w:pStyle w:val="Tabletext"/>
              <w:spacing w:beforeLines="60" w:before="144"/>
            </w:pPr>
            <w:r w:rsidRPr="00C72A74">
              <w:t>6</w:t>
            </w:r>
          </w:p>
        </w:tc>
      </w:tr>
      <w:tr w:rsidR="000F716A" w:rsidRPr="00C72A74" w:rsidTr="009566EC">
        <w:tc>
          <w:tcPr>
            <w:tcW w:w="1078" w:type="dxa"/>
            <w:shd w:val="clear" w:color="auto" w:fill="auto"/>
          </w:tcPr>
          <w:p w:rsidR="000F716A" w:rsidRPr="00C72A74" w:rsidRDefault="000F716A" w:rsidP="005B0D2C">
            <w:pPr>
              <w:spacing w:beforeLines="60" w:before="144"/>
              <w:rPr>
                <w:rFonts w:cs="Times New Roman"/>
                <w:sz w:val="20"/>
              </w:rPr>
            </w:pPr>
          </w:p>
        </w:tc>
        <w:tc>
          <w:tcPr>
            <w:tcW w:w="3117" w:type="dxa"/>
            <w:shd w:val="clear" w:color="auto" w:fill="auto"/>
          </w:tcPr>
          <w:p w:rsidR="000F716A" w:rsidRPr="00C72A74" w:rsidRDefault="000F716A" w:rsidP="005B0D2C">
            <w:pPr>
              <w:pStyle w:val="Tabletext"/>
              <w:spacing w:beforeLines="60" w:before="144"/>
            </w:pPr>
            <w:r w:rsidRPr="00C72A74">
              <w:t>01/07/2010</w:t>
            </w:r>
            <w:r w:rsidR="00E93C79" w:rsidRPr="00C72A74">
              <w:t>–</w:t>
            </w:r>
            <w:r w:rsidRPr="00C72A74">
              <w:t>30/09/2010</w:t>
            </w:r>
          </w:p>
        </w:tc>
        <w:tc>
          <w:tcPr>
            <w:tcW w:w="5660" w:type="dxa"/>
            <w:shd w:val="clear" w:color="auto" w:fill="auto"/>
          </w:tcPr>
          <w:p w:rsidR="000F716A" w:rsidRPr="00C72A74" w:rsidRDefault="000F716A" w:rsidP="005B0D2C">
            <w:pPr>
              <w:pStyle w:val="Tabletext"/>
              <w:spacing w:beforeLines="60" w:before="144"/>
            </w:pPr>
            <w:r w:rsidRPr="00C72A74">
              <w:t>01/10/2009</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pPr>
            <w:r w:rsidRPr="00C72A74">
              <w:t>5</w:t>
            </w:r>
          </w:p>
        </w:tc>
        <w:tc>
          <w:tcPr>
            <w:tcW w:w="2142" w:type="dxa"/>
            <w:shd w:val="clear" w:color="auto" w:fill="auto"/>
          </w:tcPr>
          <w:p w:rsidR="000F716A" w:rsidRPr="00C72A74" w:rsidRDefault="000F716A" w:rsidP="005B0D2C">
            <w:pPr>
              <w:pStyle w:val="Tabletext"/>
              <w:spacing w:beforeLines="60" w:before="144"/>
            </w:pPr>
            <w:r w:rsidRPr="00C72A74">
              <w:t>6</w:t>
            </w:r>
          </w:p>
        </w:tc>
      </w:tr>
      <w:tr w:rsidR="000F716A" w:rsidRPr="00C72A74" w:rsidTr="009566EC">
        <w:tc>
          <w:tcPr>
            <w:tcW w:w="1078" w:type="dxa"/>
            <w:shd w:val="clear" w:color="auto" w:fill="auto"/>
          </w:tcPr>
          <w:p w:rsidR="000F716A" w:rsidRPr="00C72A74" w:rsidRDefault="000F716A" w:rsidP="005B0D2C">
            <w:pPr>
              <w:spacing w:beforeLines="60" w:before="144"/>
              <w:rPr>
                <w:rFonts w:cs="Times New Roman"/>
                <w:sz w:val="20"/>
              </w:rPr>
            </w:pPr>
          </w:p>
        </w:tc>
        <w:tc>
          <w:tcPr>
            <w:tcW w:w="3117" w:type="dxa"/>
            <w:shd w:val="clear" w:color="auto" w:fill="auto"/>
          </w:tcPr>
          <w:p w:rsidR="000F716A" w:rsidRPr="00C72A74" w:rsidRDefault="000F716A" w:rsidP="005B0D2C">
            <w:pPr>
              <w:pStyle w:val="Tabletext"/>
              <w:spacing w:beforeLines="60" w:before="144"/>
            </w:pPr>
            <w:r w:rsidRPr="00C72A74">
              <w:t>01/04/2010</w:t>
            </w:r>
            <w:r w:rsidR="00E93C79" w:rsidRPr="00C72A74">
              <w:t>–</w:t>
            </w:r>
            <w:r w:rsidRPr="00C72A74">
              <w:t>30/06/2010 or earlier</w:t>
            </w:r>
          </w:p>
        </w:tc>
        <w:tc>
          <w:tcPr>
            <w:tcW w:w="5660" w:type="dxa"/>
            <w:shd w:val="clear" w:color="auto" w:fill="auto"/>
          </w:tcPr>
          <w:p w:rsidR="000F716A" w:rsidRPr="00C72A74" w:rsidRDefault="000F716A" w:rsidP="005B0D2C">
            <w:pPr>
              <w:pStyle w:val="Tabletext"/>
              <w:spacing w:beforeLines="60" w:before="144"/>
            </w:pPr>
            <w:r w:rsidRPr="00C72A74">
              <w:t>01/10/2009</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pPr>
            <w:r w:rsidRPr="00C72A74">
              <w:t>5</w:t>
            </w:r>
          </w:p>
        </w:tc>
        <w:tc>
          <w:tcPr>
            <w:tcW w:w="2142" w:type="dxa"/>
            <w:shd w:val="clear" w:color="auto" w:fill="auto"/>
          </w:tcPr>
          <w:p w:rsidR="000F716A" w:rsidRPr="00C72A74" w:rsidRDefault="000F716A" w:rsidP="005B0D2C">
            <w:pPr>
              <w:pStyle w:val="Tabletext"/>
              <w:spacing w:beforeLines="60" w:before="144"/>
            </w:pPr>
            <w:r w:rsidRPr="00C72A74">
              <w:t>6</w:t>
            </w:r>
          </w:p>
        </w:tc>
      </w:tr>
      <w:tr w:rsidR="000F716A" w:rsidRPr="00C72A74" w:rsidTr="009566EC">
        <w:tc>
          <w:tcPr>
            <w:tcW w:w="1078" w:type="dxa"/>
            <w:shd w:val="clear" w:color="auto" w:fill="auto"/>
          </w:tcPr>
          <w:p w:rsidR="000F716A" w:rsidRPr="00C72A74" w:rsidRDefault="000F716A" w:rsidP="005B0D2C">
            <w:pPr>
              <w:pStyle w:val="Tabletext"/>
              <w:spacing w:beforeLines="60" w:before="144"/>
            </w:pPr>
            <w:r w:rsidRPr="00C72A74">
              <w:t>Quarter 4</w:t>
            </w:r>
          </w:p>
        </w:tc>
        <w:tc>
          <w:tcPr>
            <w:tcW w:w="3117" w:type="dxa"/>
            <w:shd w:val="clear" w:color="auto" w:fill="auto"/>
          </w:tcPr>
          <w:p w:rsidR="000F716A" w:rsidRPr="00C72A74" w:rsidRDefault="000F716A" w:rsidP="005B0D2C">
            <w:pPr>
              <w:pStyle w:val="Tabletext"/>
              <w:spacing w:beforeLines="60" w:before="144"/>
            </w:pPr>
            <w:r w:rsidRPr="00C72A74">
              <w:t>01/10/2010</w:t>
            </w:r>
            <w:r w:rsidR="00E93C79" w:rsidRPr="00C72A74">
              <w:t>–</w:t>
            </w:r>
            <w:r w:rsidRPr="00C72A74">
              <w:t>31/12/2010</w:t>
            </w:r>
          </w:p>
        </w:tc>
        <w:tc>
          <w:tcPr>
            <w:tcW w:w="5660" w:type="dxa"/>
            <w:shd w:val="clear" w:color="auto" w:fill="auto"/>
          </w:tcPr>
          <w:p w:rsidR="000F716A" w:rsidRPr="00C72A74" w:rsidRDefault="000F716A" w:rsidP="005B0D2C">
            <w:pPr>
              <w:pStyle w:val="Tabletext"/>
              <w:spacing w:beforeLines="60" w:before="144"/>
            </w:pPr>
            <w:r w:rsidRPr="00C72A74">
              <w:t>01/01/2010</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pPr>
            <w:r w:rsidRPr="00C72A74">
              <w:t>4</w:t>
            </w:r>
          </w:p>
        </w:tc>
        <w:tc>
          <w:tcPr>
            <w:tcW w:w="2142" w:type="dxa"/>
            <w:shd w:val="clear" w:color="auto" w:fill="auto"/>
          </w:tcPr>
          <w:p w:rsidR="000F716A" w:rsidRPr="00C72A74" w:rsidRDefault="000F716A" w:rsidP="005B0D2C">
            <w:pPr>
              <w:pStyle w:val="Tabletext"/>
              <w:spacing w:beforeLines="60" w:before="144"/>
            </w:pPr>
            <w:r w:rsidRPr="00C72A74">
              <w:t>7</w:t>
            </w:r>
          </w:p>
        </w:tc>
      </w:tr>
      <w:tr w:rsidR="000F716A" w:rsidRPr="00C72A74" w:rsidTr="0058246A">
        <w:tc>
          <w:tcPr>
            <w:tcW w:w="1078" w:type="dxa"/>
            <w:shd w:val="clear" w:color="auto" w:fill="auto"/>
          </w:tcPr>
          <w:p w:rsidR="000F716A" w:rsidRPr="00C72A74" w:rsidRDefault="000F716A" w:rsidP="005B0D2C">
            <w:pPr>
              <w:spacing w:beforeLines="60" w:before="144"/>
              <w:rPr>
                <w:rFonts w:cs="Times New Roman"/>
                <w:sz w:val="20"/>
              </w:rPr>
            </w:pPr>
          </w:p>
        </w:tc>
        <w:tc>
          <w:tcPr>
            <w:tcW w:w="3117" w:type="dxa"/>
            <w:shd w:val="clear" w:color="auto" w:fill="auto"/>
          </w:tcPr>
          <w:p w:rsidR="000F716A" w:rsidRPr="00C72A74" w:rsidRDefault="000F716A" w:rsidP="005B0D2C">
            <w:pPr>
              <w:pStyle w:val="Tabletext"/>
              <w:spacing w:beforeLines="60" w:before="144"/>
            </w:pPr>
            <w:r w:rsidRPr="00C72A74">
              <w:t>01/07/2010</w:t>
            </w:r>
            <w:r w:rsidR="00E93C79" w:rsidRPr="00C72A74">
              <w:t>–</w:t>
            </w:r>
            <w:r w:rsidRPr="00C72A74">
              <w:t>30/09/2010</w:t>
            </w:r>
          </w:p>
        </w:tc>
        <w:tc>
          <w:tcPr>
            <w:tcW w:w="5660" w:type="dxa"/>
            <w:shd w:val="clear" w:color="auto" w:fill="auto"/>
          </w:tcPr>
          <w:p w:rsidR="000F716A" w:rsidRPr="00C72A74" w:rsidRDefault="000F716A" w:rsidP="005B0D2C">
            <w:pPr>
              <w:pStyle w:val="Tabletext"/>
              <w:spacing w:beforeLines="60" w:before="144"/>
            </w:pPr>
            <w:r w:rsidRPr="00C72A74">
              <w:t>01/01/2010</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pPr>
            <w:r w:rsidRPr="00C72A74">
              <w:t>4</w:t>
            </w:r>
          </w:p>
        </w:tc>
        <w:tc>
          <w:tcPr>
            <w:tcW w:w="2142" w:type="dxa"/>
            <w:shd w:val="clear" w:color="auto" w:fill="auto"/>
          </w:tcPr>
          <w:p w:rsidR="000F716A" w:rsidRPr="00C72A74" w:rsidRDefault="000F716A" w:rsidP="005B0D2C">
            <w:pPr>
              <w:pStyle w:val="Tabletext"/>
              <w:spacing w:beforeLines="60" w:before="144"/>
            </w:pPr>
            <w:r w:rsidRPr="00C72A74">
              <w:t>7</w:t>
            </w:r>
          </w:p>
        </w:tc>
      </w:tr>
      <w:tr w:rsidR="000F716A" w:rsidRPr="00C72A74" w:rsidTr="0058246A">
        <w:tc>
          <w:tcPr>
            <w:tcW w:w="1078" w:type="dxa"/>
            <w:tcBorders>
              <w:bottom w:val="single" w:sz="12" w:space="0" w:color="auto"/>
            </w:tcBorders>
            <w:shd w:val="clear" w:color="auto" w:fill="auto"/>
          </w:tcPr>
          <w:p w:rsidR="000F716A" w:rsidRPr="00C72A74" w:rsidRDefault="000F716A" w:rsidP="005B0D2C">
            <w:pPr>
              <w:spacing w:beforeLines="60" w:before="144"/>
              <w:rPr>
                <w:rFonts w:cs="Times New Roman"/>
                <w:sz w:val="20"/>
              </w:rPr>
            </w:pPr>
          </w:p>
        </w:tc>
        <w:tc>
          <w:tcPr>
            <w:tcW w:w="3117" w:type="dxa"/>
            <w:tcBorders>
              <w:bottom w:val="single" w:sz="12" w:space="0" w:color="auto"/>
            </w:tcBorders>
            <w:shd w:val="clear" w:color="auto" w:fill="auto"/>
          </w:tcPr>
          <w:p w:rsidR="000F716A" w:rsidRPr="00C72A74" w:rsidRDefault="000F716A" w:rsidP="005B0D2C">
            <w:pPr>
              <w:pStyle w:val="Tabletext"/>
              <w:spacing w:beforeLines="60" w:before="144"/>
            </w:pPr>
            <w:r w:rsidRPr="00C72A74">
              <w:t>01/04/2010</w:t>
            </w:r>
            <w:r w:rsidR="00E93C79" w:rsidRPr="00C72A74">
              <w:t>–</w:t>
            </w:r>
            <w:r w:rsidRPr="00C72A74">
              <w:t>30/06/2010 or earlier</w:t>
            </w:r>
          </w:p>
        </w:tc>
        <w:tc>
          <w:tcPr>
            <w:tcW w:w="5660" w:type="dxa"/>
            <w:tcBorders>
              <w:bottom w:val="single" w:sz="12" w:space="0" w:color="auto"/>
            </w:tcBorders>
            <w:shd w:val="clear" w:color="auto" w:fill="auto"/>
          </w:tcPr>
          <w:p w:rsidR="000F716A" w:rsidRPr="00C72A74" w:rsidRDefault="000F716A" w:rsidP="005B0D2C">
            <w:pPr>
              <w:pStyle w:val="Tabletext"/>
              <w:spacing w:beforeLines="60" w:before="144"/>
            </w:pPr>
            <w:r w:rsidRPr="00C72A74">
              <w:t>01/01/2010</w:t>
            </w:r>
            <w:r w:rsidR="00E93C79" w:rsidRPr="00C72A74">
              <w:t>–</w:t>
            </w:r>
            <w:r w:rsidRPr="00C72A74">
              <w:t xml:space="preserve">31/12/2010 </w:t>
            </w:r>
          </w:p>
        </w:tc>
        <w:tc>
          <w:tcPr>
            <w:tcW w:w="2155" w:type="dxa"/>
            <w:tcBorders>
              <w:bottom w:val="single" w:sz="12" w:space="0" w:color="auto"/>
            </w:tcBorders>
            <w:shd w:val="clear" w:color="auto" w:fill="auto"/>
          </w:tcPr>
          <w:p w:rsidR="000F716A" w:rsidRPr="00C72A74" w:rsidRDefault="000F716A" w:rsidP="005B0D2C">
            <w:pPr>
              <w:pStyle w:val="Tabletext"/>
              <w:spacing w:beforeLines="60" w:before="144"/>
            </w:pPr>
            <w:r w:rsidRPr="00C72A74">
              <w:t>4</w:t>
            </w:r>
          </w:p>
        </w:tc>
        <w:tc>
          <w:tcPr>
            <w:tcW w:w="2142" w:type="dxa"/>
            <w:tcBorders>
              <w:bottom w:val="single" w:sz="12" w:space="0" w:color="auto"/>
            </w:tcBorders>
            <w:shd w:val="clear" w:color="auto" w:fill="auto"/>
          </w:tcPr>
          <w:p w:rsidR="000F716A" w:rsidRPr="00C72A74" w:rsidRDefault="000F716A" w:rsidP="005B0D2C">
            <w:pPr>
              <w:pStyle w:val="Tabletext"/>
              <w:spacing w:beforeLines="60" w:before="144"/>
            </w:pPr>
            <w:r w:rsidRPr="00C72A74">
              <w:t>7</w:t>
            </w:r>
          </w:p>
        </w:tc>
      </w:tr>
      <w:bookmarkEnd w:id="43"/>
    </w:tbl>
    <w:p w:rsidR="00116FD8" w:rsidRDefault="00116FD8" w:rsidP="00116FD8"/>
    <w:p w:rsidR="000F716A" w:rsidRPr="00C72A74" w:rsidRDefault="000F716A" w:rsidP="001F17BC">
      <w:pPr>
        <w:pStyle w:val="ActHead5"/>
        <w:ind w:left="0" w:firstLine="0"/>
      </w:pPr>
      <w:bookmarkStart w:id="44" w:name="_Toc359833576"/>
      <w:r w:rsidRPr="00C72A74">
        <w:lastRenderedPageBreak/>
        <w:t>ATS Year 3</w:t>
      </w:r>
      <w:bookmarkEnd w:id="44"/>
    </w:p>
    <w:p w:rsidR="002F064D" w:rsidRPr="00C72A74" w:rsidRDefault="002F064D" w:rsidP="001F17BC">
      <w:pPr>
        <w:pStyle w:val="Tabletext"/>
        <w:keepNext/>
        <w:keepLines/>
      </w:pPr>
    </w:p>
    <w:tbl>
      <w:tblPr>
        <w:tblW w:w="14152" w:type="dxa"/>
        <w:tblInd w:w="24" w:type="dxa"/>
        <w:tblLook w:val="01E0" w:firstRow="1" w:lastRow="1" w:firstColumn="1" w:lastColumn="1" w:noHBand="0" w:noVBand="0"/>
      </w:tblPr>
      <w:tblGrid>
        <w:gridCol w:w="1078"/>
        <w:gridCol w:w="3117"/>
        <w:gridCol w:w="5660"/>
        <w:gridCol w:w="2155"/>
        <w:gridCol w:w="2142"/>
      </w:tblGrid>
      <w:tr w:rsidR="000F716A" w:rsidRPr="009566EC" w:rsidTr="000C3430">
        <w:tc>
          <w:tcPr>
            <w:tcW w:w="1078" w:type="dxa"/>
            <w:tcBorders>
              <w:top w:val="single" w:sz="12" w:space="0" w:color="auto"/>
              <w:bottom w:val="single" w:sz="12" w:space="0" w:color="auto"/>
            </w:tcBorders>
            <w:shd w:val="clear" w:color="auto" w:fill="auto"/>
          </w:tcPr>
          <w:p w:rsidR="000F716A" w:rsidRPr="009566EC" w:rsidRDefault="000F716A" w:rsidP="002F064D">
            <w:pPr>
              <w:pStyle w:val="TableHeading"/>
              <w:rPr>
                <w:rFonts w:ascii="Arial" w:hAnsi="Arial" w:cs="Arial"/>
              </w:rPr>
            </w:pPr>
            <w:bookmarkStart w:id="45" w:name="BK_S5P20L1C1"/>
          </w:p>
        </w:tc>
        <w:tc>
          <w:tcPr>
            <w:tcW w:w="3117" w:type="dxa"/>
            <w:tcBorders>
              <w:top w:val="single" w:sz="12" w:space="0" w:color="auto"/>
              <w:bottom w:val="single" w:sz="12" w:space="0" w:color="auto"/>
            </w:tcBorders>
            <w:shd w:val="clear" w:color="auto" w:fill="auto"/>
          </w:tcPr>
          <w:p w:rsidR="000F716A" w:rsidRPr="009566EC" w:rsidRDefault="004A4177" w:rsidP="002F064D">
            <w:pPr>
              <w:pStyle w:val="TableHeading"/>
              <w:rPr>
                <w:rFonts w:ascii="Arial" w:hAnsi="Arial" w:cs="Arial"/>
                <w:sz w:val="17"/>
                <w:szCs w:val="17"/>
              </w:rPr>
            </w:pPr>
            <w:r w:rsidRPr="009566EC">
              <w:rPr>
                <w:rFonts w:ascii="Arial" w:hAnsi="Arial" w:cs="Arial"/>
                <w:sz w:val="17"/>
                <w:szCs w:val="17"/>
              </w:rPr>
              <w:t>Registration quarter for ACIS</w:t>
            </w:r>
          </w:p>
        </w:tc>
        <w:tc>
          <w:tcPr>
            <w:tcW w:w="5660" w:type="dxa"/>
            <w:tcBorders>
              <w:top w:val="single" w:sz="12" w:space="0" w:color="auto"/>
              <w:bottom w:val="single" w:sz="12" w:space="0" w:color="auto"/>
            </w:tcBorders>
            <w:shd w:val="clear" w:color="auto" w:fill="auto"/>
          </w:tcPr>
          <w:p w:rsidR="000F716A" w:rsidRPr="009566EC" w:rsidRDefault="004A4177" w:rsidP="002F064D">
            <w:pPr>
              <w:pStyle w:val="TableHeading"/>
              <w:rPr>
                <w:rFonts w:ascii="Arial" w:hAnsi="Arial" w:cs="Arial"/>
                <w:sz w:val="17"/>
                <w:szCs w:val="17"/>
              </w:rPr>
            </w:pPr>
            <w:r w:rsidRPr="009566EC">
              <w:rPr>
                <w:rFonts w:ascii="Arial" w:hAnsi="Arial" w:cs="Arial"/>
                <w:sz w:val="17"/>
                <w:szCs w:val="17"/>
              </w:rPr>
              <w:t>The period for which investment under ACIS is to be regarded as eligible investment for working out unmodulated investment amount for: MVPs under section</w:t>
            </w:r>
            <w:r w:rsidR="00C72A74" w:rsidRPr="009566EC">
              <w:rPr>
                <w:rFonts w:ascii="Arial" w:hAnsi="Arial" w:cs="Arial"/>
                <w:sz w:val="17"/>
                <w:szCs w:val="17"/>
              </w:rPr>
              <w:t> </w:t>
            </w:r>
            <w:r w:rsidR="00E93C79" w:rsidRPr="009566EC">
              <w:rPr>
                <w:rFonts w:ascii="Arial" w:hAnsi="Arial" w:cs="Arial"/>
                <w:sz w:val="17"/>
                <w:szCs w:val="17"/>
              </w:rPr>
              <w:t>2.2; and non</w:t>
            </w:r>
            <w:r w:rsidR="00C72A74" w:rsidRPr="009566EC">
              <w:rPr>
                <w:rFonts w:ascii="Arial" w:hAnsi="Arial" w:cs="Arial"/>
                <w:sz w:val="17"/>
                <w:szCs w:val="17"/>
              </w:rPr>
              <w:noBreakHyphen/>
            </w:r>
            <w:r w:rsidR="00E93C79" w:rsidRPr="009566EC">
              <w:rPr>
                <w:rFonts w:ascii="Arial" w:hAnsi="Arial" w:cs="Arial"/>
                <w:sz w:val="17"/>
                <w:szCs w:val="17"/>
              </w:rPr>
              <w:t>MVPs under section</w:t>
            </w:r>
            <w:r w:rsidR="00C72A74" w:rsidRPr="009566EC">
              <w:rPr>
                <w:rFonts w:ascii="Arial" w:hAnsi="Arial" w:cs="Arial"/>
                <w:sz w:val="17"/>
                <w:szCs w:val="17"/>
              </w:rPr>
              <w:t> </w:t>
            </w:r>
            <w:r w:rsidRPr="009566EC">
              <w:rPr>
                <w:rFonts w:ascii="Arial" w:hAnsi="Arial" w:cs="Arial"/>
                <w:sz w:val="17"/>
                <w:szCs w:val="17"/>
              </w:rPr>
              <w:t>2.3</w:t>
            </w:r>
          </w:p>
        </w:tc>
        <w:tc>
          <w:tcPr>
            <w:tcW w:w="2155" w:type="dxa"/>
            <w:tcBorders>
              <w:top w:val="single" w:sz="12" w:space="0" w:color="auto"/>
              <w:bottom w:val="single" w:sz="12" w:space="0" w:color="auto"/>
            </w:tcBorders>
            <w:shd w:val="clear" w:color="auto" w:fill="auto"/>
          </w:tcPr>
          <w:p w:rsidR="000F716A" w:rsidRPr="009566EC" w:rsidRDefault="004A4177" w:rsidP="002F064D">
            <w:pPr>
              <w:pStyle w:val="TableHeading"/>
              <w:rPr>
                <w:rFonts w:ascii="Arial" w:hAnsi="Arial" w:cs="Arial"/>
                <w:sz w:val="17"/>
                <w:szCs w:val="17"/>
              </w:rPr>
            </w:pPr>
            <w:r w:rsidRPr="009566EC">
              <w:rPr>
                <w:rFonts w:ascii="Arial" w:hAnsi="Arial" w:cs="Arial"/>
                <w:sz w:val="17"/>
                <w:szCs w:val="17"/>
              </w:rPr>
              <w:t xml:space="preserve">No. of quarters under ACIS to be included in </w:t>
            </w:r>
            <w:r w:rsidRPr="009566EC">
              <w:rPr>
                <w:rFonts w:ascii="Arial" w:hAnsi="Arial" w:cs="Arial"/>
                <w:i/>
                <w:sz w:val="17"/>
                <w:szCs w:val="17"/>
              </w:rPr>
              <w:t>RQ</w:t>
            </w:r>
            <w:r w:rsidRPr="009566EC">
              <w:rPr>
                <w:rFonts w:ascii="Arial" w:hAnsi="Arial" w:cs="Arial"/>
                <w:sz w:val="17"/>
                <w:szCs w:val="17"/>
              </w:rPr>
              <w:t xml:space="preserve"> in sections</w:t>
            </w:r>
            <w:r w:rsidR="00C72A74" w:rsidRPr="009566EC">
              <w:rPr>
                <w:rFonts w:ascii="Arial" w:hAnsi="Arial" w:cs="Arial"/>
                <w:sz w:val="17"/>
                <w:szCs w:val="17"/>
              </w:rPr>
              <w:t> </w:t>
            </w:r>
            <w:r w:rsidR="00E93C79" w:rsidRPr="009566EC">
              <w:rPr>
                <w:rFonts w:ascii="Arial" w:hAnsi="Arial" w:cs="Arial"/>
                <w:sz w:val="17"/>
                <w:szCs w:val="17"/>
              </w:rPr>
              <w:t>2.2 and </w:t>
            </w:r>
            <w:r w:rsidRPr="009566EC">
              <w:rPr>
                <w:rFonts w:ascii="Arial" w:hAnsi="Arial" w:cs="Arial"/>
                <w:sz w:val="17"/>
                <w:szCs w:val="17"/>
              </w:rPr>
              <w:t>2.3</w:t>
            </w:r>
          </w:p>
        </w:tc>
        <w:tc>
          <w:tcPr>
            <w:tcW w:w="2142" w:type="dxa"/>
            <w:tcBorders>
              <w:top w:val="single" w:sz="12" w:space="0" w:color="auto"/>
              <w:bottom w:val="single" w:sz="12" w:space="0" w:color="auto"/>
            </w:tcBorders>
            <w:shd w:val="clear" w:color="auto" w:fill="auto"/>
          </w:tcPr>
          <w:p w:rsidR="000F716A" w:rsidRPr="009566EC" w:rsidRDefault="004A4177" w:rsidP="002F064D">
            <w:pPr>
              <w:pStyle w:val="TableHeading"/>
              <w:rPr>
                <w:rFonts w:ascii="Arial" w:hAnsi="Arial" w:cs="Arial"/>
                <w:sz w:val="17"/>
                <w:szCs w:val="17"/>
              </w:rPr>
            </w:pPr>
            <w:r w:rsidRPr="009566EC">
              <w:rPr>
                <w:rFonts w:ascii="Arial" w:hAnsi="Arial" w:cs="Arial"/>
                <w:sz w:val="17"/>
                <w:szCs w:val="17"/>
              </w:rPr>
              <w:t xml:space="preserve">No. of quarters under ATS to be included in </w:t>
            </w:r>
            <w:r w:rsidRPr="009566EC">
              <w:rPr>
                <w:rFonts w:ascii="Arial" w:hAnsi="Arial" w:cs="Arial"/>
                <w:i/>
                <w:sz w:val="17"/>
                <w:szCs w:val="17"/>
              </w:rPr>
              <w:t>RQ</w:t>
            </w:r>
            <w:r w:rsidR="00E93C79" w:rsidRPr="009566EC">
              <w:rPr>
                <w:rFonts w:ascii="Arial" w:hAnsi="Arial" w:cs="Arial"/>
                <w:sz w:val="17"/>
                <w:szCs w:val="17"/>
              </w:rPr>
              <w:t xml:space="preserve"> in sections</w:t>
            </w:r>
            <w:r w:rsidR="00C72A74" w:rsidRPr="009566EC">
              <w:rPr>
                <w:rFonts w:ascii="Arial" w:hAnsi="Arial" w:cs="Arial"/>
                <w:sz w:val="17"/>
                <w:szCs w:val="17"/>
              </w:rPr>
              <w:t> </w:t>
            </w:r>
            <w:r w:rsidR="00E93C79" w:rsidRPr="009566EC">
              <w:rPr>
                <w:rFonts w:ascii="Arial" w:hAnsi="Arial" w:cs="Arial"/>
                <w:sz w:val="17"/>
                <w:szCs w:val="17"/>
              </w:rPr>
              <w:t>2.2 and </w:t>
            </w:r>
            <w:r w:rsidRPr="009566EC">
              <w:rPr>
                <w:rFonts w:ascii="Arial" w:hAnsi="Arial" w:cs="Arial"/>
                <w:sz w:val="17"/>
                <w:szCs w:val="17"/>
              </w:rPr>
              <w:t>2.3</w:t>
            </w:r>
          </w:p>
        </w:tc>
      </w:tr>
      <w:tr w:rsidR="000F716A" w:rsidRPr="00C72A74" w:rsidTr="000C3430">
        <w:tc>
          <w:tcPr>
            <w:tcW w:w="1078" w:type="dxa"/>
            <w:tcBorders>
              <w:top w:val="single" w:sz="12" w:space="0" w:color="auto"/>
            </w:tcBorders>
            <w:shd w:val="clear" w:color="auto" w:fill="auto"/>
          </w:tcPr>
          <w:p w:rsidR="000F716A" w:rsidRPr="00C72A74" w:rsidRDefault="000F716A" w:rsidP="005B0D2C">
            <w:pPr>
              <w:pStyle w:val="Tabletext"/>
              <w:spacing w:beforeLines="60" w:before="144" w:line="240" w:lineRule="exact"/>
            </w:pPr>
            <w:r w:rsidRPr="00C72A74">
              <w:t>Quarter 1</w:t>
            </w:r>
          </w:p>
        </w:tc>
        <w:tc>
          <w:tcPr>
            <w:tcW w:w="3117" w:type="dxa"/>
            <w:tcBorders>
              <w:top w:val="single" w:sz="12" w:space="0" w:color="auto"/>
            </w:tcBorders>
            <w:shd w:val="clear" w:color="auto" w:fill="auto"/>
          </w:tcPr>
          <w:p w:rsidR="000F716A" w:rsidRPr="00C72A74" w:rsidRDefault="000F716A" w:rsidP="005B0D2C">
            <w:pPr>
              <w:pStyle w:val="Tabletext"/>
              <w:spacing w:beforeLines="60" w:before="144" w:line="240" w:lineRule="exact"/>
            </w:pPr>
            <w:r w:rsidRPr="00C72A74">
              <w:t>01/10/2010</w:t>
            </w:r>
            <w:r w:rsidR="00E93C79" w:rsidRPr="00C72A74">
              <w:t>–</w:t>
            </w:r>
            <w:r w:rsidRPr="00C72A74">
              <w:t>31/12/2010</w:t>
            </w:r>
          </w:p>
        </w:tc>
        <w:tc>
          <w:tcPr>
            <w:tcW w:w="5660" w:type="dxa"/>
            <w:tcBorders>
              <w:top w:val="single" w:sz="12" w:space="0" w:color="auto"/>
            </w:tcBorders>
            <w:shd w:val="clear" w:color="auto" w:fill="auto"/>
          </w:tcPr>
          <w:p w:rsidR="000F716A" w:rsidRPr="00C72A74" w:rsidRDefault="000F716A" w:rsidP="005B0D2C">
            <w:pPr>
              <w:pStyle w:val="Tabletext"/>
              <w:spacing w:beforeLines="60" w:before="144" w:line="240" w:lineRule="exact"/>
            </w:pPr>
            <w:r w:rsidRPr="00C72A74">
              <w:t>01/04/2010</w:t>
            </w:r>
            <w:r w:rsidR="00E93C79" w:rsidRPr="00C72A74">
              <w:t>–</w:t>
            </w:r>
            <w:r w:rsidRPr="00C72A74">
              <w:t xml:space="preserve">31/12/2010 </w:t>
            </w:r>
          </w:p>
        </w:tc>
        <w:tc>
          <w:tcPr>
            <w:tcW w:w="2155" w:type="dxa"/>
            <w:tcBorders>
              <w:top w:val="single" w:sz="12" w:space="0" w:color="auto"/>
            </w:tcBorders>
            <w:shd w:val="clear" w:color="auto" w:fill="auto"/>
          </w:tcPr>
          <w:p w:rsidR="000F716A" w:rsidRPr="00C72A74" w:rsidRDefault="000F716A" w:rsidP="005B0D2C">
            <w:pPr>
              <w:pStyle w:val="Tabletext"/>
              <w:spacing w:beforeLines="60" w:before="144" w:line="240" w:lineRule="exact"/>
            </w:pPr>
            <w:r w:rsidRPr="00C72A74">
              <w:t>3</w:t>
            </w:r>
          </w:p>
        </w:tc>
        <w:tc>
          <w:tcPr>
            <w:tcW w:w="2142" w:type="dxa"/>
            <w:tcBorders>
              <w:top w:val="single" w:sz="12" w:space="0" w:color="auto"/>
            </w:tcBorders>
            <w:shd w:val="clear" w:color="auto" w:fill="auto"/>
          </w:tcPr>
          <w:p w:rsidR="000F716A" w:rsidRPr="00C72A74" w:rsidRDefault="000F716A" w:rsidP="005B0D2C">
            <w:pPr>
              <w:pStyle w:val="Tabletext"/>
              <w:spacing w:beforeLines="60" w:before="144" w:line="240" w:lineRule="exact"/>
            </w:pPr>
            <w:r w:rsidRPr="00C72A74">
              <w:t>8</w:t>
            </w:r>
          </w:p>
        </w:tc>
      </w:tr>
      <w:tr w:rsidR="000F716A" w:rsidRPr="00C72A74" w:rsidTr="009566EC">
        <w:tc>
          <w:tcPr>
            <w:tcW w:w="1078" w:type="dxa"/>
            <w:shd w:val="clear" w:color="auto" w:fill="auto"/>
          </w:tcPr>
          <w:p w:rsidR="000F716A" w:rsidRPr="00C72A74" w:rsidRDefault="000F716A" w:rsidP="005B0D2C">
            <w:pPr>
              <w:keepNext/>
              <w:spacing w:beforeLines="60" w:before="144" w:line="240" w:lineRule="exact"/>
              <w:rPr>
                <w:rFonts w:cs="Times New Roman"/>
                <w:sz w:val="20"/>
              </w:rPr>
            </w:pPr>
          </w:p>
        </w:tc>
        <w:tc>
          <w:tcPr>
            <w:tcW w:w="3117" w:type="dxa"/>
            <w:shd w:val="clear" w:color="auto" w:fill="auto"/>
          </w:tcPr>
          <w:p w:rsidR="000F716A" w:rsidRPr="00C72A74" w:rsidRDefault="000F716A" w:rsidP="005B0D2C">
            <w:pPr>
              <w:pStyle w:val="Tabletext"/>
              <w:spacing w:beforeLines="60" w:before="144" w:line="240" w:lineRule="exact"/>
            </w:pPr>
            <w:r w:rsidRPr="00C72A74">
              <w:t>01/07/2010</w:t>
            </w:r>
            <w:r w:rsidR="00E93C79" w:rsidRPr="00C72A74">
              <w:t>–</w:t>
            </w:r>
            <w:r w:rsidRPr="00C72A74">
              <w:t>30/09/2010</w:t>
            </w:r>
          </w:p>
        </w:tc>
        <w:tc>
          <w:tcPr>
            <w:tcW w:w="5660" w:type="dxa"/>
            <w:shd w:val="clear" w:color="auto" w:fill="auto"/>
          </w:tcPr>
          <w:p w:rsidR="000F716A" w:rsidRPr="00C72A74" w:rsidRDefault="000F716A" w:rsidP="005B0D2C">
            <w:pPr>
              <w:pStyle w:val="Tabletext"/>
              <w:spacing w:beforeLines="60" w:before="144" w:line="240" w:lineRule="exact"/>
            </w:pPr>
            <w:r w:rsidRPr="00C72A74">
              <w:t>01/04/2010</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line="240" w:lineRule="exact"/>
            </w:pPr>
            <w:r w:rsidRPr="00C72A74">
              <w:t>3</w:t>
            </w:r>
          </w:p>
        </w:tc>
        <w:tc>
          <w:tcPr>
            <w:tcW w:w="2142" w:type="dxa"/>
            <w:shd w:val="clear" w:color="auto" w:fill="auto"/>
          </w:tcPr>
          <w:p w:rsidR="000F716A" w:rsidRPr="00C72A74" w:rsidRDefault="000F716A" w:rsidP="005B0D2C">
            <w:pPr>
              <w:pStyle w:val="Tabletext"/>
              <w:spacing w:beforeLines="60" w:before="144" w:line="240" w:lineRule="exact"/>
            </w:pPr>
            <w:r w:rsidRPr="00C72A74">
              <w:t>8</w:t>
            </w:r>
          </w:p>
        </w:tc>
      </w:tr>
      <w:tr w:rsidR="000F716A" w:rsidRPr="00C72A74" w:rsidTr="009566EC">
        <w:tc>
          <w:tcPr>
            <w:tcW w:w="1078" w:type="dxa"/>
            <w:shd w:val="clear" w:color="auto" w:fill="auto"/>
          </w:tcPr>
          <w:p w:rsidR="000F716A" w:rsidRPr="00C72A74" w:rsidRDefault="000F716A" w:rsidP="005B0D2C">
            <w:pPr>
              <w:keepNext/>
              <w:spacing w:beforeLines="60" w:before="144" w:line="240" w:lineRule="exact"/>
              <w:rPr>
                <w:rFonts w:cs="Times New Roman"/>
                <w:sz w:val="20"/>
              </w:rPr>
            </w:pPr>
          </w:p>
        </w:tc>
        <w:tc>
          <w:tcPr>
            <w:tcW w:w="3117" w:type="dxa"/>
            <w:shd w:val="clear" w:color="auto" w:fill="auto"/>
          </w:tcPr>
          <w:p w:rsidR="000F716A" w:rsidRPr="00C72A74" w:rsidRDefault="000F716A" w:rsidP="005B0D2C">
            <w:pPr>
              <w:pStyle w:val="Tabletext"/>
              <w:spacing w:beforeLines="60" w:before="144" w:line="240" w:lineRule="exact"/>
            </w:pPr>
            <w:r w:rsidRPr="00C72A74">
              <w:t>01/04/2010</w:t>
            </w:r>
            <w:r w:rsidR="00E93C79" w:rsidRPr="00C72A74">
              <w:t>–</w:t>
            </w:r>
            <w:r w:rsidRPr="00C72A74">
              <w:t>30/06/2010 or earlier</w:t>
            </w:r>
          </w:p>
        </w:tc>
        <w:tc>
          <w:tcPr>
            <w:tcW w:w="5660" w:type="dxa"/>
            <w:shd w:val="clear" w:color="auto" w:fill="auto"/>
          </w:tcPr>
          <w:p w:rsidR="000F716A" w:rsidRPr="00C72A74" w:rsidRDefault="000F716A" w:rsidP="005B0D2C">
            <w:pPr>
              <w:pStyle w:val="Tabletext"/>
              <w:spacing w:beforeLines="60" w:before="144" w:line="240" w:lineRule="exact"/>
            </w:pPr>
            <w:r w:rsidRPr="00C72A74">
              <w:t>01/04/2010</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line="240" w:lineRule="exact"/>
            </w:pPr>
            <w:r w:rsidRPr="00C72A74">
              <w:t>3</w:t>
            </w:r>
          </w:p>
        </w:tc>
        <w:tc>
          <w:tcPr>
            <w:tcW w:w="2142" w:type="dxa"/>
            <w:shd w:val="clear" w:color="auto" w:fill="auto"/>
          </w:tcPr>
          <w:p w:rsidR="000F716A" w:rsidRPr="00C72A74" w:rsidRDefault="000F716A" w:rsidP="005B0D2C">
            <w:pPr>
              <w:pStyle w:val="Tabletext"/>
              <w:spacing w:beforeLines="60" w:before="144" w:line="240" w:lineRule="exact"/>
            </w:pPr>
            <w:r w:rsidRPr="00C72A74">
              <w:t>8</w:t>
            </w:r>
          </w:p>
        </w:tc>
      </w:tr>
      <w:tr w:rsidR="000F716A" w:rsidRPr="00C72A74" w:rsidTr="009566EC">
        <w:tc>
          <w:tcPr>
            <w:tcW w:w="1078" w:type="dxa"/>
            <w:shd w:val="clear" w:color="auto" w:fill="auto"/>
          </w:tcPr>
          <w:p w:rsidR="000F716A" w:rsidRPr="00C72A74" w:rsidRDefault="000F716A" w:rsidP="005B0D2C">
            <w:pPr>
              <w:pStyle w:val="Tabletext"/>
              <w:spacing w:beforeLines="60" w:before="144" w:line="240" w:lineRule="exact"/>
            </w:pPr>
            <w:r w:rsidRPr="00C72A74">
              <w:t>Quarter 2</w:t>
            </w:r>
          </w:p>
        </w:tc>
        <w:tc>
          <w:tcPr>
            <w:tcW w:w="3117" w:type="dxa"/>
            <w:shd w:val="clear" w:color="auto" w:fill="auto"/>
          </w:tcPr>
          <w:p w:rsidR="000F716A" w:rsidRPr="00C72A74" w:rsidRDefault="000F716A" w:rsidP="005B0D2C">
            <w:pPr>
              <w:pStyle w:val="Tabletext"/>
              <w:spacing w:beforeLines="60" w:before="144" w:line="240" w:lineRule="exact"/>
            </w:pPr>
            <w:r w:rsidRPr="00C72A74">
              <w:t>01/10/2010</w:t>
            </w:r>
            <w:r w:rsidR="00E93C79" w:rsidRPr="00C72A74">
              <w:t>–</w:t>
            </w:r>
            <w:r w:rsidRPr="00C72A74">
              <w:t>31/12/2010</w:t>
            </w:r>
          </w:p>
        </w:tc>
        <w:tc>
          <w:tcPr>
            <w:tcW w:w="5660" w:type="dxa"/>
            <w:shd w:val="clear" w:color="auto" w:fill="auto"/>
          </w:tcPr>
          <w:p w:rsidR="000F716A" w:rsidRPr="00C72A74" w:rsidRDefault="000F716A" w:rsidP="005B0D2C">
            <w:pPr>
              <w:pStyle w:val="Tabletext"/>
              <w:spacing w:beforeLines="60" w:before="144" w:line="240" w:lineRule="exact"/>
            </w:pPr>
            <w:r w:rsidRPr="00C72A74">
              <w:t>01/07/2010</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line="240" w:lineRule="exact"/>
            </w:pPr>
            <w:r w:rsidRPr="00C72A74">
              <w:t>2</w:t>
            </w:r>
          </w:p>
        </w:tc>
        <w:tc>
          <w:tcPr>
            <w:tcW w:w="2142" w:type="dxa"/>
            <w:shd w:val="clear" w:color="auto" w:fill="auto"/>
          </w:tcPr>
          <w:p w:rsidR="000F716A" w:rsidRPr="00C72A74" w:rsidRDefault="000F716A" w:rsidP="005B0D2C">
            <w:pPr>
              <w:pStyle w:val="Tabletext"/>
              <w:spacing w:beforeLines="60" w:before="144" w:line="240" w:lineRule="exact"/>
            </w:pPr>
            <w:r w:rsidRPr="00C72A74">
              <w:t>9</w:t>
            </w:r>
          </w:p>
        </w:tc>
      </w:tr>
      <w:tr w:rsidR="000F716A" w:rsidRPr="00C72A74" w:rsidTr="009566EC">
        <w:tc>
          <w:tcPr>
            <w:tcW w:w="1078" w:type="dxa"/>
            <w:shd w:val="clear" w:color="auto" w:fill="auto"/>
          </w:tcPr>
          <w:p w:rsidR="000F716A" w:rsidRPr="00C72A74" w:rsidRDefault="000F716A" w:rsidP="005B0D2C">
            <w:pPr>
              <w:spacing w:beforeLines="60" w:before="144" w:line="240" w:lineRule="exact"/>
              <w:rPr>
                <w:rFonts w:cs="Times New Roman"/>
                <w:sz w:val="20"/>
              </w:rPr>
            </w:pPr>
          </w:p>
        </w:tc>
        <w:tc>
          <w:tcPr>
            <w:tcW w:w="3117" w:type="dxa"/>
            <w:shd w:val="clear" w:color="auto" w:fill="auto"/>
          </w:tcPr>
          <w:p w:rsidR="000F716A" w:rsidRPr="00C72A74" w:rsidRDefault="000F716A" w:rsidP="005B0D2C">
            <w:pPr>
              <w:pStyle w:val="Tabletext"/>
              <w:spacing w:beforeLines="60" w:before="144" w:line="240" w:lineRule="exact"/>
            </w:pPr>
            <w:r w:rsidRPr="00C72A74">
              <w:t>01/07/2010</w:t>
            </w:r>
            <w:r w:rsidR="00E93C79" w:rsidRPr="00C72A74">
              <w:t>–</w:t>
            </w:r>
            <w:r w:rsidRPr="00C72A74">
              <w:t>30/09/2010</w:t>
            </w:r>
          </w:p>
        </w:tc>
        <w:tc>
          <w:tcPr>
            <w:tcW w:w="5660" w:type="dxa"/>
            <w:shd w:val="clear" w:color="auto" w:fill="auto"/>
          </w:tcPr>
          <w:p w:rsidR="000F716A" w:rsidRPr="00C72A74" w:rsidRDefault="000F716A" w:rsidP="005B0D2C">
            <w:pPr>
              <w:pStyle w:val="Tabletext"/>
              <w:spacing w:beforeLines="60" w:before="144" w:line="240" w:lineRule="exact"/>
            </w:pPr>
            <w:r w:rsidRPr="00C72A74">
              <w:t>01/07/2010</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line="240" w:lineRule="exact"/>
            </w:pPr>
            <w:r w:rsidRPr="00C72A74">
              <w:t>2</w:t>
            </w:r>
          </w:p>
        </w:tc>
        <w:tc>
          <w:tcPr>
            <w:tcW w:w="2142" w:type="dxa"/>
            <w:shd w:val="clear" w:color="auto" w:fill="auto"/>
          </w:tcPr>
          <w:p w:rsidR="000F716A" w:rsidRPr="00C72A74" w:rsidRDefault="000F716A" w:rsidP="005B0D2C">
            <w:pPr>
              <w:pStyle w:val="Tabletext"/>
              <w:spacing w:beforeLines="60" w:before="144" w:line="240" w:lineRule="exact"/>
            </w:pPr>
            <w:r w:rsidRPr="00C72A74">
              <w:t>9</w:t>
            </w:r>
          </w:p>
        </w:tc>
      </w:tr>
      <w:tr w:rsidR="000F716A" w:rsidRPr="00C72A74" w:rsidTr="009566EC">
        <w:tc>
          <w:tcPr>
            <w:tcW w:w="1078" w:type="dxa"/>
            <w:shd w:val="clear" w:color="auto" w:fill="auto"/>
          </w:tcPr>
          <w:p w:rsidR="000F716A" w:rsidRPr="00C72A74" w:rsidRDefault="000F716A" w:rsidP="005B0D2C">
            <w:pPr>
              <w:spacing w:beforeLines="60" w:before="144" w:line="240" w:lineRule="exact"/>
              <w:rPr>
                <w:rFonts w:cs="Times New Roman"/>
                <w:sz w:val="20"/>
              </w:rPr>
            </w:pPr>
          </w:p>
        </w:tc>
        <w:tc>
          <w:tcPr>
            <w:tcW w:w="3117" w:type="dxa"/>
            <w:shd w:val="clear" w:color="auto" w:fill="auto"/>
          </w:tcPr>
          <w:p w:rsidR="000F716A" w:rsidRPr="00C72A74" w:rsidRDefault="000F716A" w:rsidP="005B0D2C">
            <w:pPr>
              <w:pStyle w:val="Tabletext"/>
              <w:spacing w:beforeLines="60" w:before="144" w:line="240" w:lineRule="exact"/>
            </w:pPr>
            <w:r w:rsidRPr="00C72A74">
              <w:t>01/04/2010</w:t>
            </w:r>
            <w:r w:rsidR="00E93C79" w:rsidRPr="00C72A74">
              <w:t>–</w:t>
            </w:r>
            <w:r w:rsidRPr="00C72A74">
              <w:t>30/06/2010 or earlier</w:t>
            </w:r>
          </w:p>
        </w:tc>
        <w:tc>
          <w:tcPr>
            <w:tcW w:w="5660" w:type="dxa"/>
            <w:shd w:val="clear" w:color="auto" w:fill="auto"/>
          </w:tcPr>
          <w:p w:rsidR="000F716A" w:rsidRPr="00C72A74" w:rsidRDefault="000F716A" w:rsidP="005B0D2C">
            <w:pPr>
              <w:pStyle w:val="Tabletext"/>
              <w:spacing w:beforeLines="60" w:before="144" w:line="240" w:lineRule="exact"/>
            </w:pPr>
            <w:r w:rsidRPr="00C72A74">
              <w:t>01/07/2010</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line="240" w:lineRule="exact"/>
            </w:pPr>
            <w:r w:rsidRPr="00C72A74">
              <w:t>2</w:t>
            </w:r>
          </w:p>
        </w:tc>
        <w:tc>
          <w:tcPr>
            <w:tcW w:w="2142" w:type="dxa"/>
            <w:shd w:val="clear" w:color="auto" w:fill="auto"/>
          </w:tcPr>
          <w:p w:rsidR="000F716A" w:rsidRPr="00C72A74" w:rsidRDefault="000F716A" w:rsidP="005B0D2C">
            <w:pPr>
              <w:pStyle w:val="Tabletext"/>
              <w:spacing w:beforeLines="60" w:before="144" w:line="240" w:lineRule="exact"/>
            </w:pPr>
            <w:r w:rsidRPr="00C72A74">
              <w:t>9</w:t>
            </w:r>
          </w:p>
        </w:tc>
      </w:tr>
      <w:tr w:rsidR="000F716A" w:rsidRPr="00C72A74" w:rsidTr="009566EC">
        <w:tc>
          <w:tcPr>
            <w:tcW w:w="1078" w:type="dxa"/>
            <w:shd w:val="clear" w:color="auto" w:fill="auto"/>
          </w:tcPr>
          <w:p w:rsidR="000F716A" w:rsidRPr="00C72A74" w:rsidRDefault="000F716A" w:rsidP="005B0D2C">
            <w:pPr>
              <w:pStyle w:val="Tabletext"/>
              <w:spacing w:beforeLines="60" w:before="144" w:line="240" w:lineRule="exact"/>
            </w:pPr>
            <w:r w:rsidRPr="00C72A74">
              <w:t>Quarter 3</w:t>
            </w:r>
          </w:p>
        </w:tc>
        <w:tc>
          <w:tcPr>
            <w:tcW w:w="3117" w:type="dxa"/>
            <w:shd w:val="clear" w:color="auto" w:fill="auto"/>
          </w:tcPr>
          <w:p w:rsidR="000F716A" w:rsidRPr="00C72A74" w:rsidRDefault="000F716A" w:rsidP="005B0D2C">
            <w:pPr>
              <w:pStyle w:val="Tabletext"/>
              <w:spacing w:beforeLines="60" w:before="144" w:line="240" w:lineRule="exact"/>
            </w:pPr>
            <w:r w:rsidRPr="00C72A74">
              <w:t>01/10/2010</w:t>
            </w:r>
            <w:r w:rsidR="00E93C79" w:rsidRPr="00C72A74">
              <w:t>–</w:t>
            </w:r>
            <w:r w:rsidRPr="00C72A74">
              <w:t>31/12/2010</w:t>
            </w:r>
          </w:p>
        </w:tc>
        <w:tc>
          <w:tcPr>
            <w:tcW w:w="5660" w:type="dxa"/>
            <w:shd w:val="clear" w:color="auto" w:fill="auto"/>
          </w:tcPr>
          <w:p w:rsidR="000F716A" w:rsidRPr="00C72A74" w:rsidRDefault="000F716A" w:rsidP="005B0D2C">
            <w:pPr>
              <w:pStyle w:val="Tabletext"/>
              <w:spacing w:beforeLines="60" w:before="144" w:line="240" w:lineRule="exact"/>
            </w:pPr>
            <w:r w:rsidRPr="00C72A74">
              <w:t>01/10/2010</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line="240" w:lineRule="exact"/>
            </w:pPr>
            <w:r w:rsidRPr="00C72A74">
              <w:t>1</w:t>
            </w:r>
          </w:p>
        </w:tc>
        <w:tc>
          <w:tcPr>
            <w:tcW w:w="2142" w:type="dxa"/>
            <w:shd w:val="clear" w:color="auto" w:fill="auto"/>
          </w:tcPr>
          <w:p w:rsidR="000F716A" w:rsidRPr="00C72A74" w:rsidRDefault="000F716A" w:rsidP="005B0D2C">
            <w:pPr>
              <w:pStyle w:val="Tabletext"/>
              <w:spacing w:beforeLines="60" w:before="144" w:line="240" w:lineRule="exact"/>
            </w:pPr>
            <w:r w:rsidRPr="00C72A74">
              <w:t>10</w:t>
            </w:r>
          </w:p>
        </w:tc>
      </w:tr>
      <w:tr w:rsidR="000F716A" w:rsidRPr="00C72A74" w:rsidTr="009566EC">
        <w:tc>
          <w:tcPr>
            <w:tcW w:w="1078" w:type="dxa"/>
            <w:shd w:val="clear" w:color="auto" w:fill="auto"/>
          </w:tcPr>
          <w:p w:rsidR="000F716A" w:rsidRPr="00C72A74" w:rsidRDefault="000F716A" w:rsidP="005B0D2C">
            <w:pPr>
              <w:spacing w:beforeLines="60" w:before="144" w:line="240" w:lineRule="exact"/>
              <w:rPr>
                <w:rFonts w:cs="Times New Roman"/>
                <w:sz w:val="20"/>
              </w:rPr>
            </w:pPr>
          </w:p>
        </w:tc>
        <w:tc>
          <w:tcPr>
            <w:tcW w:w="3117" w:type="dxa"/>
            <w:shd w:val="clear" w:color="auto" w:fill="auto"/>
          </w:tcPr>
          <w:p w:rsidR="000F716A" w:rsidRPr="00C72A74" w:rsidRDefault="000F716A" w:rsidP="005B0D2C">
            <w:pPr>
              <w:pStyle w:val="Tabletext"/>
              <w:spacing w:beforeLines="60" w:before="144" w:line="240" w:lineRule="exact"/>
            </w:pPr>
            <w:r w:rsidRPr="00C72A74">
              <w:t>01/07/2010</w:t>
            </w:r>
            <w:r w:rsidR="00E93C79" w:rsidRPr="00C72A74">
              <w:t>–</w:t>
            </w:r>
            <w:r w:rsidRPr="00C72A74">
              <w:t>30/09/2010</w:t>
            </w:r>
          </w:p>
        </w:tc>
        <w:tc>
          <w:tcPr>
            <w:tcW w:w="5660" w:type="dxa"/>
            <w:shd w:val="clear" w:color="auto" w:fill="auto"/>
          </w:tcPr>
          <w:p w:rsidR="000F716A" w:rsidRPr="00C72A74" w:rsidRDefault="000F716A" w:rsidP="005B0D2C">
            <w:pPr>
              <w:pStyle w:val="Tabletext"/>
              <w:spacing w:beforeLines="60" w:before="144" w:line="240" w:lineRule="exact"/>
            </w:pPr>
            <w:r w:rsidRPr="00C72A74">
              <w:t>01/10/2010</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line="240" w:lineRule="exact"/>
            </w:pPr>
            <w:r w:rsidRPr="00C72A74">
              <w:t>1</w:t>
            </w:r>
          </w:p>
        </w:tc>
        <w:tc>
          <w:tcPr>
            <w:tcW w:w="2142" w:type="dxa"/>
            <w:shd w:val="clear" w:color="auto" w:fill="auto"/>
          </w:tcPr>
          <w:p w:rsidR="000F716A" w:rsidRPr="00C72A74" w:rsidRDefault="000F716A" w:rsidP="005B0D2C">
            <w:pPr>
              <w:pStyle w:val="Tabletext"/>
              <w:spacing w:beforeLines="60" w:before="144" w:line="240" w:lineRule="exact"/>
            </w:pPr>
            <w:r w:rsidRPr="00C72A74">
              <w:t>10</w:t>
            </w:r>
          </w:p>
        </w:tc>
      </w:tr>
      <w:tr w:rsidR="000F716A" w:rsidRPr="00C72A74" w:rsidTr="009566EC">
        <w:tc>
          <w:tcPr>
            <w:tcW w:w="1078" w:type="dxa"/>
            <w:shd w:val="clear" w:color="auto" w:fill="auto"/>
          </w:tcPr>
          <w:p w:rsidR="000F716A" w:rsidRPr="00C72A74" w:rsidRDefault="000F716A" w:rsidP="005B0D2C">
            <w:pPr>
              <w:spacing w:beforeLines="60" w:before="144" w:line="240" w:lineRule="exact"/>
              <w:rPr>
                <w:rFonts w:cs="Times New Roman"/>
                <w:sz w:val="20"/>
              </w:rPr>
            </w:pPr>
          </w:p>
        </w:tc>
        <w:tc>
          <w:tcPr>
            <w:tcW w:w="3117" w:type="dxa"/>
            <w:shd w:val="clear" w:color="auto" w:fill="auto"/>
          </w:tcPr>
          <w:p w:rsidR="000F716A" w:rsidRPr="00C72A74" w:rsidRDefault="000F716A" w:rsidP="005B0D2C">
            <w:pPr>
              <w:pStyle w:val="Tabletext"/>
              <w:spacing w:beforeLines="60" w:before="144" w:line="240" w:lineRule="exact"/>
            </w:pPr>
            <w:r w:rsidRPr="00C72A74">
              <w:t>01/04/2010</w:t>
            </w:r>
            <w:r w:rsidR="00E93C79" w:rsidRPr="00C72A74">
              <w:t>–</w:t>
            </w:r>
            <w:r w:rsidRPr="00C72A74">
              <w:t>30/06/2010 or earlier</w:t>
            </w:r>
          </w:p>
        </w:tc>
        <w:tc>
          <w:tcPr>
            <w:tcW w:w="5660" w:type="dxa"/>
            <w:shd w:val="clear" w:color="auto" w:fill="auto"/>
          </w:tcPr>
          <w:p w:rsidR="000F716A" w:rsidRPr="00C72A74" w:rsidRDefault="000F716A" w:rsidP="005B0D2C">
            <w:pPr>
              <w:pStyle w:val="Tabletext"/>
              <w:spacing w:beforeLines="60" w:before="144" w:line="240" w:lineRule="exact"/>
            </w:pPr>
            <w:r w:rsidRPr="00C72A74">
              <w:t>01/10/2010</w:t>
            </w:r>
            <w:r w:rsidR="00E93C79" w:rsidRPr="00C72A74">
              <w:t>–</w:t>
            </w:r>
            <w:r w:rsidRPr="00C72A74">
              <w:t xml:space="preserve">31/12/2010 </w:t>
            </w:r>
          </w:p>
        </w:tc>
        <w:tc>
          <w:tcPr>
            <w:tcW w:w="2155" w:type="dxa"/>
            <w:shd w:val="clear" w:color="auto" w:fill="auto"/>
          </w:tcPr>
          <w:p w:rsidR="000F716A" w:rsidRPr="00C72A74" w:rsidRDefault="000F716A" w:rsidP="005B0D2C">
            <w:pPr>
              <w:pStyle w:val="Tabletext"/>
              <w:spacing w:beforeLines="60" w:before="144" w:line="240" w:lineRule="exact"/>
            </w:pPr>
            <w:r w:rsidRPr="00C72A74">
              <w:t>1</w:t>
            </w:r>
          </w:p>
        </w:tc>
        <w:tc>
          <w:tcPr>
            <w:tcW w:w="2142" w:type="dxa"/>
            <w:shd w:val="clear" w:color="auto" w:fill="auto"/>
          </w:tcPr>
          <w:p w:rsidR="000F716A" w:rsidRPr="00C72A74" w:rsidRDefault="000F716A" w:rsidP="005B0D2C">
            <w:pPr>
              <w:pStyle w:val="Tabletext"/>
              <w:spacing w:beforeLines="60" w:before="144" w:line="240" w:lineRule="exact"/>
            </w:pPr>
            <w:r w:rsidRPr="00C72A74">
              <w:t>10</w:t>
            </w:r>
          </w:p>
        </w:tc>
      </w:tr>
      <w:tr w:rsidR="000F716A" w:rsidRPr="00C72A74" w:rsidTr="009566EC">
        <w:tc>
          <w:tcPr>
            <w:tcW w:w="1078" w:type="dxa"/>
            <w:shd w:val="clear" w:color="auto" w:fill="auto"/>
          </w:tcPr>
          <w:p w:rsidR="000F716A" w:rsidRPr="00C72A74" w:rsidRDefault="000F716A" w:rsidP="005B0D2C">
            <w:pPr>
              <w:pStyle w:val="Tabletext"/>
              <w:spacing w:beforeLines="60" w:before="144" w:line="240" w:lineRule="exact"/>
            </w:pPr>
            <w:r w:rsidRPr="00C72A74">
              <w:t>Quarter 4</w:t>
            </w:r>
          </w:p>
        </w:tc>
        <w:tc>
          <w:tcPr>
            <w:tcW w:w="3117" w:type="dxa"/>
            <w:shd w:val="clear" w:color="auto" w:fill="auto"/>
          </w:tcPr>
          <w:p w:rsidR="000F716A" w:rsidRPr="00C72A74" w:rsidRDefault="000F716A" w:rsidP="005B0D2C">
            <w:pPr>
              <w:pStyle w:val="Tabletext"/>
              <w:spacing w:beforeLines="60" w:before="144" w:line="240" w:lineRule="exact"/>
            </w:pPr>
            <w:r w:rsidRPr="00C72A74">
              <w:t>01/10/2010</w:t>
            </w:r>
            <w:r w:rsidR="00E93C79" w:rsidRPr="00C72A74">
              <w:t>–</w:t>
            </w:r>
            <w:r w:rsidRPr="00C72A74">
              <w:t>31/12/2010</w:t>
            </w:r>
          </w:p>
        </w:tc>
        <w:tc>
          <w:tcPr>
            <w:tcW w:w="5660" w:type="dxa"/>
            <w:shd w:val="clear" w:color="auto" w:fill="auto"/>
          </w:tcPr>
          <w:p w:rsidR="000F716A" w:rsidRPr="00C72A74" w:rsidRDefault="000F716A" w:rsidP="005B0D2C">
            <w:pPr>
              <w:spacing w:beforeLines="60" w:before="144" w:line="240" w:lineRule="exact"/>
              <w:jc w:val="center"/>
              <w:rPr>
                <w:rFonts w:cs="Times New Roman"/>
                <w:sz w:val="20"/>
              </w:rPr>
            </w:pPr>
          </w:p>
        </w:tc>
        <w:tc>
          <w:tcPr>
            <w:tcW w:w="2155" w:type="dxa"/>
            <w:shd w:val="clear" w:color="auto" w:fill="auto"/>
          </w:tcPr>
          <w:p w:rsidR="000F716A" w:rsidRPr="00C72A74" w:rsidRDefault="000F716A" w:rsidP="005B0D2C">
            <w:pPr>
              <w:pStyle w:val="Tabletext"/>
              <w:spacing w:beforeLines="60" w:before="144" w:line="240" w:lineRule="exact"/>
            </w:pPr>
            <w:r w:rsidRPr="00C72A74">
              <w:t>0</w:t>
            </w:r>
          </w:p>
        </w:tc>
        <w:tc>
          <w:tcPr>
            <w:tcW w:w="2142" w:type="dxa"/>
            <w:shd w:val="clear" w:color="auto" w:fill="auto"/>
          </w:tcPr>
          <w:p w:rsidR="000F716A" w:rsidRPr="00C72A74" w:rsidRDefault="000F716A" w:rsidP="005B0D2C">
            <w:pPr>
              <w:pStyle w:val="Tabletext"/>
              <w:spacing w:beforeLines="60" w:before="144" w:line="240" w:lineRule="exact"/>
            </w:pPr>
            <w:r w:rsidRPr="00C72A74">
              <w:t>11</w:t>
            </w:r>
          </w:p>
        </w:tc>
      </w:tr>
      <w:tr w:rsidR="000F716A" w:rsidRPr="00C72A74" w:rsidTr="0058246A">
        <w:tc>
          <w:tcPr>
            <w:tcW w:w="1078" w:type="dxa"/>
            <w:shd w:val="clear" w:color="auto" w:fill="auto"/>
          </w:tcPr>
          <w:p w:rsidR="000F716A" w:rsidRPr="00C72A74" w:rsidRDefault="000F716A" w:rsidP="005B0D2C">
            <w:pPr>
              <w:spacing w:beforeLines="60" w:before="144" w:line="240" w:lineRule="exact"/>
              <w:rPr>
                <w:rFonts w:cs="Times New Roman"/>
                <w:sz w:val="20"/>
              </w:rPr>
            </w:pPr>
          </w:p>
        </w:tc>
        <w:tc>
          <w:tcPr>
            <w:tcW w:w="3117" w:type="dxa"/>
            <w:shd w:val="clear" w:color="auto" w:fill="auto"/>
          </w:tcPr>
          <w:p w:rsidR="000F716A" w:rsidRPr="00C72A74" w:rsidRDefault="000F716A" w:rsidP="005B0D2C">
            <w:pPr>
              <w:pStyle w:val="Tabletext"/>
              <w:spacing w:beforeLines="60" w:before="144" w:line="240" w:lineRule="exact"/>
            </w:pPr>
            <w:r w:rsidRPr="00C72A74">
              <w:t>01/07/2010</w:t>
            </w:r>
            <w:r w:rsidR="00E93C79" w:rsidRPr="00C72A74">
              <w:t>–</w:t>
            </w:r>
            <w:r w:rsidRPr="00C72A74">
              <w:t>30/09/2010</w:t>
            </w:r>
          </w:p>
        </w:tc>
        <w:tc>
          <w:tcPr>
            <w:tcW w:w="5660" w:type="dxa"/>
            <w:shd w:val="clear" w:color="auto" w:fill="auto"/>
          </w:tcPr>
          <w:p w:rsidR="000F716A" w:rsidRPr="00C72A74" w:rsidRDefault="000F716A" w:rsidP="005B0D2C">
            <w:pPr>
              <w:spacing w:beforeLines="60" w:before="144" w:line="240" w:lineRule="exact"/>
              <w:jc w:val="center"/>
              <w:rPr>
                <w:rFonts w:cs="Times New Roman"/>
                <w:sz w:val="20"/>
              </w:rPr>
            </w:pPr>
          </w:p>
        </w:tc>
        <w:tc>
          <w:tcPr>
            <w:tcW w:w="2155" w:type="dxa"/>
            <w:shd w:val="clear" w:color="auto" w:fill="auto"/>
          </w:tcPr>
          <w:p w:rsidR="000F716A" w:rsidRPr="00C72A74" w:rsidRDefault="000F716A" w:rsidP="005B0D2C">
            <w:pPr>
              <w:pStyle w:val="Tabletext"/>
              <w:spacing w:beforeLines="60" w:before="144" w:line="240" w:lineRule="exact"/>
            </w:pPr>
            <w:r w:rsidRPr="00C72A74">
              <w:t>0</w:t>
            </w:r>
          </w:p>
        </w:tc>
        <w:tc>
          <w:tcPr>
            <w:tcW w:w="2142" w:type="dxa"/>
            <w:shd w:val="clear" w:color="auto" w:fill="auto"/>
          </w:tcPr>
          <w:p w:rsidR="000F716A" w:rsidRPr="00C72A74" w:rsidRDefault="000F716A" w:rsidP="005B0D2C">
            <w:pPr>
              <w:pStyle w:val="Tabletext"/>
              <w:spacing w:beforeLines="60" w:before="144" w:line="240" w:lineRule="exact"/>
            </w:pPr>
            <w:r w:rsidRPr="00C72A74">
              <w:t>11</w:t>
            </w:r>
          </w:p>
        </w:tc>
      </w:tr>
      <w:tr w:rsidR="000F716A" w:rsidRPr="00C72A74" w:rsidTr="0058246A">
        <w:tc>
          <w:tcPr>
            <w:tcW w:w="1078" w:type="dxa"/>
            <w:tcBorders>
              <w:bottom w:val="single" w:sz="12" w:space="0" w:color="auto"/>
            </w:tcBorders>
            <w:shd w:val="clear" w:color="auto" w:fill="auto"/>
          </w:tcPr>
          <w:p w:rsidR="000F716A" w:rsidRPr="00C72A74" w:rsidRDefault="000F716A" w:rsidP="005B0D2C">
            <w:pPr>
              <w:spacing w:beforeLines="60" w:before="144" w:line="240" w:lineRule="exact"/>
              <w:rPr>
                <w:rFonts w:cs="Times New Roman"/>
                <w:sz w:val="20"/>
              </w:rPr>
            </w:pPr>
          </w:p>
        </w:tc>
        <w:tc>
          <w:tcPr>
            <w:tcW w:w="3117" w:type="dxa"/>
            <w:tcBorders>
              <w:bottom w:val="single" w:sz="12" w:space="0" w:color="auto"/>
            </w:tcBorders>
            <w:shd w:val="clear" w:color="auto" w:fill="auto"/>
          </w:tcPr>
          <w:p w:rsidR="000F716A" w:rsidRPr="00C72A74" w:rsidRDefault="000F716A" w:rsidP="005B0D2C">
            <w:pPr>
              <w:pStyle w:val="Tabletext"/>
              <w:spacing w:beforeLines="60" w:before="144" w:line="240" w:lineRule="exact"/>
            </w:pPr>
            <w:r w:rsidRPr="00C72A74">
              <w:t>01/04/2010</w:t>
            </w:r>
            <w:r w:rsidR="00E93C79" w:rsidRPr="00C72A74">
              <w:t>–</w:t>
            </w:r>
            <w:r w:rsidRPr="00C72A74">
              <w:t>30/06/2010 or earlier</w:t>
            </w:r>
          </w:p>
        </w:tc>
        <w:tc>
          <w:tcPr>
            <w:tcW w:w="5660" w:type="dxa"/>
            <w:tcBorders>
              <w:bottom w:val="single" w:sz="12" w:space="0" w:color="auto"/>
            </w:tcBorders>
            <w:shd w:val="clear" w:color="auto" w:fill="auto"/>
          </w:tcPr>
          <w:p w:rsidR="000F716A" w:rsidRPr="00C72A74" w:rsidRDefault="000F716A" w:rsidP="005B0D2C">
            <w:pPr>
              <w:spacing w:beforeLines="60" w:before="144" w:line="240" w:lineRule="exact"/>
              <w:jc w:val="center"/>
              <w:rPr>
                <w:rFonts w:cs="Times New Roman"/>
                <w:sz w:val="20"/>
              </w:rPr>
            </w:pPr>
          </w:p>
        </w:tc>
        <w:tc>
          <w:tcPr>
            <w:tcW w:w="2155" w:type="dxa"/>
            <w:tcBorders>
              <w:bottom w:val="single" w:sz="12" w:space="0" w:color="auto"/>
            </w:tcBorders>
            <w:shd w:val="clear" w:color="auto" w:fill="auto"/>
          </w:tcPr>
          <w:p w:rsidR="000F716A" w:rsidRPr="00C72A74" w:rsidRDefault="000F716A" w:rsidP="005B0D2C">
            <w:pPr>
              <w:pStyle w:val="Tabletext"/>
              <w:spacing w:beforeLines="60" w:before="144" w:line="240" w:lineRule="exact"/>
            </w:pPr>
            <w:r w:rsidRPr="00C72A74">
              <w:t>0</w:t>
            </w:r>
          </w:p>
        </w:tc>
        <w:tc>
          <w:tcPr>
            <w:tcW w:w="2142" w:type="dxa"/>
            <w:tcBorders>
              <w:bottom w:val="single" w:sz="12" w:space="0" w:color="auto"/>
            </w:tcBorders>
            <w:shd w:val="clear" w:color="auto" w:fill="auto"/>
          </w:tcPr>
          <w:p w:rsidR="000F716A" w:rsidRPr="00C72A74" w:rsidRDefault="000F716A" w:rsidP="005B0D2C">
            <w:pPr>
              <w:pStyle w:val="Tabletext"/>
              <w:spacing w:beforeLines="60" w:before="144" w:line="240" w:lineRule="exact"/>
            </w:pPr>
            <w:r w:rsidRPr="00C72A74">
              <w:t>11</w:t>
            </w:r>
          </w:p>
        </w:tc>
      </w:tr>
      <w:bookmarkEnd w:id="45"/>
    </w:tbl>
    <w:p w:rsidR="000F716A" w:rsidRPr="00C72A74" w:rsidRDefault="000F716A" w:rsidP="001E6BD0"/>
    <w:p w:rsidR="002F064D" w:rsidRPr="00C72A74" w:rsidRDefault="002F064D" w:rsidP="009566EC">
      <w:pPr>
        <w:sectPr w:rsidR="002F064D" w:rsidRPr="00C72A74" w:rsidSect="00116FD8">
          <w:headerReference w:type="even" r:id="rId40"/>
          <w:headerReference w:type="default" r:id="rId41"/>
          <w:footerReference w:type="even" r:id="rId42"/>
          <w:footerReference w:type="default" r:id="rId43"/>
          <w:headerReference w:type="first" r:id="rId44"/>
          <w:footerReference w:type="first" r:id="rId45"/>
          <w:pgSz w:w="16839" w:h="11907" w:orient="landscape" w:code="9"/>
          <w:pgMar w:top="2123" w:right="1440" w:bottom="1797" w:left="1440" w:header="720" w:footer="709" w:gutter="0"/>
          <w:cols w:space="720"/>
          <w:docGrid w:linePitch="299"/>
        </w:sectPr>
      </w:pPr>
      <w:bookmarkStart w:id="46" w:name="OPCSB_LandScapeNonAmdSchA4"/>
    </w:p>
    <w:p w:rsidR="002F064D" w:rsidRPr="00C72A74" w:rsidRDefault="002F064D" w:rsidP="00C72A74">
      <w:pPr>
        <w:pStyle w:val="ENotesHeading1"/>
        <w:outlineLvl w:val="9"/>
      </w:pPr>
      <w:bookmarkStart w:id="47" w:name="BK_S6P20L1C1"/>
      <w:bookmarkStart w:id="48" w:name="_Toc359833577"/>
      <w:bookmarkEnd w:id="46"/>
      <w:bookmarkEnd w:id="47"/>
      <w:r w:rsidRPr="00C72A74">
        <w:lastRenderedPageBreak/>
        <w:t>Endnotes</w:t>
      </w:r>
      <w:bookmarkEnd w:id="48"/>
    </w:p>
    <w:p w:rsidR="002F064D" w:rsidRPr="00C72A74" w:rsidRDefault="002F064D" w:rsidP="009566EC"/>
    <w:p w:rsidR="009566EC" w:rsidRDefault="009566EC" w:rsidP="009566EC">
      <w:pPr>
        <w:pStyle w:val="ENotesHeading2"/>
      </w:pPr>
      <w:bookmarkStart w:id="49" w:name="_Toc359833578"/>
      <w:r>
        <w:t>Endnote 1—Legislation history</w:t>
      </w:r>
      <w:bookmarkEnd w:id="49"/>
    </w:p>
    <w:p w:rsidR="009566EC" w:rsidRPr="00354159" w:rsidRDefault="009566EC" w:rsidP="009566EC">
      <w:pPr>
        <w:pStyle w:val="ENotesText"/>
      </w:pPr>
      <w:r>
        <w:t xml:space="preserve">This endnote sets out details of the legislation history of the </w:t>
      </w:r>
      <w:r w:rsidR="00881253">
        <w:fldChar w:fldCharType="begin"/>
      </w:r>
      <w:r w:rsidR="00881253">
        <w:instrText xml:space="preserve"> DOCPROPERTY  ShortT  \* MERGEFORMAT </w:instrText>
      </w:r>
      <w:r w:rsidR="00881253">
        <w:fldChar w:fldCharType="separate"/>
      </w:r>
      <w:r w:rsidR="005B0D2C" w:rsidRPr="005B0D2C">
        <w:rPr>
          <w:i/>
        </w:rPr>
        <w:t>Automotive Transformation Scheme Order 2010</w:t>
      </w:r>
      <w:r w:rsidR="00881253">
        <w:rPr>
          <w:i/>
        </w:rPr>
        <w:fldChar w:fldCharType="end"/>
      </w:r>
      <w:r>
        <w:rPr>
          <w:i/>
        </w:rPr>
        <w:t>.</w:t>
      </w:r>
    </w:p>
    <w:p w:rsidR="009566EC" w:rsidRDefault="009566EC" w:rsidP="009566EC">
      <w:pPr>
        <w:pStyle w:val="Tabletext"/>
      </w:pPr>
    </w:p>
    <w:tbl>
      <w:tblPr>
        <w:tblW w:w="8359" w:type="dxa"/>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3256"/>
        <w:gridCol w:w="1701"/>
        <w:gridCol w:w="1701"/>
        <w:gridCol w:w="1701"/>
      </w:tblGrid>
      <w:tr w:rsidR="009566EC" w:rsidRPr="0098546F" w:rsidTr="00966EA4">
        <w:trPr>
          <w:cantSplit/>
          <w:tblHeader/>
        </w:trPr>
        <w:tc>
          <w:tcPr>
            <w:tcW w:w="3256" w:type="dxa"/>
            <w:tcBorders>
              <w:top w:val="single" w:sz="12" w:space="0" w:color="auto"/>
              <w:bottom w:val="single" w:sz="12" w:space="0" w:color="auto"/>
            </w:tcBorders>
            <w:shd w:val="clear" w:color="auto" w:fill="auto"/>
          </w:tcPr>
          <w:p w:rsidR="009566EC" w:rsidRPr="00E117A3" w:rsidRDefault="009566EC" w:rsidP="009566EC">
            <w:pPr>
              <w:pStyle w:val="ENoteTableHeading"/>
            </w:pPr>
            <w:r w:rsidRPr="00E117A3">
              <w:t>Title</w:t>
            </w:r>
          </w:p>
        </w:tc>
        <w:tc>
          <w:tcPr>
            <w:tcW w:w="1701" w:type="dxa"/>
            <w:tcBorders>
              <w:top w:val="single" w:sz="12" w:space="0" w:color="auto"/>
              <w:bottom w:val="single" w:sz="12" w:space="0" w:color="auto"/>
            </w:tcBorders>
            <w:shd w:val="clear" w:color="auto" w:fill="auto"/>
          </w:tcPr>
          <w:p w:rsidR="009566EC" w:rsidRPr="00E117A3" w:rsidRDefault="009566EC" w:rsidP="009566EC">
            <w:pPr>
              <w:pStyle w:val="ENoteTableHeading"/>
            </w:pPr>
            <w:r w:rsidRPr="00E117A3">
              <w:t>FRLI registration date</w:t>
            </w:r>
          </w:p>
        </w:tc>
        <w:tc>
          <w:tcPr>
            <w:tcW w:w="1701" w:type="dxa"/>
            <w:tcBorders>
              <w:top w:val="single" w:sz="12" w:space="0" w:color="auto"/>
              <w:bottom w:val="single" w:sz="12" w:space="0" w:color="auto"/>
            </w:tcBorders>
            <w:shd w:val="clear" w:color="auto" w:fill="auto"/>
          </w:tcPr>
          <w:p w:rsidR="009566EC" w:rsidRPr="00E117A3" w:rsidRDefault="009566EC" w:rsidP="009566EC">
            <w:pPr>
              <w:pStyle w:val="ENoteTableHeading"/>
            </w:pPr>
            <w:r w:rsidRPr="00E117A3">
              <w:t>Commencement</w:t>
            </w:r>
            <w:r w:rsidRPr="00E117A3">
              <w:br/>
              <w:t>date</w:t>
            </w:r>
          </w:p>
        </w:tc>
        <w:tc>
          <w:tcPr>
            <w:tcW w:w="1701" w:type="dxa"/>
            <w:tcBorders>
              <w:top w:val="single" w:sz="12" w:space="0" w:color="auto"/>
              <w:bottom w:val="single" w:sz="12" w:space="0" w:color="auto"/>
            </w:tcBorders>
            <w:shd w:val="clear" w:color="auto" w:fill="auto"/>
          </w:tcPr>
          <w:p w:rsidR="009566EC" w:rsidRPr="00E117A3" w:rsidRDefault="009566EC" w:rsidP="009566EC">
            <w:pPr>
              <w:pStyle w:val="ENoteTableHeading"/>
            </w:pPr>
            <w:r w:rsidRPr="00E117A3">
              <w:t>Application, saving and transitional provisions</w:t>
            </w:r>
          </w:p>
        </w:tc>
      </w:tr>
      <w:tr w:rsidR="00966EA4" w:rsidRPr="00E117A3" w:rsidTr="00EA1252">
        <w:trPr>
          <w:cantSplit/>
        </w:trPr>
        <w:tc>
          <w:tcPr>
            <w:tcW w:w="3256" w:type="dxa"/>
            <w:tcBorders>
              <w:top w:val="single" w:sz="12" w:space="0" w:color="auto"/>
              <w:bottom w:val="single" w:sz="4" w:space="0" w:color="auto"/>
            </w:tcBorders>
            <w:shd w:val="clear" w:color="auto" w:fill="auto"/>
          </w:tcPr>
          <w:p w:rsidR="00966EA4" w:rsidRPr="00E117A3" w:rsidRDefault="00966EA4" w:rsidP="00EA1252">
            <w:pPr>
              <w:pStyle w:val="ENoteTableText"/>
            </w:pPr>
            <w:r>
              <w:t>Automotive Transformation Scheme Order 2010</w:t>
            </w:r>
          </w:p>
        </w:tc>
        <w:tc>
          <w:tcPr>
            <w:tcW w:w="1701" w:type="dxa"/>
            <w:tcBorders>
              <w:top w:val="single" w:sz="12" w:space="0" w:color="auto"/>
              <w:bottom w:val="single" w:sz="4" w:space="0" w:color="auto"/>
            </w:tcBorders>
            <w:shd w:val="clear" w:color="auto" w:fill="auto"/>
          </w:tcPr>
          <w:p w:rsidR="00966EA4" w:rsidRPr="00966EA4" w:rsidRDefault="00966EA4" w:rsidP="00EA1252">
            <w:pPr>
              <w:pStyle w:val="ENoteTableText"/>
            </w:pPr>
            <w:r>
              <w:t>9 June 2010 (</w:t>
            </w:r>
            <w:r>
              <w:rPr>
                <w:i/>
              </w:rPr>
              <w:t>see</w:t>
            </w:r>
            <w:r>
              <w:t xml:space="preserve"> F2010L01551)</w:t>
            </w:r>
          </w:p>
        </w:tc>
        <w:tc>
          <w:tcPr>
            <w:tcW w:w="1701" w:type="dxa"/>
            <w:tcBorders>
              <w:top w:val="single" w:sz="12" w:space="0" w:color="auto"/>
              <w:bottom w:val="single" w:sz="4" w:space="0" w:color="auto"/>
            </w:tcBorders>
            <w:shd w:val="clear" w:color="auto" w:fill="auto"/>
          </w:tcPr>
          <w:p w:rsidR="00966EA4" w:rsidRPr="00E117A3" w:rsidRDefault="00966EA4" w:rsidP="00EA1252">
            <w:pPr>
              <w:pStyle w:val="ENoteTableText"/>
            </w:pPr>
            <w:r>
              <w:t>1 July 2010</w:t>
            </w:r>
          </w:p>
        </w:tc>
        <w:tc>
          <w:tcPr>
            <w:tcW w:w="1701" w:type="dxa"/>
            <w:tcBorders>
              <w:top w:val="single" w:sz="12" w:space="0" w:color="auto"/>
              <w:bottom w:val="single" w:sz="4" w:space="0" w:color="auto"/>
            </w:tcBorders>
            <w:shd w:val="clear" w:color="auto" w:fill="auto"/>
          </w:tcPr>
          <w:p w:rsidR="00966EA4" w:rsidRPr="00E117A3" w:rsidRDefault="00966EA4" w:rsidP="00EA1252">
            <w:pPr>
              <w:pStyle w:val="ENoteTableText"/>
            </w:pPr>
          </w:p>
        </w:tc>
      </w:tr>
      <w:tr w:rsidR="00966EA4" w:rsidTr="005B246B">
        <w:trPr>
          <w:cantSplit/>
        </w:trPr>
        <w:tc>
          <w:tcPr>
            <w:tcW w:w="3256" w:type="dxa"/>
            <w:shd w:val="clear" w:color="auto" w:fill="auto"/>
          </w:tcPr>
          <w:p w:rsidR="00966EA4" w:rsidRPr="00E117A3" w:rsidRDefault="00966EA4" w:rsidP="00EA1252">
            <w:pPr>
              <w:pStyle w:val="ENoteTableText"/>
            </w:pPr>
            <w:r>
              <w:t>Automotive Transformation Scheme Amendment Order 2011 (No. 1)</w:t>
            </w:r>
          </w:p>
        </w:tc>
        <w:tc>
          <w:tcPr>
            <w:tcW w:w="1701" w:type="dxa"/>
            <w:shd w:val="clear" w:color="auto" w:fill="auto"/>
          </w:tcPr>
          <w:p w:rsidR="00966EA4" w:rsidRPr="00966EA4" w:rsidRDefault="00966EA4" w:rsidP="00EA1252">
            <w:pPr>
              <w:pStyle w:val="ENoteTableText"/>
            </w:pPr>
            <w:r>
              <w:t>9 Dec 2011 (</w:t>
            </w:r>
            <w:r>
              <w:rPr>
                <w:i/>
              </w:rPr>
              <w:t>see</w:t>
            </w:r>
            <w:r>
              <w:t xml:space="preserve"> F2011L02614)</w:t>
            </w:r>
          </w:p>
        </w:tc>
        <w:tc>
          <w:tcPr>
            <w:tcW w:w="1701" w:type="dxa"/>
            <w:shd w:val="clear" w:color="auto" w:fill="auto"/>
          </w:tcPr>
          <w:p w:rsidR="00966EA4" w:rsidRPr="00E117A3" w:rsidRDefault="00966EA4" w:rsidP="00EA1252">
            <w:pPr>
              <w:pStyle w:val="ENoteTableText"/>
            </w:pPr>
            <w:r>
              <w:t>10 Dec 2011</w:t>
            </w:r>
          </w:p>
        </w:tc>
        <w:tc>
          <w:tcPr>
            <w:tcW w:w="1701" w:type="dxa"/>
            <w:shd w:val="clear" w:color="auto" w:fill="auto"/>
          </w:tcPr>
          <w:p w:rsidR="00966EA4" w:rsidRPr="00E117A3" w:rsidRDefault="00966EA4" w:rsidP="00EA1252">
            <w:pPr>
              <w:pStyle w:val="ENoteTableText"/>
            </w:pPr>
            <w:r>
              <w:t>—</w:t>
            </w:r>
          </w:p>
        </w:tc>
      </w:tr>
      <w:tr w:rsidR="007B026F" w:rsidTr="00EA1252">
        <w:trPr>
          <w:cantSplit/>
        </w:trPr>
        <w:tc>
          <w:tcPr>
            <w:tcW w:w="3256" w:type="dxa"/>
            <w:tcBorders>
              <w:bottom w:val="single" w:sz="12" w:space="0" w:color="auto"/>
            </w:tcBorders>
            <w:shd w:val="clear" w:color="auto" w:fill="auto"/>
          </w:tcPr>
          <w:p w:rsidR="007B026F" w:rsidRDefault="007B026F">
            <w:pPr>
              <w:pStyle w:val="ENoteTableText"/>
              <w:rPr>
                <w:rFonts w:eastAsiaTheme="minorHAnsi" w:cstheme="minorBidi"/>
                <w:lang w:eastAsia="en-US"/>
              </w:rPr>
            </w:pPr>
            <w:r>
              <w:t>Automotive Transformation Scheme Amendment Order 2013 (No. 1)</w:t>
            </w:r>
          </w:p>
        </w:tc>
        <w:tc>
          <w:tcPr>
            <w:tcW w:w="1701" w:type="dxa"/>
            <w:tcBorders>
              <w:bottom w:val="single" w:sz="12" w:space="0" w:color="auto"/>
            </w:tcBorders>
            <w:shd w:val="clear" w:color="auto" w:fill="auto"/>
          </w:tcPr>
          <w:p w:rsidR="007B026F" w:rsidRPr="005B246B" w:rsidRDefault="007B026F" w:rsidP="00EA1252">
            <w:pPr>
              <w:pStyle w:val="ENoteTableText"/>
            </w:pPr>
            <w:r>
              <w:t>3 June 2013 (</w:t>
            </w:r>
            <w:r>
              <w:rPr>
                <w:i/>
              </w:rPr>
              <w:t>see</w:t>
            </w:r>
            <w:r>
              <w:t xml:space="preserve"> F2013L00904)</w:t>
            </w:r>
          </w:p>
        </w:tc>
        <w:tc>
          <w:tcPr>
            <w:tcW w:w="1701" w:type="dxa"/>
            <w:tcBorders>
              <w:bottom w:val="single" w:sz="12" w:space="0" w:color="auto"/>
            </w:tcBorders>
            <w:shd w:val="clear" w:color="auto" w:fill="auto"/>
          </w:tcPr>
          <w:p w:rsidR="007B026F" w:rsidRDefault="007B026F" w:rsidP="00EA1252">
            <w:pPr>
              <w:pStyle w:val="ENoteTableText"/>
            </w:pPr>
            <w:r>
              <w:t>4 June 2013</w:t>
            </w:r>
          </w:p>
        </w:tc>
        <w:tc>
          <w:tcPr>
            <w:tcW w:w="1701" w:type="dxa"/>
            <w:tcBorders>
              <w:bottom w:val="single" w:sz="12" w:space="0" w:color="auto"/>
            </w:tcBorders>
            <w:shd w:val="clear" w:color="auto" w:fill="auto"/>
          </w:tcPr>
          <w:p w:rsidR="007B026F" w:rsidRDefault="007B026F" w:rsidP="00EA1252">
            <w:pPr>
              <w:pStyle w:val="ENoteTableText"/>
            </w:pPr>
            <w:r>
              <w:t>—</w:t>
            </w:r>
          </w:p>
        </w:tc>
      </w:tr>
    </w:tbl>
    <w:p w:rsidR="009566EC" w:rsidRDefault="009566EC" w:rsidP="009566EC"/>
    <w:p w:rsidR="002F064D" w:rsidRPr="00C72A74" w:rsidRDefault="002F064D" w:rsidP="005A74E3">
      <w:pPr>
        <w:pStyle w:val="ENotesHeading2"/>
        <w:pageBreakBefore/>
        <w:outlineLvl w:val="9"/>
      </w:pPr>
      <w:bookmarkStart w:id="50" w:name="_Toc359833579"/>
      <w:r w:rsidRPr="00C72A74">
        <w:lastRenderedPageBreak/>
        <w:t>Endnote 2—Amendment history</w:t>
      </w:r>
      <w:bookmarkEnd w:id="50"/>
    </w:p>
    <w:p w:rsidR="002F064D" w:rsidRPr="00C72A74" w:rsidRDefault="002F064D" w:rsidP="009566EC">
      <w:pPr>
        <w:pStyle w:val="ENotesText"/>
      </w:pPr>
      <w:r w:rsidRPr="00C72A74">
        <w:t xml:space="preserve">This endnote sets out the amendment history of the </w:t>
      </w:r>
      <w:r w:rsidR="00522D9F" w:rsidRPr="00C72A74">
        <w:rPr>
          <w:i/>
        </w:rPr>
        <w:fldChar w:fldCharType="begin"/>
      </w:r>
      <w:r w:rsidRPr="00C72A74">
        <w:rPr>
          <w:i/>
        </w:rPr>
        <w:instrText xml:space="preserve"> DOCPROPERTY  ShortT </w:instrText>
      </w:r>
      <w:r w:rsidR="00522D9F" w:rsidRPr="00C72A74">
        <w:rPr>
          <w:i/>
        </w:rPr>
        <w:fldChar w:fldCharType="separate"/>
      </w:r>
      <w:r w:rsidR="005B0D2C">
        <w:rPr>
          <w:i/>
        </w:rPr>
        <w:t>Automotive Transformation Scheme Order 2010</w:t>
      </w:r>
      <w:r w:rsidR="00522D9F" w:rsidRPr="00C72A74">
        <w:rPr>
          <w:i/>
        </w:rPr>
        <w:fldChar w:fldCharType="end"/>
      </w:r>
      <w:r w:rsidRPr="00C72A74">
        <w:rPr>
          <w:i/>
        </w:rPr>
        <w:t>.</w:t>
      </w:r>
    </w:p>
    <w:p w:rsidR="002F064D" w:rsidRPr="00C72A74" w:rsidRDefault="002F064D" w:rsidP="002F064D">
      <w:pPr>
        <w:pStyle w:val="Tabletext"/>
      </w:pPr>
    </w:p>
    <w:tbl>
      <w:tblPr>
        <w:tblW w:w="8359" w:type="dxa"/>
        <w:tblInd w:w="113" w:type="dxa"/>
        <w:tblLayout w:type="fixed"/>
        <w:tblLook w:val="0000" w:firstRow="0" w:lastRow="0" w:firstColumn="0" w:lastColumn="0" w:noHBand="0" w:noVBand="0"/>
      </w:tblPr>
      <w:tblGrid>
        <w:gridCol w:w="2139"/>
        <w:gridCol w:w="6220"/>
      </w:tblGrid>
      <w:tr w:rsidR="002F064D" w:rsidRPr="00C72A74" w:rsidTr="00116FD8">
        <w:trPr>
          <w:cantSplit/>
          <w:tblHeader/>
        </w:trPr>
        <w:tc>
          <w:tcPr>
            <w:tcW w:w="8359" w:type="dxa"/>
            <w:gridSpan w:val="2"/>
            <w:tcBorders>
              <w:top w:val="single" w:sz="12" w:space="0" w:color="auto"/>
              <w:bottom w:val="single" w:sz="8" w:space="0" w:color="auto"/>
            </w:tcBorders>
            <w:shd w:val="clear" w:color="auto" w:fill="auto"/>
          </w:tcPr>
          <w:p w:rsidR="002F064D" w:rsidRPr="00C72A74" w:rsidRDefault="002F064D" w:rsidP="009566EC">
            <w:pPr>
              <w:pStyle w:val="ENoteTableHeading"/>
              <w:rPr>
                <w:rFonts w:cs="Arial"/>
                <w:b w:val="0"/>
              </w:rPr>
            </w:pPr>
            <w:bookmarkStart w:id="51" w:name="BK_S7P26L5C1"/>
            <w:r w:rsidRPr="00C72A74">
              <w:rPr>
                <w:rFonts w:cs="Arial"/>
                <w:b w:val="0"/>
              </w:rPr>
              <w:t>ad. = added or inserted    am. = amended    rep. = repealed    rs. = repealed and substituted    exp. = expired or ceased to have effect</w:t>
            </w:r>
          </w:p>
        </w:tc>
      </w:tr>
      <w:tr w:rsidR="002F064D" w:rsidRPr="00C72A74" w:rsidTr="008D6935">
        <w:trPr>
          <w:cantSplit/>
          <w:tblHeader/>
        </w:trPr>
        <w:tc>
          <w:tcPr>
            <w:tcW w:w="2139" w:type="dxa"/>
            <w:tcBorders>
              <w:top w:val="single" w:sz="8" w:space="0" w:color="auto"/>
              <w:bottom w:val="single" w:sz="12" w:space="0" w:color="auto"/>
            </w:tcBorders>
            <w:shd w:val="clear" w:color="auto" w:fill="auto"/>
          </w:tcPr>
          <w:p w:rsidR="002F064D" w:rsidRPr="00C72A74" w:rsidRDefault="002F064D" w:rsidP="009566EC">
            <w:pPr>
              <w:pStyle w:val="ENoteTableHeading"/>
              <w:rPr>
                <w:rFonts w:cs="Arial"/>
              </w:rPr>
            </w:pPr>
            <w:r w:rsidRPr="00C72A74">
              <w:rPr>
                <w:rFonts w:cs="Arial"/>
              </w:rPr>
              <w:t>Provision affected</w:t>
            </w:r>
          </w:p>
        </w:tc>
        <w:tc>
          <w:tcPr>
            <w:tcW w:w="6220" w:type="dxa"/>
            <w:tcBorders>
              <w:top w:val="single" w:sz="8" w:space="0" w:color="auto"/>
              <w:bottom w:val="single" w:sz="12" w:space="0" w:color="auto"/>
            </w:tcBorders>
            <w:shd w:val="clear" w:color="auto" w:fill="auto"/>
          </w:tcPr>
          <w:p w:rsidR="002F064D" w:rsidRPr="00C72A74" w:rsidRDefault="002F064D" w:rsidP="009566EC">
            <w:pPr>
              <w:pStyle w:val="ENoteTableHeading"/>
              <w:rPr>
                <w:rFonts w:cs="Arial"/>
              </w:rPr>
            </w:pPr>
            <w:r w:rsidRPr="00C72A74">
              <w:rPr>
                <w:rFonts w:cs="Arial"/>
              </w:rPr>
              <w:t>How affected</w:t>
            </w:r>
          </w:p>
        </w:tc>
      </w:tr>
      <w:tr w:rsidR="008D6935" w:rsidRPr="00C72A74" w:rsidTr="008D6935">
        <w:trPr>
          <w:cantSplit/>
        </w:trPr>
        <w:tc>
          <w:tcPr>
            <w:tcW w:w="2139" w:type="dxa"/>
            <w:tcBorders>
              <w:top w:val="single" w:sz="12" w:space="0" w:color="auto"/>
            </w:tcBorders>
            <w:shd w:val="clear" w:color="auto" w:fill="auto"/>
          </w:tcPr>
          <w:p w:rsidR="008D6935" w:rsidRPr="008D6935" w:rsidRDefault="008D6935" w:rsidP="00116FD8">
            <w:pPr>
              <w:pStyle w:val="ENoteTableText"/>
              <w:tabs>
                <w:tab w:val="left" w:leader="dot" w:pos="2268"/>
              </w:tabs>
              <w:rPr>
                <w:rFonts w:ascii="Arial" w:eastAsiaTheme="minorHAnsi" w:hAnsi="Arial" w:cs="Arial"/>
                <w:b/>
                <w:lang w:eastAsia="en-US"/>
              </w:rPr>
            </w:pPr>
            <w:r w:rsidRPr="008D6935">
              <w:rPr>
                <w:rFonts w:ascii="Arial" w:eastAsiaTheme="minorHAnsi" w:hAnsi="Arial" w:cs="Arial"/>
                <w:b/>
                <w:lang w:eastAsia="en-US"/>
              </w:rPr>
              <w:t>Part 3</w:t>
            </w:r>
          </w:p>
        </w:tc>
        <w:tc>
          <w:tcPr>
            <w:tcW w:w="6220" w:type="dxa"/>
            <w:tcBorders>
              <w:top w:val="single" w:sz="12" w:space="0" w:color="auto"/>
            </w:tcBorders>
            <w:shd w:val="clear" w:color="auto" w:fill="auto"/>
          </w:tcPr>
          <w:p w:rsidR="008D6935" w:rsidRDefault="008D6935" w:rsidP="009566EC">
            <w:pPr>
              <w:pStyle w:val="ENoteTableText"/>
              <w:rPr>
                <w:rFonts w:ascii="Arial" w:hAnsi="Arial" w:cs="Arial"/>
              </w:rPr>
            </w:pPr>
          </w:p>
        </w:tc>
      </w:tr>
      <w:tr w:rsidR="008D6935" w:rsidRPr="00C72A74" w:rsidTr="008D6935">
        <w:trPr>
          <w:cantSplit/>
        </w:trPr>
        <w:tc>
          <w:tcPr>
            <w:tcW w:w="2139" w:type="dxa"/>
            <w:shd w:val="clear" w:color="auto" w:fill="auto"/>
          </w:tcPr>
          <w:p w:rsidR="008D6935" w:rsidRPr="008D6935" w:rsidRDefault="008D6935" w:rsidP="00116FD8">
            <w:pPr>
              <w:pStyle w:val="ENoteTableText"/>
              <w:tabs>
                <w:tab w:val="left" w:leader="dot" w:pos="2268"/>
              </w:tabs>
              <w:rPr>
                <w:rFonts w:ascii="Arial" w:eastAsiaTheme="minorHAnsi" w:hAnsi="Arial" w:cs="Arial"/>
                <w:b/>
                <w:lang w:eastAsia="en-US"/>
              </w:rPr>
            </w:pPr>
            <w:r w:rsidRPr="008D6935">
              <w:rPr>
                <w:rFonts w:ascii="Arial" w:eastAsiaTheme="minorHAnsi" w:hAnsi="Arial" w:cs="Arial"/>
                <w:b/>
                <w:lang w:eastAsia="en-US"/>
              </w:rPr>
              <w:t>Division 3.2</w:t>
            </w:r>
          </w:p>
        </w:tc>
        <w:tc>
          <w:tcPr>
            <w:tcW w:w="6220" w:type="dxa"/>
            <w:shd w:val="clear" w:color="auto" w:fill="auto"/>
          </w:tcPr>
          <w:p w:rsidR="008D6935" w:rsidRDefault="008D6935" w:rsidP="009566EC">
            <w:pPr>
              <w:pStyle w:val="ENoteTableText"/>
              <w:rPr>
                <w:rFonts w:ascii="Arial" w:hAnsi="Arial" w:cs="Arial"/>
              </w:rPr>
            </w:pPr>
          </w:p>
        </w:tc>
      </w:tr>
      <w:tr w:rsidR="002F064D" w:rsidRPr="00C72A74" w:rsidTr="008D6935">
        <w:trPr>
          <w:cantSplit/>
        </w:trPr>
        <w:tc>
          <w:tcPr>
            <w:tcW w:w="2139" w:type="dxa"/>
            <w:shd w:val="clear" w:color="auto" w:fill="auto"/>
          </w:tcPr>
          <w:p w:rsidR="002F064D" w:rsidRPr="00C72A74" w:rsidRDefault="007B026F" w:rsidP="00116FD8">
            <w:pPr>
              <w:pStyle w:val="ENoteTableText"/>
              <w:tabs>
                <w:tab w:val="left" w:leader="dot" w:pos="2268"/>
              </w:tabs>
              <w:rPr>
                <w:rFonts w:ascii="Arial" w:eastAsiaTheme="minorHAnsi" w:hAnsi="Arial" w:cs="Arial"/>
                <w:lang w:eastAsia="en-US"/>
              </w:rPr>
            </w:pPr>
            <w:r>
              <w:rPr>
                <w:rFonts w:ascii="Arial" w:eastAsiaTheme="minorHAnsi" w:hAnsi="Arial" w:cs="Arial"/>
                <w:lang w:eastAsia="en-US"/>
              </w:rPr>
              <w:t>s. 3.2</w:t>
            </w:r>
            <w:r>
              <w:rPr>
                <w:rFonts w:ascii="Arial" w:eastAsiaTheme="minorHAnsi" w:hAnsi="Arial" w:cs="Arial"/>
                <w:lang w:eastAsia="en-US"/>
              </w:rPr>
              <w:tab/>
            </w:r>
          </w:p>
        </w:tc>
        <w:tc>
          <w:tcPr>
            <w:tcW w:w="6220" w:type="dxa"/>
            <w:shd w:val="clear" w:color="auto" w:fill="auto"/>
          </w:tcPr>
          <w:p w:rsidR="002F064D" w:rsidRPr="00C72A74" w:rsidRDefault="007B026F" w:rsidP="008D6935">
            <w:pPr>
              <w:pStyle w:val="ENoteTableText"/>
              <w:rPr>
                <w:rFonts w:ascii="Arial" w:hAnsi="Arial" w:cs="Arial"/>
              </w:rPr>
            </w:pPr>
            <w:r>
              <w:rPr>
                <w:rFonts w:ascii="Arial" w:hAnsi="Arial" w:cs="Arial"/>
              </w:rPr>
              <w:t>am. No. 1</w:t>
            </w:r>
            <w:r w:rsidR="008D6935">
              <w:rPr>
                <w:rFonts w:ascii="Arial" w:hAnsi="Arial" w:cs="Arial"/>
              </w:rPr>
              <w:t xml:space="preserve">, </w:t>
            </w:r>
            <w:r>
              <w:rPr>
                <w:rFonts w:ascii="Arial" w:hAnsi="Arial" w:cs="Arial"/>
              </w:rPr>
              <w:t>2013</w:t>
            </w:r>
          </w:p>
        </w:tc>
      </w:tr>
      <w:tr w:rsidR="008D6935" w:rsidRPr="00C72A74" w:rsidTr="008D6935">
        <w:trPr>
          <w:cantSplit/>
        </w:trPr>
        <w:tc>
          <w:tcPr>
            <w:tcW w:w="2139" w:type="dxa"/>
            <w:shd w:val="clear" w:color="auto" w:fill="auto"/>
          </w:tcPr>
          <w:p w:rsidR="008D6935" w:rsidRPr="008D6935" w:rsidRDefault="008D6935" w:rsidP="00116FD8">
            <w:pPr>
              <w:pStyle w:val="ENoteTableText"/>
              <w:tabs>
                <w:tab w:val="left" w:leader="dot" w:pos="2268"/>
              </w:tabs>
              <w:rPr>
                <w:rFonts w:ascii="Arial" w:eastAsiaTheme="minorHAnsi" w:hAnsi="Arial" w:cs="Arial"/>
                <w:b/>
                <w:lang w:eastAsia="en-US"/>
              </w:rPr>
            </w:pPr>
            <w:r w:rsidRPr="008D6935">
              <w:rPr>
                <w:rFonts w:ascii="Arial" w:eastAsiaTheme="minorHAnsi" w:hAnsi="Arial" w:cs="Arial"/>
                <w:b/>
                <w:lang w:eastAsia="en-US"/>
              </w:rPr>
              <w:t>Division 3.3</w:t>
            </w:r>
          </w:p>
        </w:tc>
        <w:tc>
          <w:tcPr>
            <w:tcW w:w="6220" w:type="dxa"/>
            <w:shd w:val="clear" w:color="auto" w:fill="auto"/>
          </w:tcPr>
          <w:p w:rsidR="008D6935" w:rsidRDefault="008D6935" w:rsidP="009566EC">
            <w:pPr>
              <w:pStyle w:val="ENoteTableText"/>
              <w:rPr>
                <w:rFonts w:ascii="Arial" w:hAnsi="Arial" w:cs="Arial"/>
              </w:rPr>
            </w:pPr>
          </w:p>
        </w:tc>
      </w:tr>
      <w:tr w:rsidR="007B026F" w:rsidRPr="00C72A74" w:rsidTr="005B246B">
        <w:trPr>
          <w:cantSplit/>
        </w:trPr>
        <w:tc>
          <w:tcPr>
            <w:tcW w:w="2139" w:type="dxa"/>
            <w:shd w:val="clear" w:color="auto" w:fill="auto"/>
          </w:tcPr>
          <w:p w:rsidR="007B026F" w:rsidRDefault="007B026F" w:rsidP="00116FD8">
            <w:pPr>
              <w:pStyle w:val="ENoteTableText"/>
              <w:tabs>
                <w:tab w:val="left" w:leader="dot" w:pos="2268"/>
              </w:tabs>
              <w:rPr>
                <w:rFonts w:ascii="Arial" w:eastAsiaTheme="minorHAnsi" w:hAnsi="Arial" w:cs="Arial"/>
                <w:lang w:eastAsia="en-US"/>
              </w:rPr>
            </w:pPr>
            <w:r>
              <w:rPr>
                <w:rFonts w:ascii="Arial" w:eastAsiaTheme="minorHAnsi" w:hAnsi="Arial" w:cs="Arial"/>
                <w:lang w:eastAsia="en-US"/>
              </w:rPr>
              <w:t>s. 3.3</w:t>
            </w:r>
            <w:r>
              <w:rPr>
                <w:rFonts w:ascii="Arial" w:eastAsiaTheme="minorHAnsi" w:hAnsi="Arial" w:cs="Arial"/>
                <w:lang w:eastAsia="en-US"/>
              </w:rPr>
              <w:tab/>
            </w:r>
          </w:p>
        </w:tc>
        <w:tc>
          <w:tcPr>
            <w:tcW w:w="6220" w:type="dxa"/>
            <w:shd w:val="clear" w:color="auto" w:fill="auto"/>
          </w:tcPr>
          <w:p w:rsidR="007B026F" w:rsidRPr="00C72A74" w:rsidRDefault="007B026F" w:rsidP="008D6935">
            <w:pPr>
              <w:pStyle w:val="ENoteTableText"/>
              <w:rPr>
                <w:rFonts w:ascii="Arial" w:hAnsi="Arial" w:cs="Arial"/>
              </w:rPr>
            </w:pPr>
            <w:r w:rsidRPr="00FD18C9">
              <w:rPr>
                <w:rFonts w:ascii="Arial" w:hAnsi="Arial" w:cs="Arial"/>
              </w:rPr>
              <w:t>am. No. 1</w:t>
            </w:r>
            <w:r w:rsidR="008D6935">
              <w:rPr>
                <w:rFonts w:ascii="Arial" w:hAnsi="Arial" w:cs="Arial"/>
              </w:rPr>
              <w:t xml:space="preserve">, </w:t>
            </w:r>
            <w:r w:rsidRPr="00FD18C9">
              <w:rPr>
                <w:rFonts w:ascii="Arial" w:hAnsi="Arial" w:cs="Arial"/>
              </w:rPr>
              <w:t>2013</w:t>
            </w:r>
          </w:p>
        </w:tc>
      </w:tr>
      <w:tr w:rsidR="008D6935" w:rsidRPr="00C72A74" w:rsidTr="005B246B">
        <w:trPr>
          <w:cantSplit/>
        </w:trPr>
        <w:tc>
          <w:tcPr>
            <w:tcW w:w="2139" w:type="dxa"/>
            <w:shd w:val="clear" w:color="auto" w:fill="auto"/>
          </w:tcPr>
          <w:p w:rsidR="008D6935" w:rsidRPr="008D6935" w:rsidRDefault="008D6935" w:rsidP="00116FD8">
            <w:pPr>
              <w:pStyle w:val="ENoteTableText"/>
              <w:tabs>
                <w:tab w:val="left" w:leader="dot" w:pos="2268"/>
              </w:tabs>
              <w:rPr>
                <w:rFonts w:ascii="Arial" w:eastAsiaTheme="minorHAnsi" w:hAnsi="Arial" w:cs="Arial"/>
                <w:b/>
                <w:lang w:eastAsia="en-US"/>
              </w:rPr>
            </w:pPr>
            <w:r w:rsidRPr="008D6935">
              <w:rPr>
                <w:rFonts w:ascii="Arial" w:eastAsiaTheme="minorHAnsi" w:hAnsi="Arial" w:cs="Arial"/>
                <w:b/>
                <w:lang w:eastAsia="en-US"/>
              </w:rPr>
              <w:t>Division 3.4</w:t>
            </w:r>
          </w:p>
        </w:tc>
        <w:tc>
          <w:tcPr>
            <w:tcW w:w="6220" w:type="dxa"/>
            <w:shd w:val="clear" w:color="auto" w:fill="auto"/>
          </w:tcPr>
          <w:p w:rsidR="008D6935" w:rsidRPr="00FD18C9" w:rsidRDefault="008D6935" w:rsidP="009566EC">
            <w:pPr>
              <w:pStyle w:val="ENoteTableText"/>
              <w:rPr>
                <w:rFonts w:ascii="Arial" w:hAnsi="Arial" w:cs="Arial"/>
              </w:rPr>
            </w:pPr>
          </w:p>
        </w:tc>
      </w:tr>
      <w:tr w:rsidR="007B026F" w:rsidRPr="00C72A74" w:rsidTr="005B246B">
        <w:trPr>
          <w:cantSplit/>
        </w:trPr>
        <w:tc>
          <w:tcPr>
            <w:tcW w:w="2139" w:type="dxa"/>
            <w:shd w:val="clear" w:color="auto" w:fill="auto"/>
          </w:tcPr>
          <w:p w:rsidR="007B026F" w:rsidRDefault="007B026F" w:rsidP="00116FD8">
            <w:pPr>
              <w:pStyle w:val="ENoteTableText"/>
              <w:tabs>
                <w:tab w:val="left" w:leader="dot" w:pos="2268"/>
              </w:tabs>
              <w:rPr>
                <w:rFonts w:ascii="Arial" w:eastAsiaTheme="minorHAnsi" w:hAnsi="Arial" w:cs="Arial"/>
                <w:lang w:eastAsia="en-US"/>
              </w:rPr>
            </w:pPr>
            <w:r>
              <w:rPr>
                <w:rFonts w:ascii="Arial" w:eastAsiaTheme="minorHAnsi" w:hAnsi="Arial" w:cs="Arial"/>
                <w:lang w:eastAsia="en-US"/>
              </w:rPr>
              <w:t>s. 3.4</w:t>
            </w:r>
            <w:r>
              <w:rPr>
                <w:rFonts w:ascii="Arial" w:eastAsiaTheme="minorHAnsi" w:hAnsi="Arial" w:cs="Arial"/>
                <w:lang w:eastAsia="en-US"/>
              </w:rPr>
              <w:tab/>
            </w:r>
          </w:p>
        </w:tc>
        <w:tc>
          <w:tcPr>
            <w:tcW w:w="6220" w:type="dxa"/>
            <w:shd w:val="clear" w:color="auto" w:fill="auto"/>
          </w:tcPr>
          <w:p w:rsidR="007B026F" w:rsidRPr="00C72A74" w:rsidRDefault="007B026F" w:rsidP="008D6935">
            <w:pPr>
              <w:pStyle w:val="ENoteTableText"/>
              <w:rPr>
                <w:rFonts w:ascii="Arial" w:hAnsi="Arial" w:cs="Arial"/>
              </w:rPr>
            </w:pPr>
            <w:r w:rsidRPr="00FD18C9">
              <w:rPr>
                <w:rFonts w:ascii="Arial" w:hAnsi="Arial" w:cs="Arial"/>
              </w:rPr>
              <w:t>am. No. 1</w:t>
            </w:r>
            <w:r w:rsidR="008D6935">
              <w:rPr>
                <w:rFonts w:ascii="Arial" w:hAnsi="Arial" w:cs="Arial"/>
              </w:rPr>
              <w:t xml:space="preserve">, </w:t>
            </w:r>
            <w:r w:rsidRPr="00FD18C9">
              <w:rPr>
                <w:rFonts w:ascii="Arial" w:hAnsi="Arial" w:cs="Arial"/>
              </w:rPr>
              <w:t>2013</w:t>
            </w:r>
          </w:p>
        </w:tc>
      </w:tr>
      <w:tr w:rsidR="008D6935" w:rsidRPr="00C72A74" w:rsidTr="005B246B">
        <w:trPr>
          <w:cantSplit/>
        </w:trPr>
        <w:tc>
          <w:tcPr>
            <w:tcW w:w="2139" w:type="dxa"/>
            <w:shd w:val="clear" w:color="auto" w:fill="auto"/>
          </w:tcPr>
          <w:p w:rsidR="008D6935" w:rsidRPr="008D6935" w:rsidRDefault="008D6935" w:rsidP="00116FD8">
            <w:pPr>
              <w:pStyle w:val="ENoteTableText"/>
              <w:tabs>
                <w:tab w:val="left" w:leader="dot" w:pos="2268"/>
              </w:tabs>
              <w:rPr>
                <w:rFonts w:ascii="Arial" w:eastAsiaTheme="minorHAnsi" w:hAnsi="Arial" w:cs="Arial"/>
                <w:b/>
                <w:lang w:eastAsia="en-US"/>
              </w:rPr>
            </w:pPr>
            <w:r w:rsidRPr="008D6935">
              <w:rPr>
                <w:rFonts w:ascii="Arial" w:eastAsiaTheme="minorHAnsi" w:hAnsi="Arial" w:cs="Arial"/>
                <w:b/>
                <w:lang w:eastAsia="en-US"/>
              </w:rPr>
              <w:t>Division 3.5</w:t>
            </w:r>
          </w:p>
        </w:tc>
        <w:tc>
          <w:tcPr>
            <w:tcW w:w="6220" w:type="dxa"/>
            <w:shd w:val="clear" w:color="auto" w:fill="auto"/>
          </w:tcPr>
          <w:p w:rsidR="008D6935" w:rsidRPr="00FD18C9" w:rsidRDefault="008D6935" w:rsidP="009566EC">
            <w:pPr>
              <w:pStyle w:val="ENoteTableText"/>
              <w:rPr>
                <w:rFonts w:ascii="Arial" w:hAnsi="Arial" w:cs="Arial"/>
              </w:rPr>
            </w:pPr>
          </w:p>
        </w:tc>
      </w:tr>
      <w:tr w:rsidR="007B026F" w:rsidRPr="00C72A74" w:rsidTr="005B246B">
        <w:trPr>
          <w:cantSplit/>
        </w:trPr>
        <w:tc>
          <w:tcPr>
            <w:tcW w:w="2139" w:type="dxa"/>
            <w:shd w:val="clear" w:color="auto" w:fill="auto"/>
          </w:tcPr>
          <w:p w:rsidR="007B026F" w:rsidRDefault="007B026F" w:rsidP="00116FD8">
            <w:pPr>
              <w:pStyle w:val="ENoteTableText"/>
              <w:tabs>
                <w:tab w:val="left" w:leader="dot" w:pos="2268"/>
              </w:tabs>
              <w:rPr>
                <w:rFonts w:ascii="Arial" w:eastAsiaTheme="minorHAnsi" w:hAnsi="Arial" w:cs="Arial"/>
                <w:lang w:eastAsia="en-US"/>
              </w:rPr>
            </w:pPr>
            <w:r>
              <w:rPr>
                <w:rFonts w:ascii="Arial" w:eastAsiaTheme="minorHAnsi" w:hAnsi="Arial" w:cs="Arial"/>
                <w:lang w:eastAsia="en-US"/>
              </w:rPr>
              <w:t>s. 3.5</w:t>
            </w:r>
            <w:r>
              <w:rPr>
                <w:rFonts w:ascii="Arial" w:eastAsiaTheme="minorHAnsi" w:hAnsi="Arial" w:cs="Arial"/>
                <w:lang w:eastAsia="en-US"/>
              </w:rPr>
              <w:tab/>
            </w:r>
          </w:p>
        </w:tc>
        <w:tc>
          <w:tcPr>
            <w:tcW w:w="6220" w:type="dxa"/>
            <w:shd w:val="clear" w:color="auto" w:fill="auto"/>
          </w:tcPr>
          <w:p w:rsidR="007B026F" w:rsidRPr="00C72A74" w:rsidRDefault="007B026F" w:rsidP="008D6935">
            <w:pPr>
              <w:pStyle w:val="ENoteTableText"/>
              <w:rPr>
                <w:rFonts w:ascii="Arial" w:hAnsi="Arial" w:cs="Arial"/>
              </w:rPr>
            </w:pPr>
            <w:r w:rsidRPr="00FD18C9">
              <w:rPr>
                <w:rFonts w:ascii="Arial" w:hAnsi="Arial" w:cs="Arial"/>
              </w:rPr>
              <w:t>am. No. 1</w:t>
            </w:r>
            <w:r w:rsidR="008D6935">
              <w:rPr>
                <w:rFonts w:ascii="Arial" w:hAnsi="Arial" w:cs="Arial"/>
              </w:rPr>
              <w:t>,</w:t>
            </w:r>
            <w:r w:rsidRPr="00FD18C9">
              <w:rPr>
                <w:rFonts w:ascii="Arial" w:hAnsi="Arial" w:cs="Arial"/>
              </w:rPr>
              <w:t xml:space="preserve"> 2013</w:t>
            </w:r>
          </w:p>
        </w:tc>
      </w:tr>
      <w:tr w:rsidR="008D6935" w:rsidRPr="00C72A74" w:rsidTr="005B246B">
        <w:trPr>
          <w:cantSplit/>
        </w:trPr>
        <w:tc>
          <w:tcPr>
            <w:tcW w:w="2139" w:type="dxa"/>
            <w:shd w:val="clear" w:color="auto" w:fill="auto"/>
          </w:tcPr>
          <w:p w:rsidR="008D6935" w:rsidRPr="008D6935" w:rsidRDefault="008D6935" w:rsidP="00116FD8">
            <w:pPr>
              <w:pStyle w:val="ENoteTableText"/>
              <w:tabs>
                <w:tab w:val="left" w:leader="dot" w:pos="2268"/>
              </w:tabs>
              <w:rPr>
                <w:rFonts w:ascii="Arial" w:eastAsiaTheme="minorHAnsi" w:hAnsi="Arial" w:cs="Arial"/>
                <w:b/>
                <w:lang w:eastAsia="en-US"/>
              </w:rPr>
            </w:pPr>
            <w:r w:rsidRPr="008D6935">
              <w:rPr>
                <w:rFonts w:ascii="Arial" w:eastAsiaTheme="minorHAnsi" w:hAnsi="Arial" w:cs="Arial"/>
                <w:b/>
                <w:lang w:eastAsia="en-US"/>
              </w:rPr>
              <w:t>Part 4</w:t>
            </w:r>
          </w:p>
        </w:tc>
        <w:tc>
          <w:tcPr>
            <w:tcW w:w="6220" w:type="dxa"/>
            <w:shd w:val="clear" w:color="auto" w:fill="auto"/>
          </w:tcPr>
          <w:p w:rsidR="008D6935" w:rsidRPr="00FD18C9" w:rsidRDefault="008D6935" w:rsidP="009566EC">
            <w:pPr>
              <w:pStyle w:val="ENoteTableText"/>
              <w:rPr>
                <w:rFonts w:ascii="Arial" w:hAnsi="Arial" w:cs="Arial"/>
              </w:rPr>
            </w:pPr>
          </w:p>
        </w:tc>
      </w:tr>
      <w:tr w:rsidR="008D6935" w:rsidRPr="00C72A74" w:rsidTr="005B246B">
        <w:trPr>
          <w:cantSplit/>
        </w:trPr>
        <w:tc>
          <w:tcPr>
            <w:tcW w:w="2139" w:type="dxa"/>
            <w:shd w:val="clear" w:color="auto" w:fill="auto"/>
          </w:tcPr>
          <w:p w:rsidR="008D6935" w:rsidRPr="00C72A74" w:rsidRDefault="008D6935" w:rsidP="00482E0C">
            <w:pPr>
              <w:pStyle w:val="ENoteTableText"/>
              <w:tabs>
                <w:tab w:val="left" w:leader="dot" w:pos="2268"/>
              </w:tabs>
              <w:rPr>
                <w:rFonts w:ascii="Arial" w:eastAsiaTheme="minorHAnsi" w:hAnsi="Arial" w:cs="Arial"/>
                <w:lang w:eastAsia="en-US"/>
              </w:rPr>
            </w:pPr>
            <w:r>
              <w:rPr>
                <w:rFonts w:ascii="Arial" w:hAnsi="Arial" w:cs="Arial"/>
              </w:rPr>
              <w:t>s. 4.2</w:t>
            </w:r>
            <w:r>
              <w:rPr>
                <w:rFonts w:ascii="Arial" w:hAnsi="Arial" w:cs="Arial"/>
              </w:rPr>
              <w:tab/>
            </w:r>
          </w:p>
        </w:tc>
        <w:tc>
          <w:tcPr>
            <w:tcW w:w="6220" w:type="dxa"/>
            <w:shd w:val="clear" w:color="auto" w:fill="auto"/>
          </w:tcPr>
          <w:p w:rsidR="008D6935" w:rsidRPr="00C72A74" w:rsidRDefault="008D6935" w:rsidP="008D6935">
            <w:pPr>
              <w:pStyle w:val="ENoteTableText"/>
              <w:rPr>
                <w:rFonts w:ascii="Arial" w:hAnsi="Arial" w:cs="Arial"/>
              </w:rPr>
            </w:pPr>
            <w:r>
              <w:rPr>
                <w:rFonts w:ascii="Arial" w:hAnsi="Arial" w:cs="Arial"/>
              </w:rPr>
              <w:t>am. No. 1, 2011</w:t>
            </w:r>
          </w:p>
        </w:tc>
      </w:tr>
      <w:tr w:rsidR="007B026F" w:rsidRPr="00C72A74" w:rsidTr="005B246B">
        <w:trPr>
          <w:cantSplit/>
        </w:trPr>
        <w:tc>
          <w:tcPr>
            <w:tcW w:w="2139" w:type="dxa"/>
            <w:shd w:val="clear" w:color="auto" w:fill="auto"/>
          </w:tcPr>
          <w:p w:rsidR="007B026F" w:rsidRPr="005B246B" w:rsidRDefault="00522D9F" w:rsidP="00116FD8">
            <w:pPr>
              <w:pStyle w:val="ENoteTableText"/>
              <w:tabs>
                <w:tab w:val="left" w:leader="dot" w:pos="2268"/>
              </w:tabs>
              <w:rPr>
                <w:rFonts w:ascii="Arial" w:eastAsiaTheme="minorHAnsi" w:hAnsi="Arial" w:cs="Arial"/>
                <w:b/>
                <w:lang w:eastAsia="en-US"/>
              </w:rPr>
            </w:pPr>
            <w:r w:rsidRPr="00522D9F">
              <w:rPr>
                <w:rFonts w:ascii="Arial" w:eastAsiaTheme="minorHAnsi" w:hAnsi="Arial" w:cs="Arial"/>
                <w:b/>
                <w:lang w:eastAsia="en-US"/>
              </w:rPr>
              <w:t>Part 6</w:t>
            </w:r>
          </w:p>
        </w:tc>
        <w:tc>
          <w:tcPr>
            <w:tcW w:w="6220" w:type="dxa"/>
            <w:shd w:val="clear" w:color="auto" w:fill="auto"/>
          </w:tcPr>
          <w:p w:rsidR="007B026F" w:rsidRPr="00C72A74" w:rsidRDefault="007B026F" w:rsidP="009566EC">
            <w:pPr>
              <w:pStyle w:val="ENoteTableText"/>
              <w:rPr>
                <w:rFonts w:ascii="Arial" w:hAnsi="Arial" w:cs="Arial"/>
              </w:rPr>
            </w:pPr>
          </w:p>
        </w:tc>
      </w:tr>
      <w:tr w:rsidR="007B026F" w:rsidRPr="00C72A74" w:rsidTr="005B246B">
        <w:trPr>
          <w:cantSplit/>
        </w:trPr>
        <w:tc>
          <w:tcPr>
            <w:tcW w:w="2139" w:type="dxa"/>
            <w:shd w:val="clear" w:color="auto" w:fill="auto"/>
          </w:tcPr>
          <w:p w:rsidR="007B026F" w:rsidRDefault="007B026F" w:rsidP="00116FD8">
            <w:pPr>
              <w:pStyle w:val="ENoteTableText"/>
              <w:tabs>
                <w:tab w:val="left" w:leader="dot" w:pos="2268"/>
              </w:tabs>
              <w:rPr>
                <w:rFonts w:ascii="Arial" w:eastAsiaTheme="minorHAnsi" w:hAnsi="Arial" w:cs="Arial"/>
                <w:lang w:eastAsia="en-US"/>
              </w:rPr>
            </w:pPr>
            <w:r>
              <w:rPr>
                <w:rFonts w:ascii="Arial" w:eastAsiaTheme="minorHAnsi" w:hAnsi="Arial" w:cs="Arial"/>
                <w:lang w:eastAsia="en-US"/>
              </w:rPr>
              <w:t>Part 6</w:t>
            </w:r>
            <w:r>
              <w:rPr>
                <w:rFonts w:ascii="Arial" w:eastAsiaTheme="minorHAnsi" w:hAnsi="Arial" w:cs="Arial"/>
                <w:lang w:eastAsia="en-US"/>
              </w:rPr>
              <w:tab/>
            </w:r>
          </w:p>
        </w:tc>
        <w:tc>
          <w:tcPr>
            <w:tcW w:w="6220" w:type="dxa"/>
            <w:shd w:val="clear" w:color="auto" w:fill="auto"/>
          </w:tcPr>
          <w:p w:rsidR="007B026F" w:rsidRPr="00C72A74" w:rsidRDefault="007B026F" w:rsidP="008D6935">
            <w:pPr>
              <w:pStyle w:val="ENoteTableText"/>
              <w:rPr>
                <w:rFonts w:ascii="Arial" w:hAnsi="Arial" w:cs="Arial"/>
              </w:rPr>
            </w:pPr>
            <w:r>
              <w:rPr>
                <w:rFonts w:ascii="Arial" w:hAnsi="Arial" w:cs="Arial"/>
              </w:rPr>
              <w:t>ad. No. 1</w:t>
            </w:r>
            <w:r w:rsidR="008D6935">
              <w:rPr>
                <w:rFonts w:ascii="Arial" w:hAnsi="Arial" w:cs="Arial"/>
              </w:rPr>
              <w:t>,</w:t>
            </w:r>
            <w:r>
              <w:rPr>
                <w:rFonts w:ascii="Arial" w:hAnsi="Arial" w:cs="Arial"/>
              </w:rPr>
              <w:t xml:space="preserve"> 2013</w:t>
            </w:r>
          </w:p>
        </w:tc>
      </w:tr>
      <w:tr w:rsidR="007B026F" w:rsidRPr="00C72A74" w:rsidTr="005B246B">
        <w:trPr>
          <w:cantSplit/>
        </w:trPr>
        <w:tc>
          <w:tcPr>
            <w:tcW w:w="2139" w:type="dxa"/>
            <w:tcBorders>
              <w:bottom w:val="single" w:sz="12" w:space="0" w:color="auto"/>
            </w:tcBorders>
            <w:shd w:val="clear" w:color="auto" w:fill="auto"/>
          </w:tcPr>
          <w:p w:rsidR="007B026F" w:rsidRPr="00C72A74" w:rsidRDefault="008D6935" w:rsidP="00DC73C5">
            <w:pPr>
              <w:pStyle w:val="ENoteTableText"/>
              <w:tabs>
                <w:tab w:val="left" w:leader="dot" w:pos="2268"/>
              </w:tabs>
              <w:rPr>
                <w:rFonts w:ascii="Arial" w:eastAsiaTheme="minorHAnsi" w:hAnsi="Arial" w:cs="Arial"/>
                <w:lang w:eastAsia="en-US"/>
              </w:rPr>
            </w:pPr>
            <w:r>
              <w:rPr>
                <w:rFonts w:ascii="Arial" w:eastAsiaTheme="minorHAnsi" w:hAnsi="Arial" w:cs="Arial"/>
                <w:lang w:eastAsia="en-US"/>
              </w:rPr>
              <w:t>s. 6.1</w:t>
            </w:r>
            <w:r>
              <w:rPr>
                <w:rFonts w:ascii="Arial" w:eastAsiaTheme="minorHAnsi" w:hAnsi="Arial" w:cs="Arial"/>
                <w:lang w:eastAsia="en-US"/>
              </w:rPr>
              <w:tab/>
            </w:r>
          </w:p>
        </w:tc>
        <w:tc>
          <w:tcPr>
            <w:tcW w:w="6220" w:type="dxa"/>
            <w:tcBorders>
              <w:bottom w:val="single" w:sz="12" w:space="0" w:color="auto"/>
            </w:tcBorders>
            <w:shd w:val="clear" w:color="auto" w:fill="auto"/>
          </w:tcPr>
          <w:p w:rsidR="007B026F" w:rsidRPr="00C72A74" w:rsidRDefault="008D6935" w:rsidP="008D6935">
            <w:pPr>
              <w:pStyle w:val="ENoteTableText"/>
              <w:rPr>
                <w:rFonts w:ascii="Arial" w:hAnsi="Arial" w:cs="Arial"/>
              </w:rPr>
            </w:pPr>
            <w:r>
              <w:rPr>
                <w:rFonts w:ascii="Arial" w:hAnsi="Arial" w:cs="Arial"/>
              </w:rPr>
              <w:t>ad. No. 1, 2013</w:t>
            </w:r>
          </w:p>
        </w:tc>
      </w:tr>
      <w:bookmarkEnd w:id="51"/>
    </w:tbl>
    <w:p w:rsidR="002F064D" w:rsidRPr="00C72A74" w:rsidRDefault="002F064D" w:rsidP="009566EC">
      <w:pPr>
        <w:pStyle w:val="Tabletext"/>
      </w:pPr>
    </w:p>
    <w:p w:rsidR="002F064D" w:rsidRPr="00C72A74" w:rsidRDefault="002F064D" w:rsidP="009566EC"/>
    <w:p w:rsidR="002F064D" w:rsidRPr="00C72A74" w:rsidRDefault="00966EA4" w:rsidP="00C72A74">
      <w:pPr>
        <w:pStyle w:val="ENotesHeading2"/>
        <w:pageBreakBefore/>
        <w:outlineLvl w:val="9"/>
      </w:pPr>
      <w:bookmarkStart w:id="52" w:name="_Toc359833580"/>
      <w:r>
        <w:lastRenderedPageBreak/>
        <w:t>Endnote 3</w:t>
      </w:r>
      <w:r w:rsidR="002F064D" w:rsidRPr="00C72A74">
        <w:t>—Uncommenced amendments</w:t>
      </w:r>
      <w:r>
        <w:t xml:space="preserve"> [none]</w:t>
      </w:r>
      <w:bookmarkEnd w:id="52"/>
    </w:p>
    <w:p w:rsidR="002F064D" w:rsidRPr="00C72A74" w:rsidRDefault="002F064D" w:rsidP="009566EC">
      <w:pPr>
        <w:pStyle w:val="ENotesText"/>
      </w:pPr>
      <w:r w:rsidRPr="00C72A74">
        <w:t>There are no uncommenced amendments.</w:t>
      </w:r>
    </w:p>
    <w:p w:rsidR="002F064D" w:rsidRPr="00C72A74" w:rsidRDefault="002F064D" w:rsidP="009566EC"/>
    <w:p w:rsidR="002F064D" w:rsidRPr="00C72A74" w:rsidRDefault="002F064D" w:rsidP="005A74E3">
      <w:pPr>
        <w:pStyle w:val="ENotesHeading2"/>
        <w:pageBreakBefore/>
        <w:outlineLvl w:val="9"/>
      </w:pPr>
      <w:bookmarkStart w:id="53" w:name="_Toc359833581"/>
      <w:r w:rsidRPr="00C72A74">
        <w:lastRenderedPageBreak/>
        <w:t xml:space="preserve">Endnote </w:t>
      </w:r>
      <w:r w:rsidR="00966EA4">
        <w:t>4</w:t>
      </w:r>
      <w:r w:rsidRPr="00C72A74">
        <w:t>—</w:t>
      </w:r>
      <w:proofErr w:type="spellStart"/>
      <w:r w:rsidRPr="00C72A74">
        <w:t>Misdescribed</w:t>
      </w:r>
      <w:proofErr w:type="spellEnd"/>
      <w:r w:rsidRPr="00C72A74">
        <w:t xml:space="preserve"> amendments</w:t>
      </w:r>
      <w:r w:rsidR="00966EA4">
        <w:t xml:space="preserve"> [none]</w:t>
      </w:r>
      <w:bookmarkEnd w:id="53"/>
    </w:p>
    <w:p w:rsidR="002F064D" w:rsidRPr="00C72A74" w:rsidRDefault="002F064D" w:rsidP="009566EC">
      <w:pPr>
        <w:pStyle w:val="ENotesText"/>
      </w:pPr>
      <w:r w:rsidRPr="00C72A74">
        <w:t>There are no misdescribed amendments.</w:t>
      </w:r>
    </w:p>
    <w:p w:rsidR="002F064D" w:rsidRPr="00C72A74" w:rsidRDefault="002F064D" w:rsidP="009566EC"/>
    <w:p w:rsidR="002F064D" w:rsidRPr="00C72A74" w:rsidRDefault="002F064D" w:rsidP="009566EC"/>
    <w:p w:rsidR="00966EA4" w:rsidRDefault="00966EA4" w:rsidP="009566EC">
      <w:pPr>
        <w:sectPr w:rsidR="00966EA4" w:rsidSect="005A74E3">
          <w:headerReference w:type="even" r:id="rId46"/>
          <w:headerReference w:type="default" r:id="rId47"/>
          <w:footerReference w:type="even" r:id="rId48"/>
          <w:footerReference w:type="default" r:id="rId49"/>
          <w:pgSz w:w="11907" w:h="16839" w:code="9"/>
          <w:pgMar w:top="2237" w:right="1797" w:bottom="1440" w:left="1797" w:header="720" w:footer="709" w:gutter="0"/>
          <w:cols w:space="708"/>
          <w:docGrid w:linePitch="360"/>
        </w:sectPr>
      </w:pPr>
    </w:p>
    <w:p w:rsidR="000F716A" w:rsidRPr="00C72A74" w:rsidRDefault="000F716A" w:rsidP="00966EA4"/>
    <w:sectPr w:rsidR="000F716A" w:rsidRPr="00C72A74" w:rsidSect="00D86830">
      <w:headerReference w:type="even" r:id="rId50"/>
      <w:headerReference w:type="default" r:id="rId51"/>
      <w:footerReference w:type="even" r:id="rId52"/>
      <w:footerReference w:type="default" r:id="rId53"/>
      <w:headerReference w:type="first" r:id="rId54"/>
      <w:footerReference w:type="first" r:id="rId55"/>
      <w:type w:val="continuous"/>
      <w:pgSz w:w="11907" w:h="16839" w:code="9"/>
      <w:pgMar w:top="1440" w:right="1797" w:bottom="1440" w:left="1797" w:header="720"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F0D" w:rsidRDefault="005A6F0D">
      <w:r>
        <w:separator/>
      </w:r>
    </w:p>
  </w:endnote>
  <w:endnote w:type="continuationSeparator" w:id="0">
    <w:p w:rsidR="005A6F0D" w:rsidRDefault="005A6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Default="005A6F0D" w:rsidP="003A444C">
    <w:pPr>
      <w:pStyle w:val="Footer"/>
      <w:pBdr>
        <w:top w:val="single" w:sz="4" w:space="1" w:color="auto"/>
      </w:pBd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Default="005A6F0D">
    <w:pPr>
      <w:pBdr>
        <w:top w:val="single" w:sz="6" w:space="1" w:color="auto"/>
      </w:pBdr>
      <w:rPr>
        <w:sz w:val="18"/>
      </w:rPr>
    </w:pPr>
  </w:p>
  <w:p w:rsidR="005A6F0D" w:rsidRDefault="005A6F0D">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Automotive Transformation Scheme Order 2010</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26</w:t>
    </w:r>
    <w:r>
      <w:rPr>
        <w:i/>
        <w:sz w:val="18"/>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before="120" w:line="0" w:lineRule="atLeast"/>
      <w:rPr>
        <w:sz w:val="16"/>
        <w:szCs w:val="16"/>
      </w:rPr>
    </w:pPr>
  </w:p>
  <w:tbl>
    <w:tblPr>
      <w:tblStyle w:val="TableGrid"/>
      <w:tblW w:w="14142" w:type="dxa"/>
      <w:tblLayout w:type="fixed"/>
      <w:tblLook w:val="04A0" w:firstRow="1" w:lastRow="0" w:firstColumn="1" w:lastColumn="0" w:noHBand="0" w:noVBand="1"/>
    </w:tblPr>
    <w:tblGrid>
      <w:gridCol w:w="1418"/>
      <w:gridCol w:w="11306"/>
      <w:gridCol w:w="1418"/>
    </w:tblGrid>
    <w:tr w:rsidR="005A6F0D" w:rsidRPr="001D7750" w:rsidTr="005475D9">
      <w:tc>
        <w:tcPr>
          <w:tcW w:w="1418" w:type="dxa"/>
          <w:tcBorders>
            <w:top w:val="nil"/>
            <w:left w:val="nil"/>
            <w:bottom w:val="nil"/>
            <w:right w:val="nil"/>
          </w:tcBorders>
        </w:tcPr>
        <w:p w:rsidR="005A6F0D" w:rsidRPr="001D7750" w:rsidRDefault="005A6F0D" w:rsidP="009566EC">
          <w:pPr>
            <w:spacing w:line="0" w:lineRule="atLeast"/>
            <w:rPr>
              <w:sz w:val="18"/>
              <w:szCs w:val="18"/>
            </w:rPr>
          </w:pPr>
          <w:r w:rsidRPr="001D7750">
            <w:rPr>
              <w:i/>
              <w:sz w:val="18"/>
              <w:szCs w:val="18"/>
            </w:rPr>
            <w:fldChar w:fldCharType="begin"/>
          </w:r>
          <w:r w:rsidRPr="001D7750">
            <w:rPr>
              <w:i/>
              <w:sz w:val="18"/>
              <w:szCs w:val="18"/>
            </w:rPr>
            <w:instrText xml:space="preserve"> PAGE </w:instrText>
          </w:r>
          <w:r w:rsidRPr="001D7750">
            <w:rPr>
              <w:i/>
              <w:sz w:val="18"/>
              <w:szCs w:val="18"/>
            </w:rPr>
            <w:fldChar w:fldCharType="separate"/>
          </w:r>
          <w:r w:rsidR="00881253">
            <w:rPr>
              <w:i/>
              <w:noProof/>
              <w:sz w:val="18"/>
              <w:szCs w:val="18"/>
            </w:rPr>
            <w:t>22</w:t>
          </w:r>
          <w:r w:rsidRPr="001D7750">
            <w:rPr>
              <w:i/>
              <w:sz w:val="18"/>
              <w:szCs w:val="18"/>
            </w:rPr>
            <w:fldChar w:fldCharType="end"/>
          </w:r>
        </w:p>
      </w:tc>
      <w:tc>
        <w:tcPr>
          <w:tcW w:w="11306" w:type="dxa"/>
          <w:tcBorders>
            <w:top w:val="nil"/>
            <w:left w:val="nil"/>
            <w:bottom w:val="nil"/>
            <w:right w:val="nil"/>
          </w:tcBorders>
        </w:tcPr>
        <w:p w:rsidR="005A6F0D" w:rsidRPr="001D7750" w:rsidRDefault="005A6F0D" w:rsidP="009566EC">
          <w:pPr>
            <w:spacing w:line="0" w:lineRule="atLeast"/>
            <w:jc w:val="center"/>
            <w:rPr>
              <w:sz w:val="18"/>
              <w:szCs w:val="18"/>
            </w:rPr>
          </w:pPr>
          <w:r w:rsidRPr="001D7750">
            <w:rPr>
              <w:i/>
              <w:sz w:val="18"/>
              <w:szCs w:val="18"/>
            </w:rPr>
            <w:fldChar w:fldCharType="begin"/>
          </w:r>
          <w:r w:rsidRPr="001D7750">
            <w:rPr>
              <w:i/>
              <w:sz w:val="18"/>
              <w:szCs w:val="18"/>
            </w:rPr>
            <w:instrText xml:space="preserve"> DOCPROPERTY ShortT </w:instrText>
          </w:r>
          <w:r w:rsidRPr="001D7750">
            <w:rPr>
              <w:i/>
              <w:sz w:val="18"/>
              <w:szCs w:val="18"/>
            </w:rPr>
            <w:fldChar w:fldCharType="separate"/>
          </w:r>
          <w:r>
            <w:rPr>
              <w:i/>
              <w:sz w:val="18"/>
              <w:szCs w:val="18"/>
            </w:rPr>
            <w:t>Automotive Transformation Scheme Order 2010</w:t>
          </w:r>
          <w:r w:rsidRPr="001D7750">
            <w:rPr>
              <w:i/>
              <w:sz w:val="18"/>
              <w:szCs w:val="18"/>
            </w:rPr>
            <w:fldChar w:fldCharType="end"/>
          </w:r>
        </w:p>
      </w:tc>
      <w:tc>
        <w:tcPr>
          <w:tcW w:w="1418" w:type="dxa"/>
          <w:tcBorders>
            <w:top w:val="nil"/>
            <w:left w:val="nil"/>
            <w:bottom w:val="nil"/>
            <w:right w:val="nil"/>
          </w:tcBorders>
        </w:tcPr>
        <w:p w:rsidR="005A6F0D" w:rsidRPr="001D7750" w:rsidRDefault="005A6F0D" w:rsidP="009566EC">
          <w:pPr>
            <w:spacing w:line="0" w:lineRule="atLeast"/>
            <w:jc w:val="right"/>
            <w:rPr>
              <w:sz w:val="18"/>
              <w:szCs w:val="18"/>
            </w:rPr>
          </w:pPr>
        </w:p>
      </w:tc>
    </w:tr>
  </w:tbl>
  <w:p w:rsidR="005A6F0D" w:rsidRPr="00ED79B6" w:rsidRDefault="005A6F0D" w:rsidP="00384DF8">
    <w:pPr>
      <w:rPr>
        <w:i/>
        <w:sz w:val="18"/>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418"/>
      <w:gridCol w:w="11274"/>
      <w:gridCol w:w="1400"/>
    </w:tblGrid>
    <w:tr w:rsidR="005A6F0D" w:rsidRPr="001D7750" w:rsidTr="00276E5B">
      <w:tc>
        <w:tcPr>
          <w:tcW w:w="1418" w:type="dxa"/>
          <w:tcBorders>
            <w:top w:val="nil"/>
            <w:left w:val="nil"/>
            <w:bottom w:val="nil"/>
            <w:right w:val="nil"/>
          </w:tcBorders>
        </w:tcPr>
        <w:p w:rsidR="005A6F0D" w:rsidRPr="001D7750" w:rsidRDefault="005A6F0D" w:rsidP="009566EC">
          <w:pPr>
            <w:spacing w:line="0" w:lineRule="atLeast"/>
            <w:rPr>
              <w:sz w:val="18"/>
              <w:szCs w:val="18"/>
            </w:rPr>
          </w:pPr>
        </w:p>
      </w:tc>
      <w:tc>
        <w:tcPr>
          <w:tcW w:w="11274" w:type="dxa"/>
          <w:tcBorders>
            <w:top w:val="nil"/>
            <w:left w:val="nil"/>
            <w:bottom w:val="nil"/>
            <w:right w:val="nil"/>
          </w:tcBorders>
        </w:tcPr>
        <w:p w:rsidR="005A6F0D" w:rsidRPr="001D7750" w:rsidRDefault="005A6F0D" w:rsidP="009566EC">
          <w:pPr>
            <w:spacing w:line="0" w:lineRule="atLeast"/>
            <w:jc w:val="center"/>
            <w:rPr>
              <w:sz w:val="18"/>
              <w:szCs w:val="18"/>
            </w:rPr>
          </w:pPr>
          <w:r w:rsidRPr="001D7750">
            <w:rPr>
              <w:i/>
              <w:sz w:val="18"/>
              <w:szCs w:val="18"/>
            </w:rPr>
            <w:fldChar w:fldCharType="begin"/>
          </w:r>
          <w:r w:rsidRPr="001D7750">
            <w:rPr>
              <w:i/>
              <w:sz w:val="18"/>
              <w:szCs w:val="18"/>
            </w:rPr>
            <w:instrText xml:space="preserve"> DOCPROPERTY ShortT </w:instrText>
          </w:r>
          <w:r w:rsidRPr="001D7750">
            <w:rPr>
              <w:i/>
              <w:sz w:val="18"/>
              <w:szCs w:val="18"/>
            </w:rPr>
            <w:fldChar w:fldCharType="separate"/>
          </w:r>
          <w:r>
            <w:rPr>
              <w:i/>
              <w:sz w:val="18"/>
              <w:szCs w:val="18"/>
            </w:rPr>
            <w:t>Automotive Transformation Scheme Order 2010</w:t>
          </w:r>
          <w:r w:rsidRPr="001D7750">
            <w:rPr>
              <w:i/>
              <w:sz w:val="18"/>
              <w:szCs w:val="18"/>
            </w:rPr>
            <w:fldChar w:fldCharType="end"/>
          </w:r>
        </w:p>
      </w:tc>
      <w:tc>
        <w:tcPr>
          <w:tcW w:w="1400" w:type="dxa"/>
          <w:tcBorders>
            <w:top w:val="nil"/>
            <w:left w:val="nil"/>
            <w:bottom w:val="nil"/>
            <w:right w:val="nil"/>
          </w:tcBorders>
        </w:tcPr>
        <w:p w:rsidR="005A6F0D" w:rsidRPr="001D7750" w:rsidRDefault="005A6F0D" w:rsidP="009566EC">
          <w:pPr>
            <w:spacing w:line="0" w:lineRule="atLeast"/>
            <w:jc w:val="right"/>
            <w:rPr>
              <w:sz w:val="18"/>
              <w:szCs w:val="18"/>
            </w:rPr>
          </w:pPr>
          <w:r w:rsidRPr="001D7750">
            <w:rPr>
              <w:i/>
              <w:sz w:val="18"/>
              <w:szCs w:val="18"/>
            </w:rPr>
            <w:fldChar w:fldCharType="begin"/>
          </w:r>
          <w:r w:rsidRPr="001D7750">
            <w:rPr>
              <w:i/>
              <w:sz w:val="18"/>
              <w:szCs w:val="18"/>
            </w:rPr>
            <w:instrText xml:space="preserve"> PAGE </w:instrText>
          </w:r>
          <w:r w:rsidRPr="001D7750">
            <w:rPr>
              <w:i/>
              <w:sz w:val="18"/>
              <w:szCs w:val="18"/>
            </w:rPr>
            <w:fldChar w:fldCharType="separate"/>
          </w:r>
          <w:r w:rsidR="00881253">
            <w:rPr>
              <w:i/>
              <w:noProof/>
              <w:sz w:val="18"/>
              <w:szCs w:val="18"/>
            </w:rPr>
            <w:t>21</w:t>
          </w:r>
          <w:r w:rsidRPr="001D7750">
            <w:rPr>
              <w:i/>
              <w:sz w:val="18"/>
              <w:szCs w:val="18"/>
            </w:rPr>
            <w:fldChar w:fldCharType="end"/>
          </w:r>
        </w:p>
      </w:tc>
    </w:tr>
  </w:tbl>
  <w:p w:rsidR="005A6F0D" w:rsidRPr="00ED79B6" w:rsidRDefault="005A6F0D" w:rsidP="00384DF8">
    <w:pPr>
      <w:rPr>
        <w:i/>
        <w:sz w:val="18"/>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A6F0D" w:rsidTr="009566EC">
      <w:tc>
        <w:tcPr>
          <w:tcW w:w="1384" w:type="dxa"/>
          <w:tcBorders>
            <w:top w:val="nil"/>
            <w:left w:val="nil"/>
            <w:bottom w:val="nil"/>
            <w:right w:val="nil"/>
          </w:tcBorders>
        </w:tcPr>
        <w:p w:rsidR="005A6F0D" w:rsidRDefault="005A6F0D" w:rsidP="009566EC">
          <w:pPr>
            <w:spacing w:line="0" w:lineRule="atLeast"/>
            <w:rPr>
              <w:sz w:val="18"/>
            </w:rPr>
          </w:pPr>
        </w:p>
      </w:tc>
      <w:tc>
        <w:tcPr>
          <w:tcW w:w="6379" w:type="dxa"/>
          <w:tcBorders>
            <w:top w:val="nil"/>
            <w:left w:val="nil"/>
            <w:bottom w:val="nil"/>
            <w:right w:val="nil"/>
          </w:tcBorders>
        </w:tcPr>
        <w:p w:rsidR="005A6F0D" w:rsidRDefault="005A6F0D" w:rsidP="009566E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Automotive Transformation Scheme Order 2010</w:t>
          </w:r>
          <w:r w:rsidRPr="007A1328">
            <w:rPr>
              <w:i/>
              <w:sz w:val="18"/>
            </w:rPr>
            <w:fldChar w:fldCharType="end"/>
          </w:r>
        </w:p>
      </w:tc>
      <w:tc>
        <w:tcPr>
          <w:tcW w:w="709" w:type="dxa"/>
          <w:tcBorders>
            <w:top w:val="nil"/>
            <w:left w:val="nil"/>
            <w:bottom w:val="nil"/>
            <w:right w:val="nil"/>
          </w:tcBorders>
        </w:tcPr>
        <w:p w:rsidR="005A6F0D" w:rsidRDefault="005A6F0D" w:rsidP="009566E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26</w:t>
          </w:r>
          <w:r w:rsidRPr="00ED79B6">
            <w:rPr>
              <w:i/>
              <w:sz w:val="18"/>
            </w:rPr>
            <w:fldChar w:fldCharType="end"/>
          </w:r>
        </w:p>
      </w:tc>
    </w:tr>
    <w:tr w:rsidR="005A6F0D" w:rsidTr="0095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A6F0D" w:rsidRDefault="005A6F0D" w:rsidP="009566EC">
          <w:pPr>
            <w:rPr>
              <w:sz w:val="18"/>
            </w:rPr>
          </w:pPr>
        </w:p>
      </w:tc>
    </w:tr>
  </w:tbl>
  <w:p w:rsidR="005A6F0D" w:rsidRPr="00ED79B6" w:rsidRDefault="005A6F0D" w:rsidP="00384DF8">
    <w:pPr>
      <w:rPr>
        <w:i/>
        <w:sz w:val="18"/>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A6F0D" w:rsidRPr="001D7750" w:rsidTr="00FC2E96">
      <w:tc>
        <w:tcPr>
          <w:tcW w:w="709" w:type="dxa"/>
          <w:tcBorders>
            <w:top w:val="nil"/>
            <w:left w:val="nil"/>
            <w:bottom w:val="nil"/>
            <w:right w:val="nil"/>
          </w:tcBorders>
        </w:tcPr>
        <w:p w:rsidR="005A6F0D" w:rsidRPr="001D7750" w:rsidRDefault="005A6F0D" w:rsidP="009566EC">
          <w:pPr>
            <w:spacing w:line="0" w:lineRule="atLeast"/>
            <w:rPr>
              <w:sz w:val="18"/>
              <w:szCs w:val="18"/>
            </w:rPr>
          </w:pPr>
          <w:r w:rsidRPr="001D7750">
            <w:rPr>
              <w:i/>
              <w:sz w:val="18"/>
              <w:szCs w:val="18"/>
            </w:rPr>
            <w:fldChar w:fldCharType="begin"/>
          </w:r>
          <w:r w:rsidRPr="001D7750">
            <w:rPr>
              <w:i/>
              <w:sz w:val="18"/>
              <w:szCs w:val="18"/>
            </w:rPr>
            <w:instrText xml:space="preserve"> PAGE </w:instrText>
          </w:r>
          <w:r w:rsidRPr="001D7750">
            <w:rPr>
              <w:i/>
              <w:sz w:val="18"/>
              <w:szCs w:val="18"/>
            </w:rPr>
            <w:fldChar w:fldCharType="separate"/>
          </w:r>
          <w:r w:rsidR="00881253">
            <w:rPr>
              <w:i/>
              <w:noProof/>
              <w:sz w:val="18"/>
              <w:szCs w:val="18"/>
            </w:rPr>
            <w:t>26</w:t>
          </w:r>
          <w:r w:rsidRPr="001D7750">
            <w:rPr>
              <w:i/>
              <w:sz w:val="18"/>
              <w:szCs w:val="18"/>
            </w:rPr>
            <w:fldChar w:fldCharType="end"/>
          </w:r>
        </w:p>
      </w:tc>
      <w:tc>
        <w:tcPr>
          <w:tcW w:w="6379" w:type="dxa"/>
          <w:tcBorders>
            <w:top w:val="nil"/>
            <w:left w:val="nil"/>
            <w:bottom w:val="nil"/>
            <w:right w:val="nil"/>
          </w:tcBorders>
        </w:tcPr>
        <w:p w:rsidR="005A6F0D" w:rsidRPr="001D7750" w:rsidRDefault="005A6F0D" w:rsidP="009566EC">
          <w:pPr>
            <w:spacing w:line="0" w:lineRule="atLeast"/>
            <w:jc w:val="center"/>
            <w:rPr>
              <w:sz w:val="18"/>
              <w:szCs w:val="18"/>
            </w:rPr>
          </w:pPr>
          <w:r w:rsidRPr="001D7750">
            <w:rPr>
              <w:i/>
              <w:sz w:val="18"/>
              <w:szCs w:val="18"/>
            </w:rPr>
            <w:fldChar w:fldCharType="begin"/>
          </w:r>
          <w:r w:rsidRPr="001D7750">
            <w:rPr>
              <w:i/>
              <w:sz w:val="18"/>
              <w:szCs w:val="18"/>
            </w:rPr>
            <w:instrText xml:space="preserve"> DOCPROPERTY ShortT </w:instrText>
          </w:r>
          <w:r w:rsidRPr="001D7750">
            <w:rPr>
              <w:i/>
              <w:sz w:val="18"/>
              <w:szCs w:val="18"/>
            </w:rPr>
            <w:fldChar w:fldCharType="separate"/>
          </w:r>
          <w:r>
            <w:rPr>
              <w:i/>
              <w:sz w:val="18"/>
              <w:szCs w:val="18"/>
            </w:rPr>
            <w:t>Automotive Transformation Scheme Order 2010</w:t>
          </w:r>
          <w:r w:rsidRPr="001D7750">
            <w:rPr>
              <w:i/>
              <w:sz w:val="18"/>
              <w:szCs w:val="18"/>
            </w:rPr>
            <w:fldChar w:fldCharType="end"/>
          </w:r>
        </w:p>
      </w:tc>
      <w:tc>
        <w:tcPr>
          <w:tcW w:w="1384" w:type="dxa"/>
          <w:tcBorders>
            <w:top w:val="nil"/>
            <w:left w:val="nil"/>
            <w:bottom w:val="nil"/>
            <w:right w:val="nil"/>
          </w:tcBorders>
        </w:tcPr>
        <w:p w:rsidR="005A6F0D" w:rsidRPr="001D7750" w:rsidRDefault="005A6F0D" w:rsidP="009566EC">
          <w:pPr>
            <w:spacing w:line="0" w:lineRule="atLeast"/>
            <w:jc w:val="right"/>
            <w:rPr>
              <w:sz w:val="18"/>
              <w:szCs w:val="18"/>
            </w:rPr>
          </w:pPr>
        </w:p>
      </w:tc>
    </w:tr>
  </w:tbl>
  <w:p w:rsidR="005A6F0D" w:rsidRPr="00ED79B6" w:rsidRDefault="005A6F0D" w:rsidP="00384DF8">
    <w:pPr>
      <w:rPr>
        <w:i/>
        <w:sz w:val="18"/>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A6F0D" w:rsidRPr="001D7750" w:rsidTr="009566EC">
      <w:tc>
        <w:tcPr>
          <w:tcW w:w="1384" w:type="dxa"/>
          <w:tcBorders>
            <w:top w:val="nil"/>
            <w:left w:val="nil"/>
            <w:bottom w:val="nil"/>
            <w:right w:val="nil"/>
          </w:tcBorders>
        </w:tcPr>
        <w:p w:rsidR="005A6F0D" w:rsidRPr="001D7750" w:rsidRDefault="005A6F0D" w:rsidP="009566EC">
          <w:pPr>
            <w:spacing w:line="0" w:lineRule="atLeast"/>
            <w:rPr>
              <w:sz w:val="18"/>
              <w:szCs w:val="18"/>
            </w:rPr>
          </w:pPr>
        </w:p>
      </w:tc>
      <w:tc>
        <w:tcPr>
          <w:tcW w:w="6379" w:type="dxa"/>
          <w:tcBorders>
            <w:top w:val="nil"/>
            <w:left w:val="nil"/>
            <w:bottom w:val="nil"/>
            <w:right w:val="nil"/>
          </w:tcBorders>
        </w:tcPr>
        <w:p w:rsidR="005A6F0D" w:rsidRPr="001D7750" w:rsidRDefault="005A6F0D" w:rsidP="009566EC">
          <w:pPr>
            <w:spacing w:line="0" w:lineRule="atLeast"/>
            <w:jc w:val="center"/>
            <w:rPr>
              <w:sz w:val="18"/>
              <w:szCs w:val="18"/>
            </w:rPr>
          </w:pPr>
          <w:r w:rsidRPr="001D7750">
            <w:rPr>
              <w:i/>
              <w:sz w:val="18"/>
              <w:szCs w:val="18"/>
            </w:rPr>
            <w:fldChar w:fldCharType="begin"/>
          </w:r>
          <w:r w:rsidRPr="001D7750">
            <w:rPr>
              <w:i/>
              <w:sz w:val="18"/>
              <w:szCs w:val="18"/>
            </w:rPr>
            <w:instrText xml:space="preserve"> DOCPROPERTY ShortT </w:instrText>
          </w:r>
          <w:r w:rsidRPr="001D7750">
            <w:rPr>
              <w:i/>
              <w:sz w:val="18"/>
              <w:szCs w:val="18"/>
            </w:rPr>
            <w:fldChar w:fldCharType="separate"/>
          </w:r>
          <w:r>
            <w:rPr>
              <w:i/>
              <w:sz w:val="18"/>
              <w:szCs w:val="18"/>
            </w:rPr>
            <w:t>Automotive Transformation Scheme Order 2010</w:t>
          </w:r>
          <w:r w:rsidRPr="001D7750">
            <w:rPr>
              <w:i/>
              <w:sz w:val="18"/>
              <w:szCs w:val="18"/>
            </w:rPr>
            <w:fldChar w:fldCharType="end"/>
          </w:r>
        </w:p>
      </w:tc>
      <w:tc>
        <w:tcPr>
          <w:tcW w:w="709" w:type="dxa"/>
          <w:tcBorders>
            <w:top w:val="nil"/>
            <w:left w:val="nil"/>
            <w:bottom w:val="nil"/>
            <w:right w:val="nil"/>
          </w:tcBorders>
        </w:tcPr>
        <w:p w:rsidR="005A6F0D" w:rsidRPr="001D7750" w:rsidRDefault="005A6F0D" w:rsidP="009566EC">
          <w:pPr>
            <w:spacing w:line="0" w:lineRule="atLeast"/>
            <w:jc w:val="right"/>
            <w:rPr>
              <w:sz w:val="18"/>
              <w:szCs w:val="18"/>
            </w:rPr>
          </w:pPr>
          <w:r w:rsidRPr="001D7750">
            <w:rPr>
              <w:i/>
              <w:sz w:val="18"/>
              <w:szCs w:val="18"/>
            </w:rPr>
            <w:fldChar w:fldCharType="begin"/>
          </w:r>
          <w:r w:rsidRPr="001D7750">
            <w:rPr>
              <w:i/>
              <w:sz w:val="18"/>
              <w:szCs w:val="18"/>
            </w:rPr>
            <w:instrText xml:space="preserve"> PAGE </w:instrText>
          </w:r>
          <w:r w:rsidRPr="001D7750">
            <w:rPr>
              <w:i/>
              <w:sz w:val="18"/>
              <w:szCs w:val="18"/>
            </w:rPr>
            <w:fldChar w:fldCharType="separate"/>
          </w:r>
          <w:r w:rsidR="00881253">
            <w:rPr>
              <w:i/>
              <w:noProof/>
              <w:sz w:val="18"/>
              <w:szCs w:val="18"/>
            </w:rPr>
            <w:t>25</w:t>
          </w:r>
          <w:r w:rsidRPr="001D7750">
            <w:rPr>
              <w:i/>
              <w:sz w:val="18"/>
              <w:szCs w:val="18"/>
            </w:rPr>
            <w:fldChar w:fldCharType="end"/>
          </w:r>
        </w:p>
      </w:tc>
    </w:tr>
  </w:tbl>
  <w:p w:rsidR="005A6F0D" w:rsidRPr="00ED79B6" w:rsidRDefault="005A6F0D" w:rsidP="00384DF8">
    <w:pPr>
      <w:rPr>
        <w:i/>
        <w:sz w:val="18"/>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A6F0D" w:rsidTr="009566EC">
      <w:tc>
        <w:tcPr>
          <w:tcW w:w="709" w:type="dxa"/>
          <w:tcBorders>
            <w:top w:val="nil"/>
            <w:left w:val="nil"/>
            <w:bottom w:val="nil"/>
            <w:right w:val="nil"/>
          </w:tcBorders>
        </w:tcPr>
        <w:p w:rsidR="005A6F0D" w:rsidRDefault="005A6F0D" w:rsidP="009566E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26</w:t>
          </w:r>
          <w:r w:rsidRPr="00ED79B6">
            <w:rPr>
              <w:i/>
              <w:sz w:val="18"/>
            </w:rPr>
            <w:fldChar w:fldCharType="end"/>
          </w:r>
        </w:p>
      </w:tc>
      <w:tc>
        <w:tcPr>
          <w:tcW w:w="6379" w:type="dxa"/>
          <w:tcBorders>
            <w:top w:val="nil"/>
            <w:left w:val="nil"/>
            <w:bottom w:val="nil"/>
            <w:right w:val="nil"/>
          </w:tcBorders>
        </w:tcPr>
        <w:p w:rsidR="005A6F0D" w:rsidRDefault="005A6F0D" w:rsidP="009566E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Automotive Transformation Scheme Order 2010</w:t>
          </w:r>
          <w:r w:rsidRPr="007A1328">
            <w:rPr>
              <w:i/>
              <w:sz w:val="18"/>
            </w:rPr>
            <w:fldChar w:fldCharType="end"/>
          </w:r>
        </w:p>
      </w:tc>
      <w:tc>
        <w:tcPr>
          <w:tcW w:w="1383" w:type="dxa"/>
          <w:tcBorders>
            <w:top w:val="nil"/>
            <w:left w:val="nil"/>
            <w:bottom w:val="nil"/>
            <w:right w:val="nil"/>
          </w:tcBorders>
        </w:tcPr>
        <w:p w:rsidR="005A6F0D" w:rsidRDefault="005A6F0D" w:rsidP="009566EC">
          <w:pPr>
            <w:spacing w:line="0" w:lineRule="atLeast"/>
            <w:jc w:val="right"/>
            <w:rPr>
              <w:sz w:val="18"/>
            </w:rPr>
          </w:pPr>
        </w:p>
      </w:tc>
    </w:tr>
    <w:tr w:rsidR="005A6F0D" w:rsidTr="0095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A6F0D" w:rsidRDefault="005A6F0D" w:rsidP="009566EC">
          <w:pPr>
            <w:jc w:val="right"/>
            <w:rPr>
              <w:sz w:val="18"/>
            </w:rPr>
          </w:pPr>
        </w:p>
      </w:tc>
    </w:tr>
  </w:tbl>
  <w:p w:rsidR="005A6F0D" w:rsidRPr="00ED79B6" w:rsidRDefault="005A6F0D" w:rsidP="00384DF8">
    <w:pPr>
      <w:rPr>
        <w:i/>
        <w:sz w:val="18"/>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A6F0D" w:rsidTr="009566EC">
      <w:tc>
        <w:tcPr>
          <w:tcW w:w="1384" w:type="dxa"/>
          <w:tcBorders>
            <w:top w:val="nil"/>
            <w:left w:val="nil"/>
            <w:bottom w:val="nil"/>
            <w:right w:val="nil"/>
          </w:tcBorders>
        </w:tcPr>
        <w:p w:rsidR="005A6F0D" w:rsidRDefault="005A6F0D" w:rsidP="009566EC">
          <w:pPr>
            <w:spacing w:line="0" w:lineRule="atLeast"/>
            <w:rPr>
              <w:sz w:val="18"/>
            </w:rPr>
          </w:pPr>
        </w:p>
      </w:tc>
      <w:tc>
        <w:tcPr>
          <w:tcW w:w="6379" w:type="dxa"/>
          <w:tcBorders>
            <w:top w:val="nil"/>
            <w:left w:val="nil"/>
            <w:bottom w:val="nil"/>
            <w:right w:val="nil"/>
          </w:tcBorders>
        </w:tcPr>
        <w:p w:rsidR="005A6F0D" w:rsidRDefault="005A6F0D" w:rsidP="009566E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Automotive Transformation Scheme Order 2010</w:t>
          </w:r>
          <w:r w:rsidRPr="007A1328">
            <w:rPr>
              <w:i/>
              <w:sz w:val="18"/>
            </w:rPr>
            <w:fldChar w:fldCharType="end"/>
          </w:r>
        </w:p>
      </w:tc>
      <w:tc>
        <w:tcPr>
          <w:tcW w:w="709" w:type="dxa"/>
          <w:tcBorders>
            <w:top w:val="nil"/>
            <w:left w:val="nil"/>
            <w:bottom w:val="nil"/>
            <w:right w:val="nil"/>
          </w:tcBorders>
        </w:tcPr>
        <w:p w:rsidR="005A6F0D" w:rsidRDefault="005A6F0D" w:rsidP="009566E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26</w:t>
          </w:r>
          <w:r w:rsidRPr="00ED79B6">
            <w:rPr>
              <w:i/>
              <w:sz w:val="18"/>
            </w:rPr>
            <w:fldChar w:fldCharType="end"/>
          </w:r>
        </w:p>
      </w:tc>
    </w:tr>
    <w:tr w:rsidR="005A6F0D" w:rsidTr="0095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A6F0D" w:rsidRDefault="005A6F0D" w:rsidP="009566EC">
          <w:pPr>
            <w:rPr>
              <w:sz w:val="18"/>
            </w:rPr>
          </w:pPr>
        </w:p>
      </w:tc>
    </w:tr>
  </w:tbl>
  <w:p w:rsidR="005A6F0D" w:rsidRPr="00ED79B6" w:rsidRDefault="005A6F0D" w:rsidP="00384DF8">
    <w:pPr>
      <w:rPr>
        <w:i/>
        <w:sz w:val="18"/>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A6F0D" w:rsidTr="009566EC">
      <w:tc>
        <w:tcPr>
          <w:tcW w:w="1384" w:type="dxa"/>
          <w:tcBorders>
            <w:top w:val="nil"/>
            <w:left w:val="nil"/>
            <w:bottom w:val="nil"/>
            <w:right w:val="nil"/>
          </w:tcBorders>
        </w:tcPr>
        <w:p w:rsidR="005A6F0D" w:rsidRDefault="005A6F0D" w:rsidP="009566EC">
          <w:pPr>
            <w:spacing w:line="0" w:lineRule="atLeast"/>
            <w:rPr>
              <w:sz w:val="18"/>
            </w:rPr>
          </w:pPr>
        </w:p>
      </w:tc>
      <w:tc>
        <w:tcPr>
          <w:tcW w:w="6379" w:type="dxa"/>
          <w:tcBorders>
            <w:top w:val="nil"/>
            <w:left w:val="nil"/>
            <w:bottom w:val="nil"/>
            <w:right w:val="nil"/>
          </w:tcBorders>
        </w:tcPr>
        <w:p w:rsidR="005A6F0D" w:rsidRDefault="005A6F0D" w:rsidP="009566E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Automotive Transformation Scheme Order 2010</w:t>
          </w:r>
          <w:r w:rsidRPr="007A1328">
            <w:rPr>
              <w:i/>
              <w:sz w:val="18"/>
            </w:rPr>
            <w:fldChar w:fldCharType="end"/>
          </w:r>
        </w:p>
      </w:tc>
      <w:tc>
        <w:tcPr>
          <w:tcW w:w="709" w:type="dxa"/>
          <w:tcBorders>
            <w:top w:val="nil"/>
            <w:left w:val="nil"/>
            <w:bottom w:val="nil"/>
            <w:right w:val="nil"/>
          </w:tcBorders>
        </w:tcPr>
        <w:p w:rsidR="005A6F0D" w:rsidRDefault="005A6F0D" w:rsidP="009566E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26</w:t>
          </w:r>
          <w:r w:rsidRPr="00ED79B6">
            <w:rPr>
              <w:i/>
              <w:sz w:val="18"/>
            </w:rPr>
            <w:fldChar w:fldCharType="end"/>
          </w:r>
        </w:p>
      </w:tc>
    </w:tr>
    <w:tr w:rsidR="005A6F0D" w:rsidTr="0095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A6F0D" w:rsidRDefault="005A6F0D" w:rsidP="009566EC">
          <w:pPr>
            <w:rPr>
              <w:sz w:val="18"/>
            </w:rPr>
          </w:pPr>
        </w:p>
      </w:tc>
    </w:tr>
  </w:tbl>
  <w:p w:rsidR="005A6F0D" w:rsidRPr="00ED79B6" w:rsidRDefault="005A6F0D" w:rsidP="00384DF8">
    <w:pPr>
      <w:rPr>
        <w:i/>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D79B6" w:rsidRDefault="005A6F0D" w:rsidP="003A444C">
    <w:pPr>
      <w:pStyle w:val="Footer"/>
      <w:tabs>
        <w:tab w:val="clear" w:pos="4153"/>
        <w:tab w:val="clear" w:pos="8306"/>
        <w:tab w:val="center" w:pos="4150"/>
        <w:tab w:val="right" w:pos="8307"/>
      </w:tabs>
      <w:spacing w:before="120"/>
    </w:pPr>
    <w:r>
      <w:t>Prepared by the Office of Parliamentary Counsel, Canberra</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A6F0D" w:rsidRPr="001D7750" w:rsidTr="00EF191C">
      <w:tc>
        <w:tcPr>
          <w:tcW w:w="709" w:type="dxa"/>
          <w:tcBorders>
            <w:top w:val="nil"/>
            <w:left w:val="nil"/>
            <w:bottom w:val="nil"/>
            <w:right w:val="nil"/>
          </w:tcBorders>
        </w:tcPr>
        <w:p w:rsidR="005A6F0D" w:rsidRPr="001D7750" w:rsidRDefault="005A6F0D" w:rsidP="009566EC">
          <w:pPr>
            <w:spacing w:line="0" w:lineRule="atLeast"/>
            <w:rPr>
              <w:sz w:val="18"/>
              <w:szCs w:val="18"/>
            </w:rPr>
          </w:pPr>
          <w:r w:rsidRPr="001D7750">
            <w:rPr>
              <w:i/>
              <w:sz w:val="18"/>
              <w:szCs w:val="18"/>
            </w:rPr>
            <w:fldChar w:fldCharType="begin"/>
          </w:r>
          <w:r w:rsidRPr="001D7750">
            <w:rPr>
              <w:i/>
              <w:sz w:val="18"/>
              <w:szCs w:val="18"/>
            </w:rPr>
            <w:instrText xml:space="preserve"> PAGE </w:instrText>
          </w:r>
          <w:r w:rsidRPr="001D7750">
            <w:rPr>
              <w:i/>
              <w:sz w:val="18"/>
              <w:szCs w:val="18"/>
            </w:rPr>
            <w:fldChar w:fldCharType="separate"/>
          </w:r>
          <w:r w:rsidR="00881253">
            <w:rPr>
              <w:i/>
              <w:noProof/>
              <w:sz w:val="18"/>
              <w:szCs w:val="18"/>
            </w:rPr>
            <w:t>ii</w:t>
          </w:r>
          <w:r w:rsidRPr="001D7750">
            <w:rPr>
              <w:i/>
              <w:sz w:val="18"/>
              <w:szCs w:val="18"/>
            </w:rPr>
            <w:fldChar w:fldCharType="end"/>
          </w:r>
        </w:p>
      </w:tc>
      <w:tc>
        <w:tcPr>
          <w:tcW w:w="6379" w:type="dxa"/>
          <w:tcBorders>
            <w:top w:val="nil"/>
            <w:left w:val="nil"/>
            <w:bottom w:val="nil"/>
            <w:right w:val="nil"/>
          </w:tcBorders>
        </w:tcPr>
        <w:p w:rsidR="005A6F0D" w:rsidRPr="001D7750" w:rsidRDefault="005A6F0D" w:rsidP="009566EC">
          <w:pPr>
            <w:spacing w:line="0" w:lineRule="atLeast"/>
            <w:jc w:val="center"/>
            <w:rPr>
              <w:sz w:val="18"/>
              <w:szCs w:val="18"/>
            </w:rPr>
          </w:pPr>
          <w:r w:rsidRPr="001D7750">
            <w:rPr>
              <w:i/>
              <w:sz w:val="18"/>
              <w:szCs w:val="18"/>
            </w:rPr>
            <w:fldChar w:fldCharType="begin"/>
          </w:r>
          <w:r w:rsidRPr="001D7750">
            <w:rPr>
              <w:i/>
              <w:sz w:val="18"/>
              <w:szCs w:val="18"/>
            </w:rPr>
            <w:instrText xml:space="preserve"> DOCPROPERTY ShortT </w:instrText>
          </w:r>
          <w:r w:rsidRPr="001D7750">
            <w:rPr>
              <w:i/>
              <w:sz w:val="18"/>
              <w:szCs w:val="18"/>
            </w:rPr>
            <w:fldChar w:fldCharType="separate"/>
          </w:r>
          <w:r>
            <w:rPr>
              <w:i/>
              <w:sz w:val="18"/>
              <w:szCs w:val="18"/>
            </w:rPr>
            <w:t>Automotive Transformation Scheme Order 2010</w:t>
          </w:r>
          <w:r w:rsidRPr="001D7750">
            <w:rPr>
              <w:i/>
              <w:sz w:val="18"/>
              <w:szCs w:val="18"/>
            </w:rPr>
            <w:fldChar w:fldCharType="end"/>
          </w:r>
        </w:p>
      </w:tc>
      <w:tc>
        <w:tcPr>
          <w:tcW w:w="1384" w:type="dxa"/>
          <w:tcBorders>
            <w:top w:val="nil"/>
            <w:left w:val="nil"/>
            <w:bottom w:val="nil"/>
            <w:right w:val="nil"/>
          </w:tcBorders>
        </w:tcPr>
        <w:p w:rsidR="005A6F0D" w:rsidRPr="001D7750" w:rsidRDefault="005A6F0D" w:rsidP="009566EC">
          <w:pPr>
            <w:spacing w:line="0" w:lineRule="atLeast"/>
            <w:jc w:val="right"/>
            <w:rPr>
              <w:sz w:val="18"/>
              <w:szCs w:val="18"/>
            </w:rPr>
          </w:pPr>
        </w:p>
      </w:tc>
    </w:tr>
  </w:tbl>
  <w:p w:rsidR="005A6F0D" w:rsidRPr="00ED79B6" w:rsidRDefault="005A6F0D" w:rsidP="00384DF8">
    <w:pPr>
      <w:rPr>
        <w:i/>
        <w:sz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5A6F0D" w:rsidRPr="001D7750" w:rsidTr="009566EC">
      <w:tc>
        <w:tcPr>
          <w:tcW w:w="1383" w:type="dxa"/>
          <w:tcBorders>
            <w:top w:val="nil"/>
            <w:left w:val="nil"/>
            <w:bottom w:val="nil"/>
            <w:right w:val="nil"/>
          </w:tcBorders>
        </w:tcPr>
        <w:p w:rsidR="005A6F0D" w:rsidRPr="001D7750" w:rsidRDefault="005A6F0D" w:rsidP="009566EC">
          <w:pPr>
            <w:spacing w:line="0" w:lineRule="atLeast"/>
            <w:rPr>
              <w:sz w:val="18"/>
              <w:szCs w:val="18"/>
            </w:rPr>
          </w:pPr>
        </w:p>
      </w:tc>
      <w:tc>
        <w:tcPr>
          <w:tcW w:w="6380" w:type="dxa"/>
          <w:tcBorders>
            <w:top w:val="nil"/>
            <w:left w:val="nil"/>
            <w:bottom w:val="nil"/>
            <w:right w:val="nil"/>
          </w:tcBorders>
        </w:tcPr>
        <w:p w:rsidR="005A6F0D" w:rsidRPr="001D7750" w:rsidRDefault="005A6F0D" w:rsidP="009566EC">
          <w:pPr>
            <w:spacing w:line="0" w:lineRule="atLeast"/>
            <w:jc w:val="center"/>
            <w:rPr>
              <w:sz w:val="18"/>
              <w:szCs w:val="18"/>
            </w:rPr>
          </w:pPr>
          <w:r w:rsidRPr="001D7750">
            <w:rPr>
              <w:i/>
              <w:sz w:val="18"/>
              <w:szCs w:val="18"/>
            </w:rPr>
            <w:fldChar w:fldCharType="begin"/>
          </w:r>
          <w:r w:rsidRPr="001D7750">
            <w:rPr>
              <w:i/>
              <w:sz w:val="18"/>
              <w:szCs w:val="18"/>
            </w:rPr>
            <w:instrText xml:space="preserve"> DOCPROPERTY ShortT </w:instrText>
          </w:r>
          <w:r w:rsidRPr="001D7750">
            <w:rPr>
              <w:i/>
              <w:sz w:val="18"/>
              <w:szCs w:val="18"/>
            </w:rPr>
            <w:fldChar w:fldCharType="separate"/>
          </w:r>
          <w:r>
            <w:rPr>
              <w:i/>
              <w:sz w:val="18"/>
              <w:szCs w:val="18"/>
            </w:rPr>
            <w:t>Automotive Transformation Scheme Order 2010</w:t>
          </w:r>
          <w:r w:rsidRPr="001D7750">
            <w:rPr>
              <w:i/>
              <w:sz w:val="18"/>
              <w:szCs w:val="18"/>
            </w:rPr>
            <w:fldChar w:fldCharType="end"/>
          </w:r>
        </w:p>
      </w:tc>
      <w:tc>
        <w:tcPr>
          <w:tcW w:w="709" w:type="dxa"/>
          <w:tcBorders>
            <w:top w:val="nil"/>
            <w:left w:val="nil"/>
            <w:bottom w:val="nil"/>
            <w:right w:val="nil"/>
          </w:tcBorders>
        </w:tcPr>
        <w:p w:rsidR="005A6F0D" w:rsidRPr="001D7750" w:rsidRDefault="005A6F0D" w:rsidP="009566EC">
          <w:pPr>
            <w:spacing w:line="0" w:lineRule="atLeast"/>
            <w:jc w:val="right"/>
            <w:rPr>
              <w:sz w:val="18"/>
              <w:szCs w:val="18"/>
            </w:rPr>
          </w:pPr>
          <w:r w:rsidRPr="001D7750">
            <w:rPr>
              <w:i/>
              <w:sz w:val="18"/>
              <w:szCs w:val="18"/>
            </w:rPr>
            <w:fldChar w:fldCharType="begin"/>
          </w:r>
          <w:r w:rsidRPr="001D7750">
            <w:rPr>
              <w:i/>
              <w:sz w:val="18"/>
              <w:szCs w:val="18"/>
            </w:rPr>
            <w:instrText xml:space="preserve"> PAGE </w:instrText>
          </w:r>
          <w:r w:rsidRPr="001D7750">
            <w:rPr>
              <w:i/>
              <w:sz w:val="18"/>
              <w:szCs w:val="18"/>
            </w:rPr>
            <w:fldChar w:fldCharType="separate"/>
          </w:r>
          <w:r w:rsidR="00881253">
            <w:rPr>
              <w:i/>
              <w:noProof/>
              <w:sz w:val="18"/>
              <w:szCs w:val="18"/>
            </w:rPr>
            <w:t>i</w:t>
          </w:r>
          <w:r w:rsidRPr="001D7750">
            <w:rPr>
              <w:i/>
              <w:sz w:val="18"/>
              <w:szCs w:val="18"/>
            </w:rPr>
            <w:fldChar w:fldCharType="end"/>
          </w:r>
        </w:p>
      </w:tc>
    </w:tr>
  </w:tbl>
  <w:p w:rsidR="005A6F0D" w:rsidRPr="00ED79B6" w:rsidRDefault="005A6F0D" w:rsidP="00384DF8">
    <w:pPr>
      <w:rPr>
        <w:i/>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A6F0D" w:rsidRPr="001D7750" w:rsidTr="00EF191C">
      <w:tc>
        <w:tcPr>
          <w:tcW w:w="709" w:type="dxa"/>
          <w:tcBorders>
            <w:top w:val="nil"/>
            <w:left w:val="nil"/>
            <w:bottom w:val="nil"/>
            <w:right w:val="nil"/>
          </w:tcBorders>
        </w:tcPr>
        <w:p w:rsidR="005A6F0D" w:rsidRPr="001D7750" w:rsidRDefault="005A6F0D" w:rsidP="009566EC">
          <w:pPr>
            <w:spacing w:line="0" w:lineRule="atLeast"/>
            <w:rPr>
              <w:sz w:val="18"/>
              <w:szCs w:val="18"/>
            </w:rPr>
          </w:pPr>
          <w:r w:rsidRPr="001D7750">
            <w:rPr>
              <w:i/>
              <w:sz w:val="18"/>
              <w:szCs w:val="18"/>
            </w:rPr>
            <w:fldChar w:fldCharType="begin"/>
          </w:r>
          <w:r w:rsidRPr="001D7750">
            <w:rPr>
              <w:i/>
              <w:sz w:val="18"/>
              <w:szCs w:val="18"/>
            </w:rPr>
            <w:instrText xml:space="preserve"> PAGE </w:instrText>
          </w:r>
          <w:r w:rsidRPr="001D7750">
            <w:rPr>
              <w:i/>
              <w:sz w:val="18"/>
              <w:szCs w:val="18"/>
            </w:rPr>
            <w:fldChar w:fldCharType="separate"/>
          </w:r>
          <w:r w:rsidR="00881253">
            <w:rPr>
              <w:i/>
              <w:noProof/>
              <w:sz w:val="18"/>
              <w:szCs w:val="18"/>
            </w:rPr>
            <w:t>16</w:t>
          </w:r>
          <w:r w:rsidRPr="001D7750">
            <w:rPr>
              <w:i/>
              <w:sz w:val="18"/>
              <w:szCs w:val="18"/>
            </w:rPr>
            <w:fldChar w:fldCharType="end"/>
          </w:r>
        </w:p>
      </w:tc>
      <w:tc>
        <w:tcPr>
          <w:tcW w:w="6379" w:type="dxa"/>
          <w:tcBorders>
            <w:top w:val="nil"/>
            <w:left w:val="nil"/>
            <w:bottom w:val="nil"/>
            <w:right w:val="nil"/>
          </w:tcBorders>
        </w:tcPr>
        <w:p w:rsidR="005A6F0D" w:rsidRPr="001D7750" w:rsidRDefault="005A6F0D" w:rsidP="009566EC">
          <w:pPr>
            <w:spacing w:line="0" w:lineRule="atLeast"/>
            <w:jc w:val="center"/>
            <w:rPr>
              <w:sz w:val="18"/>
              <w:szCs w:val="18"/>
            </w:rPr>
          </w:pPr>
          <w:r w:rsidRPr="001D7750">
            <w:rPr>
              <w:i/>
              <w:sz w:val="18"/>
              <w:szCs w:val="18"/>
            </w:rPr>
            <w:fldChar w:fldCharType="begin"/>
          </w:r>
          <w:r w:rsidRPr="001D7750">
            <w:rPr>
              <w:i/>
              <w:sz w:val="18"/>
              <w:szCs w:val="18"/>
            </w:rPr>
            <w:instrText xml:space="preserve"> DOCPROPERTY ShortT </w:instrText>
          </w:r>
          <w:r w:rsidRPr="001D7750">
            <w:rPr>
              <w:i/>
              <w:sz w:val="18"/>
              <w:szCs w:val="18"/>
            </w:rPr>
            <w:fldChar w:fldCharType="separate"/>
          </w:r>
          <w:r>
            <w:rPr>
              <w:i/>
              <w:sz w:val="18"/>
              <w:szCs w:val="18"/>
            </w:rPr>
            <w:t>Automotive Transformation Scheme Order 2010</w:t>
          </w:r>
          <w:r w:rsidRPr="001D7750">
            <w:rPr>
              <w:i/>
              <w:sz w:val="18"/>
              <w:szCs w:val="18"/>
            </w:rPr>
            <w:fldChar w:fldCharType="end"/>
          </w:r>
        </w:p>
      </w:tc>
      <w:tc>
        <w:tcPr>
          <w:tcW w:w="1384" w:type="dxa"/>
          <w:tcBorders>
            <w:top w:val="nil"/>
            <w:left w:val="nil"/>
            <w:bottom w:val="nil"/>
            <w:right w:val="nil"/>
          </w:tcBorders>
        </w:tcPr>
        <w:p w:rsidR="005A6F0D" w:rsidRPr="001D7750" w:rsidRDefault="005A6F0D" w:rsidP="009566EC">
          <w:pPr>
            <w:spacing w:line="0" w:lineRule="atLeast"/>
            <w:jc w:val="right"/>
            <w:rPr>
              <w:sz w:val="18"/>
              <w:szCs w:val="18"/>
            </w:rPr>
          </w:pPr>
        </w:p>
      </w:tc>
    </w:tr>
  </w:tbl>
  <w:p w:rsidR="005A6F0D" w:rsidRPr="00ED79B6" w:rsidRDefault="005A6F0D" w:rsidP="00384DF8">
    <w:pPr>
      <w:rPr>
        <w:i/>
        <w:sz w:val="18"/>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A6F0D" w:rsidRPr="001D7750" w:rsidTr="009566EC">
      <w:tc>
        <w:tcPr>
          <w:tcW w:w="1384" w:type="dxa"/>
          <w:tcBorders>
            <w:top w:val="nil"/>
            <w:left w:val="nil"/>
            <w:bottom w:val="nil"/>
            <w:right w:val="nil"/>
          </w:tcBorders>
        </w:tcPr>
        <w:p w:rsidR="005A6F0D" w:rsidRPr="001D7750" w:rsidRDefault="005A6F0D" w:rsidP="009566EC">
          <w:pPr>
            <w:spacing w:line="0" w:lineRule="atLeast"/>
            <w:rPr>
              <w:sz w:val="18"/>
              <w:szCs w:val="18"/>
            </w:rPr>
          </w:pPr>
        </w:p>
      </w:tc>
      <w:tc>
        <w:tcPr>
          <w:tcW w:w="6379" w:type="dxa"/>
          <w:tcBorders>
            <w:top w:val="nil"/>
            <w:left w:val="nil"/>
            <w:bottom w:val="nil"/>
            <w:right w:val="nil"/>
          </w:tcBorders>
        </w:tcPr>
        <w:p w:rsidR="005A6F0D" w:rsidRPr="001D7750" w:rsidRDefault="005A6F0D" w:rsidP="009566EC">
          <w:pPr>
            <w:spacing w:line="0" w:lineRule="atLeast"/>
            <w:jc w:val="center"/>
            <w:rPr>
              <w:sz w:val="18"/>
              <w:szCs w:val="18"/>
            </w:rPr>
          </w:pPr>
          <w:r w:rsidRPr="001D7750">
            <w:rPr>
              <w:i/>
              <w:sz w:val="18"/>
              <w:szCs w:val="18"/>
            </w:rPr>
            <w:fldChar w:fldCharType="begin"/>
          </w:r>
          <w:r w:rsidRPr="001D7750">
            <w:rPr>
              <w:i/>
              <w:sz w:val="18"/>
              <w:szCs w:val="18"/>
            </w:rPr>
            <w:instrText xml:space="preserve"> DOCPROPERTY ShortT </w:instrText>
          </w:r>
          <w:r w:rsidRPr="001D7750">
            <w:rPr>
              <w:i/>
              <w:sz w:val="18"/>
              <w:szCs w:val="18"/>
            </w:rPr>
            <w:fldChar w:fldCharType="separate"/>
          </w:r>
          <w:r>
            <w:rPr>
              <w:i/>
              <w:sz w:val="18"/>
              <w:szCs w:val="18"/>
            </w:rPr>
            <w:t>Automotive Transformation Scheme Order 2010</w:t>
          </w:r>
          <w:r w:rsidRPr="001D7750">
            <w:rPr>
              <w:i/>
              <w:sz w:val="18"/>
              <w:szCs w:val="18"/>
            </w:rPr>
            <w:fldChar w:fldCharType="end"/>
          </w:r>
        </w:p>
      </w:tc>
      <w:tc>
        <w:tcPr>
          <w:tcW w:w="709" w:type="dxa"/>
          <w:tcBorders>
            <w:top w:val="nil"/>
            <w:left w:val="nil"/>
            <w:bottom w:val="nil"/>
            <w:right w:val="nil"/>
          </w:tcBorders>
        </w:tcPr>
        <w:p w:rsidR="005A6F0D" w:rsidRPr="001D7750" w:rsidRDefault="005A6F0D" w:rsidP="009566EC">
          <w:pPr>
            <w:spacing w:line="0" w:lineRule="atLeast"/>
            <w:jc w:val="right"/>
            <w:rPr>
              <w:sz w:val="18"/>
              <w:szCs w:val="18"/>
            </w:rPr>
          </w:pPr>
          <w:r w:rsidRPr="001D7750">
            <w:rPr>
              <w:i/>
              <w:sz w:val="18"/>
              <w:szCs w:val="18"/>
            </w:rPr>
            <w:fldChar w:fldCharType="begin"/>
          </w:r>
          <w:r w:rsidRPr="001D7750">
            <w:rPr>
              <w:i/>
              <w:sz w:val="18"/>
              <w:szCs w:val="18"/>
            </w:rPr>
            <w:instrText xml:space="preserve"> PAGE </w:instrText>
          </w:r>
          <w:r w:rsidRPr="001D7750">
            <w:rPr>
              <w:i/>
              <w:sz w:val="18"/>
              <w:szCs w:val="18"/>
            </w:rPr>
            <w:fldChar w:fldCharType="separate"/>
          </w:r>
          <w:r w:rsidR="00881253">
            <w:rPr>
              <w:i/>
              <w:noProof/>
              <w:sz w:val="18"/>
              <w:szCs w:val="18"/>
            </w:rPr>
            <w:t>17</w:t>
          </w:r>
          <w:r w:rsidRPr="001D7750">
            <w:rPr>
              <w:i/>
              <w:sz w:val="18"/>
              <w:szCs w:val="18"/>
            </w:rPr>
            <w:fldChar w:fldCharType="end"/>
          </w:r>
        </w:p>
      </w:tc>
    </w:tr>
  </w:tbl>
  <w:p w:rsidR="005A6F0D" w:rsidRPr="00ED79B6" w:rsidRDefault="005A6F0D" w:rsidP="00384DF8">
    <w:pPr>
      <w:rPr>
        <w:i/>
        <w:sz w:val="1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33C1C" w:rsidRDefault="005A6F0D" w:rsidP="00384DF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A6F0D" w:rsidTr="009566EC">
      <w:tc>
        <w:tcPr>
          <w:tcW w:w="1384" w:type="dxa"/>
          <w:tcBorders>
            <w:top w:val="nil"/>
            <w:left w:val="nil"/>
            <w:bottom w:val="nil"/>
            <w:right w:val="nil"/>
          </w:tcBorders>
        </w:tcPr>
        <w:p w:rsidR="005A6F0D" w:rsidRDefault="005A6F0D" w:rsidP="009566EC">
          <w:pPr>
            <w:spacing w:line="0" w:lineRule="atLeast"/>
            <w:rPr>
              <w:sz w:val="18"/>
            </w:rPr>
          </w:pPr>
        </w:p>
      </w:tc>
      <w:tc>
        <w:tcPr>
          <w:tcW w:w="6379" w:type="dxa"/>
          <w:tcBorders>
            <w:top w:val="nil"/>
            <w:left w:val="nil"/>
            <w:bottom w:val="nil"/>
            <w:right w:val="nil"/>
          </w:tcBorders>
        </w:tcPr>
        <w:p w:rsidR="005A6F0D" w:rsidRDefault="005A6F0D" w:rsidP="009566EC">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Automotive Transformation Scheme Order 2010</w:t>
          </w:r>
          <w:r w:rsidRPr="007A1328">
            <w:rPr>
              <w:i/>
              <w:sz w:val="18"/>
            </w:rPr>
            <w:fldChar w:fldCharType="end"/>
          </w:r>
        </w:p>
      </w:tc>
      <w:tc>
        <w:tcPr>
          <w:tcW w:w="709" w:type="dxa"/>
          <w:tcBorders>
            <w:top w:val="nil"/>
            <w:left w:val="nil"/>
            <w:bottom w:val="nil"/>
            <w:right w:val="nil"/>
          </w:tcBorders>
        </w:tcPr>
        <w:p w:rsidR="005A6F0D" w:rsidRDefault="005A6F0D" w:rsidP="009566E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26</w:t>
          </w:r>
          <w:r w:rsidRPr="00ED79B6">
            <w:rPr>
              <w:i/>
              <w:sz w:val="18"/>
            </w:rPr>
            <w:fldChar w:fldCharType="end"/>
          </w:r>
        </w:p>
      </w:tc>
    </w:tr>
    <w:tr w:rsidR="005A6F0D" w:rsidTr="009566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5A6F0D" w:rsidRDefault="005A6F0D" w:rsidP="009566EC">
          <w:pPr>
            <w:rPr>
              <w:sz w:val="18"/>
            </w:rPr>
          </w:pPr>
        </w:p>
      </w:tc>
    </w:tr>
  </w:tbl>
  <w:p w:rsidR="005A6F0D" w:rsidRPr="00ED79B6" w:rsidRDefault="005A6F0D" w:rsidP="00384DF8">
    <w:pPr>
      <w:rPr>
        <w:i/>
        <w:sz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FF448D" w:rsidRDefault="005A6F0D" w:rsidP="00955201">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5A6F0D" w:rsidRPr="001D7750" w:rsidTr="00FC2E96">
      <w:tc>
        <w:tcPr>
          <w:tcW w:w="709" w:type="dxa"/>
          <w:tcBorders>
            <w:top w:val="nil"/>
            <w:left w:val="nil"/>
            <w:bottom w:val="nil"/>
            <w:right w:val="nil"/>
          </w:tcBorders>
        </w:tcPr>
        <w:p w:rsidR="005A6F0D" w:rsidRPr="001D7750" w:rsidRDefault="005A6F0D" w:rsidP="00955201">
          <w:pPr>
            <w:spacing w:line="0" w:lineRule="atLeast"/>
            <w:rPr>
              <w:sz w:val="18"/>
              <w:szCs w:val="18"/>
            </w:rPr>
          </w:pPr>
          <w:r w:rsidRPr="001D7750">
            <w:rPr>
              <w:i/>
              <w:sz w:val="18"/>
              <w:szCs w:val="18"/>
            </w:rPr>
            <w:fldChar w:fldCharType="begin"/>
          </w:r>
          <w:r w:rsidRPr="001D7750">
            <w:rPr>
              <w:i/>
              <w:sz w:val="18"/>
              <w:szCs w:val="18"/>
            </w:rPr>
            <w:instrText xml:space="preserve"> PAGE </w:instrText>
          </w:r>
          <w:r w:rsidRPr="001D7750">
            <w:rPr>
              <w:i/>
              <w:sz w:val="18"/>
              <w:szCs w:val="18"/>
            </w:rPr>
            <w:fldChar w:fldCharType="separate"/>
          </w:r>
          <w:r w:rsidR="00881253">
            <w:rPr>
              <w:i/>
              <w:noProof/>
              <w:sz w:val="18"/>
              <w:szCs w:val="18"/>
            </w:rPr>
            <w:t>18</w:t>
          </w:r>
          <w:r w:rsidRPr="001D7750">
            <w:rPr>
              <w:i/>
              <w:sz w:val="18"/>
              <w:szCs w:val="18"/>
            </w:rPr>
            <w:fldChar w:fldCharType="end"/>
          </w:r>
        </w:p>
      </w:tc>
      <w:tc>
        <w:tcPr>
          <w:tcW w:w="6379" w:type="dxa"/>
          <w:tcBorders>
            <w:top w:val="nil"/>
            <w:left w:val="nil"/>
            <w:bottom w:val="nil"/>
            <w:right w:val="nil"/>
          </w:tcBorders>
        </w:tcPr>
        <w:p w:rsidR="005A6F0D" w:rsidRPr="001D7750" w:rsidRDefault="005A6F0D" w:rsidP="00955201">
          <w:pPr>
            <w:spacing w:line="0" w:lineRule="atLeast"/>
            <w:jc w:val="center"/>
            <w:rPr>
              <w:sz w:val="18"/>
              <w:szCs w:val="18"/>
            </w:rPr>
          </w:pPr>
          <w:r w:rsidRPr="001D7750">
            <w:rPr>
              <w:i/>
              <w:sz w:val="18"/>
              <w:szCs w:val="18"/>
            </w:rPr>
            <w:fldChar w:fldCharType="begin"/>
          </w:r>
          <w:r w:rsidRPr="001D7750">
            <w:rPr>
              <w:i/>
              <w:sz w:val="18"/>
              <w:szCs w:val="18"/>
            </w:rPr>
            <w:instrText xml:space="preserve"> DOCPROPERTY ShortT </w:instrText>
          </w:r>
          <w:r w:rsidRPr="001D7750">
            <w:rPr>
              <w:i/>
              <w:sz w:val="18"/>
              <w:szCs w:val="18"/>
            </w:rPr>
            <w:fldChar w:fldCharType="separate"/>
          </w:r>
          <w:r>
            <w:rPr>
              <w:i/>
              <w:sz w:val="18"/>
              <w:szCs w:val="18"/>
            </w:rPr>
            <w:t>Automotive Transformation Scheme Order 2010</w:t>
          </w:r>
          <w:r w:rsidRPr="001D7750">
            <w:rPr>
              <w:i/>
              <w:sz w:val="18"/>
              <w:szCs w:val="18"/>
            </w:rPr>
            <w:fldChar w:fldCharType="end"/>
          </w:r>
        </w:p>
      </w:tc>
      <w:tc>
        <w:tcPr>
          <w:tcW w:w="1384" w:type="dxa"/>
          <w:tcBorders>
            <w:top w:val="nil"/>
            <w:left w:val="nil"/>
            <w:bottom w:val="nil"/>
            <w:right w:val="nil"/>
          </w:tcBorders>
        </w:tcPr>
        <w:p w:rsidR="005A6F0D" w:rsidRPr="001D7750" w:rsidRDefault="005A6F0D" w:rsidP="00955201">
          <w:pPr>
            <w:spacing w:line="0" w:lineRule="atLeast"/>
            <w:jc w:val="right"/>
            <w:rPr>
              <w:sz w:val="18"/>
              <w:szCs w:val="18"/>
            </w:rPr>
          </w:pPr>
        </w:p>
      </w:tc>
    </w:tr>
  </w:tbl>
  <w:p w:rsidR="005A6F0D" w:rsidRPr="00FF448D" w:rsidRDefault="005A6F0D" w:rsidP="00955201">
    <w:pPr>
      <w:rPr>
        <w:sz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D1021D" w:rsidRDefault="005A6F0D" w:rsidP="00955201">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5A6F0D" w:rsidRPr="001D7750" w:rsidTr="00955201">
      <w:tc>
        <w:tcPr>
          <w:tcW w:w="1384" w:type="dxa"/>
          <w:tcBorders>
            <w:top w:val="nil"/>
            <w:left w:val="nil"/>
            <w:bottom w:val="nil"/>
            <w:right w:val="nil"/>
          </w:tcBorders>
        </w:tcPr>
        <w:p w:rsidR="005A6F0D" w:rsidRPr="001D7750" w:rsidRDefault="005A6F0D" w:rsidP="00955201">
          <w:pPr>
            <w:spacing w:line="0" w:lineRule="atLeast"/>
            <w:rPr>
              <w:sz w:val="18"/>
              <w:szCs w:val="18"/>
            </w:rPr>
          </w:pPr>
        </w:p>
      </w:tc>
      <w:tc>
        <w:tcPr>
          <w:tcW w:w="6379" w:type="dxa"/>
          <w:tcBorders>
            <w:top w:val="nil"/>
            <w:left w:val="nil"/>
            <w:bottom w:val="nil"/>
            <w:right w:val="nil"/>
          </w:tcBorders>
        </w:tcPr>
        <w:p w:rsidR="005A6F0D" w:rsidRPr="001D7750" w:rsidRDefault="005A6F0D" w:rsidP="00955201">
          <w:pPr>
            <w:spacing w:line="0" w:lineRule="atLeast"/>
            <w:jc w:val="center"/>
            <w:rPr>
              <w:sz w:val="18"/>
              <w:szCs w:val="18"/>
            </w:rPr>
          </w:pPr>
          <w:r w:rsidRPr="001D7750">
            <w:rPr>
              <w:i/>
              <w:sz w:val="18"/>
              <w:szCs w:val="18"/>
            </w:rPr>
            <w:fldChar w:fldCharType="begin"/>
          </w:r>
          <w:r w:rsidRPr="001D7750">
            <w:rPr>
              <w:i/>
              <w:sz w:val="18"/>
              <w:szCs w:val="18"/>
            </w:rPr>
            <w:instrText xml:space="preserve"> DOCPROPERTY ShortT </w:instrText>
          </w:r>
          <w:r w:rsidRPr="001D7750">
            <w:rPr>
              <w:i/>
              <w:sz w:val="18"/>
              <w:szCs w:val="18"/>
            </w:rPr>
            <w:fldChar w:fldCharType="separate"/>
          </w:r>
          <w:r>
            <w:rPr>
              <w:i/>
              <w:sz w:val="18"/>
              <w:szCs w:val="18"/>
            </w:rPr>
            <w:t>Automotive Transformation Scheme Order 2010</w:t>
          </w:r>
          <w:r w:rsidRPr="001D7750">
            <w:rPr>
              <w:i/>
              <w:sz w:val="18"/>
              <w:szCs w:val="18"/>
            </w:rPr>
            <w:fldChar w:fldCharType="end"/>
          </w:r>
        </w:p>
      </w:tc>
      <w:tc>
        <w:tcPr>
          <w:tcW w:w="709" w:type="dxa"/>
          <w:tcBorders>
            <w:top w:val="nil"/>
            <w:left w:val="nil"/>
            <w:bottom w:val="nil"/>
            <w:right w:val="nil"/>
          </w:tcBorders>
        </w:tcPr>
        <w:p w:rsidR="005A6F0D" w:rsidRPr="001D7750" w:rsidRDefault="005A6F0D" w:rsidP="00955201">
          <w:pPr>
            <w:spacing w:line="0" w:lineRule="atLeast"/>
            <w:jc w:val="right"/>
            <w:rPr>
              <w:sz w:val="18"/>
              <w:szCs w:val="18"/>
            </w:rPr>
          </w:pPr>
          <w:r w:rsidRPr="001D7750">
            <w:rPr>
              <w:i/>
              <w:sz w:val="18"/>
              <w:szCs w:val="18"/>
            </w:rPr>
            <w:fldChar w:fldCharType="begin"/>
          </w:r>
          <w:r w:rsidRPr="001D7750">
            <w:rPr>
              <w:i/>
              <w:sz w:val="18"/>
              <w:szCs w:val="18"/>
            </w:rPr>
            <w:instrText xml:space="preserve"> PAGE </w:instrText>
          </w:r>
          <w:r w:rsidRPr="001D7750">
            <w:rPr>
              <w:i/>
              <w:sz w:val="18"/>
              <w:szCs w:val="18"/>
            </w:rPr>
            <w:fldChar w:fldCharType="separate"/>
          </w:r>
          <w:r w:rsidR="00881253">
            <w:rPr>
              <w:i/>
              <w:noProof/>
              <w:sz w:val="18"/>
              <w:szCs w:val="18"/>
            </w:rPr>
            <w:t>19</w:t>
          </w:r>
          <w:r w:rsidRPr="001D7750">
            <w:rPr>
              <w:i/>
              <w:sz w:val="18"/>
              <w:szCs w:val="18"/>
            </w:rPr>
            <w:fldChar w:fldCharType="end"/>
          </w:r>
        </w:p>
      </w:tc>
    </w:tr>
  </w:tbl>
  <w:p w:rsidR="005A6F0D" w:rsidRPr="00D1021D" w:rsidRDefault="005A6F0D" w:rsidP="00955201">
    <w:pPr>
      <w:rPr>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F0D" w:rsidRDefault="005A6F0D">
      <w:r>
        <w:separator/>
      </w:r>
    </w:p>
  </w:footnote>
  <w:footnote w:type="continuationSeparator" w:id="0">
    <w:p w:rsidR="005A6F0D" w:rsidRDefault="005A6F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Default="005A6F0D" w:rsidP="003A444C">
    <w:pPr>
      <w:pStyle w:val="Header"/>
      <w:pBdr>
        <w:bottom w:val="single" w:sz="4" w:space="1" w:color="auto"/>
      </w:pBdr>
      <w:tabs>
        <w:tab w:val="clear" w:pos="4150"/>
        <w:tab w:val="clear" w:pos="8307"/>
      </w:tabs>
    </w:pPr>
  </w:p>
  <w:p w:rsidR="005A6F0D" w:rsidRDefault="005A6F0D" w:rsidP="003A444C">
    <w:pPr>
      <w:pStyle w:val="Header"/>
      <w:pBdr>
        <w:bottom w:val="single" w:sz="4" w:space="1" w:color="auto"/>
      </w:pBdr>
      <w:tabs>
        <w:tab w:val="clear" w:pos="4150"/>
        <w:tab w:val="clear" w:pos="8307"/>
      </w:tabs>
    </w:pPr>
  </w:p>
  <w:p w:rsidR="005A6F0D" w:rsidRPr="005F1388" w:rsidRDefault="005A6F0D" w:rsidP="003A444C">
    <w:pPr>
      <w:pStyle w:val="Header"/>
      <w:pBdr>
        <w:bottom w:val="single" w:sz="4" w:space="1" w:color="auto"/>
      </w:pBd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D1021D" w:rsidRDefault="005A6F0D">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881253">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881253">
      <w:rPr>
        <w:noProof/>
        <w:sz w:val="20"/>
      </w:rPr>
      <w:t>Criteria for reporting progress on meeting object of Act</w:t>
    </w:r>
    <w:r w:rsidRPr="00D1021D">
      <w:rPr>
        <w:sz w:val="20"/>
      </w:rPr>
      <w:fldChar w:fldCharType="end"/>
    </w:r>
  </w:p>
  <w:p w:rsidR="005A6F0D" w:rsidRPr="00D1021D" w:rsidRDefault="005A6F0D">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5A6F0D" w:rsidRPr="00D1021D" w:rsidRDefault="005A6F0D">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5A6F0D" w:rsidRPr="00D1021D" w:rsidRDefault="005A6F0D">
    <w:pPr>
      <w:pBdr>
        <w:bottom w:val="single" w:sz="6"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D1021D" w:rsidRDefault="005A6F0D">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881253">
      <w:rPr>
        <w:noProof/>
        <w:sz w:val="20"/>
      </w:rPr>
      <w:t>Criteria for reporting progress on meeting object of Act</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881253">
      <w:rPr>
        <w:b/>
        <w:noProof/>
        <w:sz w:val="20"/>
      </w:rPr>
      <w:t>Schedule 1</w:t>
    </w:r>
    <w:r w:rsidRPr="00D1021D">
      <w:rPr>
        <w:b/>
        <w:sz w:val="20"/>
      </w:rPr>
      <w:fldChar w:fldCharType="end"/>
    </w:r>
  </w:p>
  <w:p w:rsidR="005A6F0D" w:rsidRPr="00D1021D" w:rsidRDefault="005A6F0D">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5A6F0D" w:rsidRPr="00D1021D" w:rsidRDefault="005A6F0D">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5A6F0D" w:rsidRPr="00D1021D" w:rsidRDefault="005A6F0D">
    <w:pPr>
      <w:pBdr>
        <w:bottom w:val="single" w:sz="6" w:space="1" w:color="auto"/>
      </w:pBdr>
      <w:jc w:val="righ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Default="005A6F0D"/>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D1021D" w:rsidRDefault="005A6F0D">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881253">
      <w:rPr>
        <w:b/>
        <w:noProof/>
        <w:sz w:val="20"/>
      </w:rPr>
      <w:t>Schedule 2</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881253">
      <w:rPr>
        <w:noProof/>
        <w:sz w:val="20"/>
      </w:rPr>
      <w:t>Investment under ACIS regarded as eligible investment for ATS</w:t>
    </w:r>
    <w:r w:rsidRPr="00D1021D">
      <w:rPr>
        <w:sz w:val="20"/>
      </w:rPr>
      <w:fldChar w:fldCharType="end"/>
    </w:r>
  </w:p>
  <w:p w:rsidR="005A6F0D" w:rsidRPr="00D1021D" w:rsidRDefault="005A6F0D">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rsidR="005A6F0D" w:rsidRPr="00D1021D" w:rsidRDefault="005A6F0D">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rsidR="005A6F0D" w:rsidRPr="00D1021D" w:rsidRDefault="005A6F0D">
    <w:pPr>
      <w:pBdr>
        <w:bottom w:val="single" w:sz="6"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D1021D" w:rsidRDefault="005A6F0D">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881253">
      <w:rPr>
        <w:noProof/>
        <w:sz w:val="20"/>
      </w:rPr>
      <w:t>Investment under ACIS regarded as eligible investment for ATS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881253">
      <w:rPr>
        <w:b/>
        <w:noProof/>
        <w:sz w:val="20"/>
      </w:rPr>
      <w:t>Schedule 2</w:t>
    </w:r>
    <w:r w:rsidRPr="00D1021D">
      <w:rPr>
        <w:b/>
        <w:sz w:val="20"/>
      </w:rPr>
      <w:fldChar w:fldCharType="end"/>
    </w:r>
  </w:p>
  <w:p w:rsidR="005A6F0D" w:rsidRPr="00D1021D" w:rsidRDefault="005A6F0D">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rsidR="005A6F0D" w:rsidRPr="00D1021D" w:rsidRDefault="005A6F0D">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rsidR="005A6F0D" w:rsidRPr="00D1021D" w:rsidRDefault="005A6F0D">
    <w:pPr>
      <w:pBdr>
        <w:bottom w:val="single" w:sz="6" w:space="1" w:color="auto"/>
      </w:pBdr>
      <w:jc w:val="right"/>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Default="005A6F0D"/>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C4473E" w:rsidRDefault="005A6F0D" w:rsidP="009566EC">
    <w:pPr>
      <w:rPr>
        <w:sz w:val="26"/>
        <w:szCs w:val="26"/>
      </w:rPr>
    </w:pPr>
  </w:p>
  <w:p w:rsidR="005A6F0D" w:rsidRPr="00965EE7" w:rsidRDefault="005A6F0D" w:rsidP="009566EC">
    <w:pPr>
      <w:rPr>
        <w:b/>
        <w:sz w:val="20"/>
      </w:rPr>
    </w:pPr>
    <w:r w:rsidRPr="00965EE7">
      <w:rPr>
        <w:b/>
        <w:sz w:val="20"/>
      </w:rPr>
      <w:t>Endnotes</w:t>
    </w:r>
  </w:p>
  <w:p w:rsidR="005A6F0D" w:rsidRPr="007A1328" w:rsidRDefault="005A6F0D" w:rsidP="009566EC">
    <w:pPr>
      <w:rPr>
        <w:sz w:val="20"/>
      </w:rPr>
    </w:pPr>
  </w:p>
  <w:p w:rsidR="005A6F0D" w:rsidRPr="007A1328" w:rsidRDefault="005A6F0D" w:rsidP="009566EC">
    <w:pPr>
      <w:rPr>
        <w:b/>
        <w:sz w:val="24"/>
      </w:rPr>
    </w:pPr>
  </w:p>
  <w:p w:rsidR="005A6F0D" w:rsidRPr="00C4473E" w:rsidRDefault="005A6F0D" w:rsidP="005A74E3">
    <w:pPr>
      <w:pBdr>
        <w:bottom w:val="single" w:sz="6" w:space="0"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881253">
      <w:rPr>
        <w:noProof/>
        <w:szCs w:val="22"/>
      </w:rPr>
      <w:t>Endnote 4—Misdescribed amendments [none]</w:t>
    </w:r>
    <w:r w:rsidRPr="00C4473E">
      <w:rPr>
        <w:szCs w:val="22"/>
      </w:rP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C4473E" w:rsidRDefault="005A6F0D" w:rsidP="009566EC">
    <w:pPr>
      <w:jc w:val="right"/>
      <w:rPr>
        <w:sz w:val="26"/>
        <w:szCs w:val="26"/>
      </w:rPr>
    </w:pPr>
  </w:p>
  <w:p w:rsidR="005A6F0D" w:rsidRPr="00965EE7" w:rsidRDefault="005A6F0D" w:rsidP="009566EC">
    <w:pPr>
      <w:jc w:val="right"/>
      <w:rPr>
        <w:b/>
        <w:sz w:val="20"/>
      </w:rPr>
    </w:pPr>
    <w:r w:rsidRPr="00965EE7">
      <w:rPr>
        <w:b/>
        <w:sz w:val="20"/>
      </w:rPr>
      <w:t>Endnotes</w:t>
    </w:r>
  </w:p>
  <w:p w:rsidR="005A6F0D" w:rsidRPr="007A1328" w:rsidRDefault="005A6F0D" w:rsidP="009566EC">
    <w:pPr>
      <w:jc w:val="right"/>
      <w:rPr>
        <w:sz w:val="20"/>
      </w:rPr>
    </w:pPr>
  </w:p>
  <w:p w:rsidR="005A6F0D" w:rsidRPr="007A1328" w:rsidRDefault="005A6F0D" w:rsidP="009566EC">
    <w:pPr>
      <w:jc w:val="right"/>
      <w:rPr>
        <w:b/>
        <w:sz w:val="24"/>
      </w:rPr>
    </w:pPr>
  </w:p>
  <w:p w:rsidR="005A6F0D" w:rsidRPr="00C4473E" w:rsidRDefault="005A6F0D" w:rsidP="009566EC">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sidR="00881253">
      <w:rPr>
        <w:noProof/>
        <w:szCs w:val="22"/>
      </w:rPr>
      <w:t>Endnote 3—Uncommenced amendments [none]</w:t>
    </w:r>
    <w:r w:rsidRPr="00C4473E">
      <w:rPr>
        <w:szCs w:val="22"/>
      </w:rPr>
      <w:fldChar w:fldCharType="end"/>
    </w:r>
  </w:p>
  <w:p w:rsidR="005A6F0D" w:rsidRPr="008D6935" w:rsidRDefault="005A6F0D">
    <w:pPr>
      <w:rPr>
        <w:sz w:val="16"/>
        <w:szCs w:val="16"/>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C4473E" w:rsidRDefault="005A6F0D" w:rsidP="009566EC">
    <w:pPr>
      <w:rPr>
        <w:sz w:val="26"/>
        <w:szCs w:val="26"/>
      </w:rPr>
    </w:pPr>
  </w:p>
  <w:p w:rsidR="005A6F0D" w:rsidRPr="00965EE7" w:rsidRDefault="005A6F0D" w:rsidP="009566EC">
    <w:pPr>
      <w:rPr>
        <w:b/>
        <w:sz w:val="20"/>
      </w:rPr>
    </w:pPr>
    <w:r w:rsidRPr="00965EE7">
      <w:rPr>
        <w:b/>
        <w:sz w:val="20"/>
      </w:rPr>
      <w:t>Endnotes</w:t>
    </w:r>
  </w:p>
  <w:p w:rsidR="005A6F0D" w:rsidRPr="007A1328" w:rsidRDefault="005A6F0D" w:rsidP="009566EC">
    <w:pPr>
      <w:rPr>
        <w:sz w:val="20"/>
      </w:rPr>
    </w:pPr>
  </w:p>
  <w:p w:rsidR="005A6F0D" w:rsidRPr="007A1328" w:rsidRDefault="005A6F0D" w:rsidP="009566EC">
    <w:pPr>
      <w:rPr>
        <w:b/>
        <w:sz w:val="24"/>
      </w:rPr>
    </w:pPr>
  </w:p>
  <w:p w:rsidR="005A6F0D" w:rsidRPr="00C4473E" w:rsidRDefault="005A6F0D" w:rsidP="009566EC">
    <w:pPr>
      <w:pBdr>
        <w:bottom w:val="single" w:sz="6" w:space="1" w:color="auto"/>
      </w:pBdr>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4—Misdescribed amendments [none]</w:t>
    </w:r>
    <w:r w:rsidRPr="00C4473E">
      <w:rPr>
        <w:szCs w:val="22"/>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C4473E" w:rsidRDefault="005A6F0D" w:rsidP="009566EC">
    <w:pPr>
      <w:jc w:val="right"/>
      <w:rPr>
        <w:sz w:val="26"/>
        <w:szCs w:val="26"/>
      </w:rPr>
    </w:pPr>
  </w:p>
  <w:p w:rsidR="005A6F0D" w:rsidRPr="00965EE7" w:rsidRDefault="005A6F0D" w:rsidP="009566EC">
    <w:pPr>
      <w:jc w:val="right"/>
      <w:rPr>
        <w:b/>
        <w:sz w:val="20"/>
      </w:rPr>
    </w:pPr>
    <w:r w:rsidRPr="00965EE7">
      <w:rPr>
        <w:b/>
        <w:sz w:val="20"/>
      </w:rPr>
      <w:t>Endnotes</w:t>
    </w:r>
  </w:p>
  <w:p w:rsidR="005A6F0D" w:rsidRPr="007A1328" w:rsidRDefault="005A6F0D" w:rsidP="009566EC">
    <w:pPr>
      <w:jc w:val="right"/>
      <w:rPr>
        <w:sz w:val="20"/>
      </w:rPr>
    </w:pPr>
  </w:p>
  <w:p w:rsidR="005A6F0D" w:rsidRPr="007A1328" w:rsidRDefault="005A6F0D" w:rsidP="009566EC">
    <w:pPr>
      <w:jc w:val="right"/>
      <w:rPr>
        <w:b/>
        <w:sz w:val="24"/>
      </w:rPr>
    </w:pPr>
  </w:p>
  <w:p w:rsidR="005A6F0D" w:rsidRPr="00C4473E" w:rsidRDefault="005A6F0D" w:rsidP="009566EC">
    <w:pPr>
      <w:pBdr>
        <w:bottom w:val="single" w:sz="6" w:space="1" w:color="auto"/>
      </w:pBdr>
      <w:jc w:val="right"/>
      <w:rPr>
        <w:szCs w:val="22"/>
      </w:rPr>
    </w:pPr>
    <w:r w:rsidRPr="00C4473E">
      <w:rPr>
        <w:szCs w:val="22"/>
      </w:rPr>
      <w:fldChar w:fldCharType="begin"/>
    </w:r>
    <w:r w:rsidRPr="00C4473E">
      <w:rPr>
        <w:szCs w:val="22"/>
      </w:rPr>
      <w:instrText xml:space="preserve"> STYLEREF  "ENotesHeading 2" </w:instrText>
    </w:r>
    <w:r w:rsidRPr="00C4473E">
      <w:rPr>
        <w:szCs w:val="22"/>
      </w:rPr>
      <w:fldChar w:fldCharType="separate"/>
    </w:r>
    <w:r>
      <w:rPr>
        <w:noProof/>
        <w:szCs w:val="22"/>
      </w:rPr>
      <w:t>Endnote 4—Misdescribed amendments [none]</w:t>
    </w:r>
    <w:r w:rsidRPr="00C4473E">
      <w:rPr>
        <w:szCs w:val="22"/>
      </w:rPr>
      <w:fldChar w:fldCharType="end"/>
    </w:r>
  </w:p>
  <w:p w:rsidR="005A6F0D" w:rsidRDefault="005A6F0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5F1388" w:rsidRDefault="005A6F0D" w:rsidP="003A444C">
    <w:pPr>
      <w:pStyle w:val="Header"/>
      <w:tabs>
        <w:tab w:val="clear" w:pos="4150"/>
        <w:tab w:val="clear" w:pos="8307"/>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Default="005A6F0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5F1388" w:rsidRDefault="005A6F0D" w:rsidP="003A444C">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D79B6" w:rsidRDefault="005A6F0D" w:rsidP="009566EC">
    <w:pPr>
      <w:pBdr>
        <w:bottom w:val="single" w:sz="4" w:space="1" w:color="auto"/>
      </w:pBdr>
      <w:spacing w:before="100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D79B6" w:rsidRDefault="005A6F0D" w:rsidP="009566EC">
    <w:pPr>
      <w:pBdr>
        <w:bottom w:val="single" w:sz="4"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ED79B6" w:rsidRDefault="005A6F0D" w:rsidP="009566EC">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Default="005A6F0D" w:rsidP="009566EC">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5A6F0D" w:rsidRDefault="005A6F0D" w:rsidP="009566EC">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881253">
      <w:rPr>
        <w:b/>
        <w:noProof/>
        <w:sz w:val="20"/>
      </w:rPr>
      <w:t>Part 5</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881253">
      <w:rPr>
        <w:noProof/>
        <w:sz w:val="20"/>
      </w:rPr>
      <w:t>Miscellaneous</w:t>
    </w:r>
    <w:r>
      <w:rPr>
        <w:sz w:val="20"/>
      </w:rPr>
      <w:fldChar w:fldCharType="end"/>
    </w:r>
  </w:p>
  <w:p w:rsidR="005A6F0D" w:rsidRPr="007A1328" w:rsidRDefault="005A6F0D" w:rsidP="009566EC">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5A6F0D" w:rsidRPr="007A1328" w:rsidRDefault="005A6F0D" w:rsidP="009566EC">
    <w:pPr>
      <w:rPr>
        <w:b/>
        <w:sz w:val="24"/>
      </w:rPr>
    </w:pPr>
  </w:p>
  <w:p w:rsidR="005A6F0D" w:rsidRPr="007A1328" w:rsidRDefault="005A6F0D" w:rsidP="009566EC">
    <w:pPr>
      <w:pBdr>
        <w:bottom w:val="single" w:sz="6" w:space="1" w:color="auto"/>
      </w:pBdr>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81253">
      <w:rPr>
        <w:noProof/>
        <w:sz w:val="24"/>
      </w:rPr>
      <w:t>5.1</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7A1328" w:rsidRDefault="005A6F0D" w:rsidP="009566EC">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5A6F0D" w:rsidRPr="007A1328" w:rsidRDefault="005A6F0D" w:rsidP="009566EC">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881253">
      <w:rPr>
        <w:noProof/>
        <w:sz w:val="20"/>
      </w:rPr>
      <w:t>Savings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881253">
      <w:rPr>
        <w:b/>
        <w:noProof/>
        <w:sz w:val="20"/>
      </w:rPr>
      <w:t>Part 6</w:t>
    </w:r>
    <w:r>
      <w:rPr>
        <w:b/>
        <w:sz w:val="20"/>
      </w:rPr>
      <w:fldChar w:fldCharType="end"/>
    </w:r>
  </w:p>
  <w:p w:rsidR="005A6F0D" w:rsidRPr="007A1328" w:rsidRDefault="005A6F0D" w:rsidP="009566EC">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5A6F0D" w:rsidRPr="007A1328" w:rsidRDefault="005A6F0D" w:rsidP="009566EC">
    <w:pPr>
      <w:jc w:val="right"/>
      <w:rPr>
        <w:b/>
        <w:sz w:val="24"/>
      </w:rPr>
    </w:pPr>
  </w:p>
  <w:p w:rsidR="005A6F0D" w:rsidRPr="007A1328" w:rsidRDefault="005A6F0D" w:rsidP="009566EC">
    <w:pPr>
      <w:pBdr>
        <w:bottom w:val="single" w:sz="6" w:space="1" w:color="auto"/>
      </w:pBdr>
      <w:jc w:val="right"/>
      <w:rPr>
        <w:sz w:val="24"/>
      </w:rPr>
    </w:pPr>
    <w:r>
      <w:rPr>
        <w:sz w:val="24"/>
      </w:rPr>
      <w:fldChar w:fldCharType="begin"/>
    </w:r>
    <w:r>
      <w:rPr>
        <w:sz w:val="24"/>
      </w:rPr>
      <w:instrText xml:space="preserve"> DOCPROPERTY  Header </w:instrText>
    </w:r>
    <w:r>
      <w:rPr>
        <w:sz w:val="24"/>
      </w:rPr>
      <w:fldChar w:fldCharType="separate"/>
    </w:r>
    <w:r>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881253">
      <w:rPr>
        <w:noProof/>
        <w:sz w:val="24"/>
      </w:rPr>
      <w:t>6.1</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F0D" w:rsidRPr="007A1328" w:rsidRDefault="005A6F0D" w:rsidP="009566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0C4364"/>
    <w:lvl w:ilvl="0">
      <w:start w:val="1"/>
      <w:numFmt w:val="decimal"/>
      <w:lvlText w:val="%1."/>
      <w:lvlJc w:val="left"/>
      <w:pPr>
        <w:tabs>
          <w:tab w:val="num" w:pos="1492"/>
        </w:tabs>
        <w:ind w:left="1492" w:hanging="360"/>
      </w:pPr>
    </w:lvl>
  </w:abstractNum>
  <w:abstractNum w:abstractNumId="1">
    <w:nsid w:val="FFFFFF7D"/>
    <w:multiLevelType w:val="singleLevel"/>
    <w:tmpl w:val="3C7A733A"/>
    <w:lvl w:ilvl="0">
      <w:start w:val="1"/>
      <w:numFmt w:val="decimal"/>
      <w:lvlText w:val="%1."/>
      <w:lvlJc w:val="left"/>
      <w:pPr>
        <w:tabs>
          <w:tab w:val="num" w:pos="1209"/>
        </w:tabs>
        <w:ind w:left="1209" w:hanging="360"/>
      </w:pPr>
    </w:lvl>
  </w:abstractNum>
  <w:abstractNum w:abstractNumId="2">
    <w:nsid w:val="FFFFFF7E"/>
    <w:multiLevelType w:val="singleLevel"/>
    <w:tmpl w:val="818A05F8"/>
    <w:lvl w:ilvl="0">
      <w:start w:val="1"/>
      <w:numFmt w:val="decimal"/>
      <w:lvlText w:val="%1."/>
      <w:lvlJc w:val="left"/>
      <w:pPr>
        <w:tabs>
          <w:tab w:val="num" w:pos="926"/>
        </w:tabs>
        <w:ind w:left="926" w:hanging="360"/>
      </w:pPr>
    </w:lvl>
  </w:abstractNum>
  <w:abstractNum w:abstractNumId="3">
    <w:nsid w:val="FFFFFF7F"/>
    <w:multiLevelType w:val="singleLevel"/>
    <w:tmpl w:val="3E666086"/>
    <w:lvl w:ilvl="0">
      <w:start w:val="1"/>
      <w:numFmt w:val="decimal"/>
      <w:lvlText w:val="%1."/>
      <w:lvlJc w:val="left"/>
      <w:pPr>
        <w:tabs>
          <w:tab w:val="num" w:pos="643"/>
        </w:tabs>
        <w:ind w:left="643" w:hanging="360"/>
      </w:pPr>
    </w:lvl>
  </w:abstractNum>
  <w:abstractNum w:abstractNumId="4">
    <w:nsid w:val="FFFFFF80"/>
    <w:multiLevelType w:val="singleLevel"/>
    <w:tmpl w:val="FFCE3A1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48CE1B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176E0B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12E9E0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48CFEB6"/>
    <w:lvl w:ilvl="0">
      <w:start w:val="1"/>
      <w:numFmt w:val="decimal"/>
      <w:lvlText w:val="%1."/>
      <w:lvlJc w:val="left"/>
      <w:pPr>
        <w:tabs>
          <w:tab w:val="num" w:pos="360"/>
        </w:tabs>
        <w:ind w:left="360" w:hanging="360"/>
      </w:pPr>
    </w:lvl>
  </w:abstractNum>
  <w:abstractNum w:abstractNumId="9">
    <w:nsid w:val="FFFFFF89"/>
    <w:multiLevelType w:val="singleLevel"/>
    <w:tmpl w:val="5BA2ADB8"/>
    <w:lvl w:ilvl="0">
      <w:start w:val="1"/>
      <w:numFmt w:val="bullet"/>
      <w:lvlText w:val=""/>
      <w:lvlJc w:val="left"/>
      <w:pPr>
        <w:tabs>
          <w:tab w:val="num" w:pos="360"/>
        </w:tabs>
        <w:ind w:left="360" w:hanging="360"/>
      </w:pPr>
      <w:rPr>
        <w:rFonts w:ascii="Symbol" w:hAnsi="Symbol" w:hint="default"/>
      </w:rPr>
    </w:lvl>
  </w:abstractNum>
  <w:abstractNum w:abstractNumId="10">
    <w:nsid w:val="06CE3F8B"/>
    <w:multiLevelType w:val="hybridMultilevel"/>
    <w:tmpl w:val="CF6C087E"/>
    <w:lvl w:ilvl="0" w:tplc="434ACDB6">
      <w:start w:val="1"/>
      <w:numFmt w:val="decimal"/>
      <w:lvlText w:val="%1."/>
      <w:lvlJc w:val="left"/>
      <w:pPr>
        <w:tabs>
          <w:tab w:val="num" w:pos="360"/>
        </w:tabs>
        <w:ind w:left="360" w:hanging="360"/>
      </w:pPr>
      <w:rPr>
        <w:rFonts w:hint="default"/>
      </w:rPr>
    </w:lvl>
    <w:lvl w:ilvl="1" w:tplc="47201C8A">
      <w:start w:val="1"/>
      <w:numFmt w:val="lowerLetter"/>
      <w:lvlText w:val="(%2)"/>
      <w:lvlJc w:val="left"/>
      <w:pPr>
        <w:tabs>
          <w:tab w:val="num" w:pos="1080"/>
        </w:tabs>
        <w:ind w:left="1080" w:hanging="360"/>
      </w:pPr>
      <w:rPr>
        <w:rFonts w:hint="default"/>
        <w:b w:val="0"/>
        <w:i w:val="0"/>
      </w:rPr>
    </w:lvl>
    <w:lvl w:ilvl="2" w:tplc="6360E69E">
      <w:start w:val="1"/>
      <w:numFmt w:val="lowerLetter"/>
      <w:lvlText w:val="(%3)"/>
      <w:lvlJc w:val="left"/>
      <w:pPr>
        <w:tabs>
          <w:tab w:val="num" w:pos="1980"/>
        </w:tabs>
        <w:ind w:left="1980" w:hanging="360"/>
      </w:pPr>
      <w:rPr>
        <w:rFonts w:hint="default"/>
        <w:b w:val="0"/>
        <w:i w:val="0"/>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47C0683"/>
    <w:multiLevelType w:val="hybridMultilevel"/>
    <w:tmpl w:val="955E9CA2"/>
    <w:lvl w:ilvl="0" w:tplc="3F12F9A2">
      <w:start w:val="1"/>
      <w:numFmt w:val="decimal"/>
      <w:lvlText w:val="%1."/>
      <w:lvlJc w:val="left"/>
      <w:pPr>
        <w:tabs>
          <w:tab w:val="num" w:pos="360"/>
        </w:tabs>
        <w:ind w:left="360" w:hanging="360"/>
      </w:pPr>
      <w:rPr>
        <w:rFonts w:hint="default"/>
      </w:rPr>
    </w:lvl>
    <w:lvl w:ilvl="1" w:tplc="43E048A0">
      <w:start w:val="1"/>
      <w:numFmt w:val="lowerLetter"/>
      <w:lvlText w:val="(%2)"/>
      <w:lvlJc w:val="left"/>
      <w:pPr>
        <w:tabs>
          <w:tab w:val="num" w:pos="1440"/>
        </w:tabs>
        <w:ind w:left="1440" w:hanging="360"/>
      </w:pPr>
      <w:rPr>
        <w:rFonts w:hint="default"/>
        <w:b w:val="0"/>
        <w:i w:val="0"/>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9BC7E04"/>
    <w:multiLevelType w:val="hybridMultilevel"/>
    <w:tmpl w:val="BAA61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23C02673"/>
    <w:multiLevelType w:val="hybridMultilevel"/>
    <w:tmpl w:val="65D86BA4"/>
    <w:lvl w:ilvl="0" w:tplc="A784FD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6E7310C"/>
    <w:multiLevelType w:val="hybridMultilevel"/>
    <w:tmpl w:val="A6E078D8"/>
    <w:lvl w:ilvl="0" w:tplc="9EAC99C4">
      <w:start w:val="1"/>
      <w:numFmt w:val="bullet"/>
      <w:lvlText w:val="-"/>
      <w:lvlJc w:val="left"/>
      <w:pPr>
        <w:tabs>
          <w:tab w:val="num" w:pos="720"/>
        </w:tabs>
        <w:ind w:left="720" w:hanging="360"/>
      </w:pPr>
      <w:rPr>
        <w:rFonts w:ascii="Times New Roman" w:hAnsi="Times New Roman" w:cs="Times New Roman" w:hint="default"/>
      </w:rPr>
    </w:lvl>
    <w:lvl w:ilvl="1" w:tplc="47201C8A">
      <w:start w:val="1"/>
      <w:numFmt w:val="lowerLetter"/>
      <w:lvlText w:val="(%2)"/>
      <w:lvlJc w:val="left"/>
      <w:pPr>
        <w:tabs>
          <w:tab w:val="num" w:pos="1440"/>
        </w:tabs>
        <w:ind w:left="1440" w:hanging="360"/>
      </w:pPr>
      <w:rPr>
        <w:rFonts w:hint="default"/>
        <w:b w:val="0"/>
        <w:i w:val="0"/>
      </w:rPr>
    </w:lvl>
    <w:lvl w:ilvl="2" w:tplc="6360E69E">
      <w:start w:val="1"/>
      <w:numFmt w:val="lowerLetter"/>
      <w:lvlText w:val="(%3)"/>
      <w:lvlJc w:val="left"/>
      <w:pPr>
        <w:tabs>
          <w:tab w:val="num" w:pos="2340"/>
        </w:tabs>
        <w:ind w:left="2340" w:hanging="360"/>
      </w:pPr>
      <w:rPr>
        <w:rFonts w:hint="default"/>
        <w:b w:val="0"/>
        <w:i w:val="0"/>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273A2604"/>
    <w:multiLevelType w:val="multilevel"/>
    <w:tmpl w:val="CF6C08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8B9020C"/>
    <w:multiLevelType w:val="hybridMultilevel"/>
    <w:tmpl w:val="688411B6"/>
    <w:lvl w:ilvl="0" w:tplc="A784FD8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04E60B8"/>
    <w:multiLevelType w:val="multilevel"/>
    <w:tmpl w:val="AC6E6C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37C239E7"/>
    <w:multiLevelType w:val="hybridMultilevel"/>
    <w:tmpl w:val="567A16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9F22E47"/>
    <w:multiLevelType w:val="hybridMultilevel"/>
    <w:tmpl w:val="12302CCA"/>
    <w:lvl w:ilvl="0" w:tplc="0C090001">
      <w:start w:val="1"/>
      <w:numFmt w:val="bullet"/>
      <w:lvlText w:val=""/>
      <w:lvlJc w:val="left"/>
      <w:pPr>
        <w:ind w:left="2705" w:hanging="360"/>
      </w:pPr>
      <w:rPr>
        <w:rFonts w:ascii="Symbol" w:hAnsi="Symbol" w:hint="default"/>
      </w:rPr>
    </w:lvl>
    <w:lvl w:ilvl="1" w:tplc="0C090003" w:tentative="1">
      <w:start w:val="1"/>
      <w:numFmt w:val="bullet"/>
      <w:lvlText w:val="o"/>
      <w:lvlJc w:val="left"/>
      <w:pPr>
        <w:ind w:left="3425" w:hanging="360"/>
      </w:pPr>
      <w:rPr>
        <w:rFonts w:ascii="Courier New" w:hAnsi="Courier New" w:cs="Courier New" w:hint="default"/>
      </w:rPr>
    </w:lvl>
    <w:lvl w:ilvl="2" w:tplc="0C090005" w:tentative="1">
      <w:start w:val="1"/>
      <w:numFmt w:val="bullet"/>
      <w:lvlText w:val=""/>
      <w:lvlJc w:val="left"/>
      <w:pPr>
        <w:ind w:left="4145" w:hanging="360"/>
      </w:pPr>
      <w:rPr>
        <w:rFonts w:ascii="Wingdings" w:hAnsi="Wingdings" w:hint="default"/>
      </w:rPr>
    </w:lvl>
    <w:lvl w:ilvl="3" w:tplc="0C090001" w:tentative="1">
      <w:start w:val="1"/>
      <w:numFmt w:val="bullet"/>
      <w:lvlText w:val=""/>
      <w:lvlJc w:val="left"/>
      <w:pPr>
        <w:ind w:left="4865" w:hanging="360"/>
      </w:pPr>
      <w:rPr>
        <w:rFonts w:ascii="Symbol" w:hAnsi="Symbol" w:hint="default"/>
      </w:rPr>
    </w:lvl>
    <w:lvl w:ilvl="4" w:tplc="0C090003" w:tentative="1">
      <w:start w:val="1"/>
      <w:numFmt w:val="bullet"/>
      <w:lvlText w:val="o"/>
      <w:lvlJc w:val="left"/>
      <w:pPr>
        <w:ind w:left="5585" w:hanging="360"/>
      </w:pPr>
      <w:rPr>
        <w:rFonts w:ascii="Courier New" w:hAnsi="Courier New" w:cs="Courier New" w:hint="default"/>
      </w:rPr>
    </w:lvl>
    <w:lvl w:ilvl="5" w:tplc="0C090005" w:tentative="1">
      <w:start w:val="1"/>
      <w:numFmt w:val="bullet"/>
      <w:lvlText w:val=""/>
      <w:lvlJc w:val="left"/>
      <w:pPr>
        <w:ind w:left="6305" w:hanging="360"/>
      </w:pPr>
      <w:rPr>
        <w:rFonts w:ascii="Wingdings" w:hAnsi="Wingdings" w:hint="default"/>
      </w:rPr>
    </w:lvl>
    <w:lvl w:ilvl="6" w:tplc="0C090001" w:tentative="1">
      <w:start w:val="1"/>
      <w:numFmt w:val="bullet"/>
      <w:lvlText w:val=""/>
      <w:lvlJc w:val="left"/>
      <w:pPr>
        <w:ind w:left="7025" w:hanging="360"/>
      </w:pPr>
      <w:rPr>
        <w:rFonts w:ascii="Symbol" w:hAnsi="Symbol" w:hint="default"/>
      </w:rPr>
    </w:lvl>
    <w:lvl w:ilvl="7" w:tplc="0C090003" w:tentative="1">
      <w:start w:val="1"/>
      <w:numFmt w:val="bullet"/>
      <w:lvlText w:val="o"/>
      <w:lvlJc w:val="left"/>
      <w:pPr>
        <w:ind w:left="7745" w:hanging="360"/>
      </w:pPr>
      <w:rPr>
        <w:rFonts w:ascii="Courier New" w:hAnsi="Courier New" w:cs="Courier New" w:hint="default"/>
      </w:rPr>
    </w:lvl>
    <w:lvl w:ilvl="8" w:tplc="0C090005" w:tentative="1">
      <w:start w:val="1"/>
      <w:numFmt w:val="bullet"/>
      <w:lvlText w:val=""/>
      <w:lvlJc w:val="left"/>
      <w:pPr>
        <w:ind w:left="8465" w:hanging="360"/>
      </w:pPr>
      <w:rPr>
        <w:rFonts w:ascii="Wingdings" w:hAnsi="Wingdings" w:hint="default"/>
      </w:rPr>
    </w:lvl>
  </w:abstractNum>
  <w:abstractNum w:abstractNumId="2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5">
    <w:nsid w:val="3BD81AE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37177E8"/>
    <w:multiLevelType w:val="multilevel"/>
    <w:tmpl w:val="9DAC77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hint="default"/>
        <w:b w:val="0"/>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45477264"/>
    <w:multiLevelType w:val="multilevel"/>
    <w:tmpl w:val="CF6C08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9796F61"/>
    <w:multiLevelType w:val="hybridMultilevel"/>
    <w:tmpl w:val="4B6CEE42"/>
    <w:lvl w:ilvl="0" w:tplc="9EAC99C4">
      <w:start w:val="1"/>
      <w:numFmt w:val="bullet"/>
      <w:lvlText w:val="-"/>
      <w:lvlJc w:val="left"/>
      <w:pPr>
        <w:tabs>
          <w:tab w:val="num" w:pos="720"/>
        </w:tabs>
        <w:ind w:left="720" w:hanging="360"/>
      </w:pPr>
      <w:rPr>
        <w:rFonts w:ascii="Times New Roman" w:hAnsi="Times New Roman" w:cs="Times New Roman" w:hint="default"/>
      </w:rPr>
    </w:lvl>
    <w:lvl w:ilvl="1" w:tplc="0C090003">
      <w:start w:val="1"/>
      <w:numFmt w:val="bullet"/>
      <w:lvlText w:val="o"/>
      <w:lvlJc w:val="left"/>
      <w:pPr>
        <w:tabs>
          <w:tab w:val="num" w:pos="360"/>
        </w:tabs>
        <w:ind w:left="360" w:hanging="360"/>
      </w:pPr>
      <w:rPr>
        <w:rFonts w:ascii="Courier New" w:hAnsi="Courier New" w:cs="Courier New" w:hint="default"/>
      </w:rPr>
    </w:lvl>
    <w:lvl w:ilvl="2" w:tplc="0C090005">
      <w:start w:val="1"/>
      <w:numFmt w:val="bullet"/>
      <w:lvlText w:val=""/>
      <w:lvlJc w:val="left"/>
      <w:pPr>
        <w:tabs>
          <w:tab w:val="num" w:pos="720"/>
        </w:tabs>
        <w:ind w:left="720" w:hanging="360"/>
      </w:pPr>
      <w:rPr>
        <w:rFonts w:ascii="Wingdings" w:hAnsi="Wingdings" w:hint="default"/>
      </w:rPr>
    </w:lvl>
    <w:lvl w:ilvl="3" w:tplc="0C09000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9">
    <w:nsid w:val="58DE06C9"/>
    <w:multiLevelType w:val="multilevel"/>
    <w:tmpl w:val="CF6C08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5DB65126"/>
    <w:multiLevelType w:val="multilevel"/>
    <w:tmpl w:val="F004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nsid w:val="68321CC5"/>
    <w:multiLevelType w:val="hybridMultilevel"/>
    <w:tmpl w:val="5D82C4DA"/>
    <w:lvl w:ilvl="0" w:tplc="0C090001">
      <w:start w:val="1"/>
      <w:numFmt w:val="bullet"/>
      <w:lvlText w:val=""/>
      <w:lvlJc w:val="left"/>
      <w:pPr>
        <w:ind w:left="1324" w:hanging="360"/>
      </w:pPr>
      <w:rPr>
        <w:rFonts w:ascii="Symbol" w:hAnsi="Symbol" w:hint="default"/>
      </w:rPr>
    </w:lvl>
    <w:lvl w:ilvl="1" w:tplc="0C090003">
      <w:start w:val="1"/>
      <w:numFmt w:val="bullet"/>
      <w:lvlText w:val="o"/>
      <w:lvlJc w:val="left"/>
      <w:pPr>
        <w:ind w:left="2044" w:hanging="360"/>
      </w:pPr>
      <w:rPr>
        <w:rFonts w:ascii="Courier New" w:hAnsi="Courier New" w:cs="Courier New" w:hint="default"/>
      </w:rPr>
    </w:lvl>
    <w:lvl w:ilvl="2" w:tplc="0C090005">
      <w:start w:val="1"/>
      <w:numFmt w:val="bullet"/>
      <w:lvlText w:val=""/>
      <w:lvlJc w:val="left"/>
      <w:pPr>
        <w:ind w:left="2764" w:hanging="360"/>
      </w:pPr>
      <w:rPr>
        <w:rFonts w:ascii="Wingdings" w:hAnsi="Wingdings" w:hint="default"/>
      </w:rPr>
    </w:lvl>
    <w:lvl w:ilvl="3" w:tplc="0C090001">
      <w:start w:val="1"/>
      <w:numFmt w:val="bullet"/>
      <w:lvlText w:val=""/>
      <w:lvlJc w:val="left"/>
      <w:pPr>
        <w:ind w:left="3484" w:hanging="360"/>
      </w:pPr>
      <w:rPr>
        <w:rFonts w:ascii="Symbol" w:hAnsi="Symbol" w:hint="default"/>
      </w:rPr>
    </w:lvl>
    <w:lvl w:ilvl="4" w:tplc="0C090003" w:tentative="1">
      <w:start w:val="1"/>
      <w:numFmt w:val="bullet"/>
      <w:lvlText w:val="o"/>
      <w:lvlJc w:val="left"/>
      <w:pPr>
        <w:ind w:left="4204" w:hanging="360"/>
      </w:pPr>
      <w:rPr>
        <w:rFonts w:ascii="Courier New" w:hAnsi="Courier New" w:cs="Courier New" w:hint="default"/>
      </w:rPr>
    </w:lvl>
    <w:lvl w:ilvl="5" w:tplc="0C090005" w:tentative="1">
      <w:start w:val="1"/>
      <w:numFmt w:val="bullet"/>
      <w:lvlText w:val=""/>
      <w:lvlJc w:val="left"/>
      <w:pPr>
        <w:ind w:left="4924" w:hanging="360"/>
      </w:pPr>
      <w:rPr>
        <w:rFonts w:ascii="Wingdings" w:hAnsi="Wingdings" w:hint="default"/>
      </w:rPr>
    </w:lvl>
    <w:lvl w:ilvl="6" w:tplc="0C090001" w:tentative="1">
      <w:start w:val="1"/>
      <w:numFmt w:val="bullet"/>
      <w:lvlText w:val=""/>
      <w:lvlJc w:val="left"/>
      <w:pPr>
        <w:ind w:left="5644" w:hanging="360"/>
      </w:pPr>
      <w:rPr>
        <w:rFonts w:ascii="Symbol" w:hAnsi="Symbol" w:hint="default"/>
      </w:rPr>
    </w:lvl>
    <w:lvl w:ilvl="7" w:tplc="0C090003" w:tentative="1">
      <w:start w:val="1"/>
      <w:numFmt w:val="bullet"/>
      <w:lvlText w:val="o"/>
      <w:lvlJc w:val="left"/>
      <w:pPr>
        <w:ind w:left="6364" w:hanging="360"/>
      </w:pPr>
      <w:rPr>
        <w:rFonts w:ascii="Courier New" w:hAnsi="Courier New" w:cs="Courier New" w:hint="default"/>
      </w:rPr>
    </w:lvl>
    <w:lvl w:ilvl="8" w:tplc="0C090005" w:tentative="1">
      <w:start w:val="1"/>
      <w:numFmt w:val="bullet"/>
      <w:lvlText w:val=""/>
      <w:lvlJc w:val="left"/>
      <w:pPr>
        <w:ind w:left="7084" w:hanging="360"/>
      </w:pPr>
      <w:rPr>
        <w:rFonts w:ascii="Wingdings" w:hAnsi="Wingdings" w:hint="default"/>
      </w:rPr>
    </w:lvl>
  </w:abstractNum>
  <w:abstractNum w:abstractNumId="32">
    <w:nsid w:val="73955E2F"/>
    <w:multiLevelType w:val="multilevel"/>
    <w:tmpl w:val="CF6C087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b w:val="0"/>
        <w:i w:val="0"/>
      </w:rPr>
    </w:lvl>
    <w:lvl w:ilvl="2">
      <w:start w:val="1"/>
      <w:numFmt w:val="lowerLetter"/>
      <w:lvlText w:val="(%3)"/>
      <w:lvlJc w:val="left"/>
      <w:pPr>
        <w:tabs>
          <w:tab w:val="num" w:pos="2340"/>
        </w:tabs>
        <w:ind w:left="2340" w:hanging="36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75BB69DB"/>
    <w:multiLevelType w:val="hybridMultilevel"/>
    <w:tmpl w:val="6E6A7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64D300B"/>
    <w:multiLevelType w:val="hybridMultilevel"/>
    <w:tmpl w:val="8D6C083E"/>
    <w:lvl w:ilvl="0" w:tplc="0C09000F">
      <w:start w:val="1"/>
      <w:numFmt w:val="decimal"/>
      <w:lvlText w:val="%1."/>
      <w:lvlJc w:val="left"/>
      <w:pPr>
        <w:tabs>
          <w:tab w:val="num" w:pos="360"/>
        </w:tabs>
        <w:ind w:left="360" w:hanging="360"/>
      </w:pPr>
    </w:lvl>
    <w:lvl w:ilvl="1" w:tplc="EB7EC4A6">
      <w:start w:val="1"/>
      <w:numFmt w:val="lowerLetter"/>
      <w:lvlText w:val="(%2)"/>
      <w:lvlJc w:val="left"/>
      <w:pPr>
        <w:tabs>
          <w:tab w:val="num" w:pos="1080"/>
        </w:tabs>
        <w:ind w:left="1080" w:hanging="360"/>
      </w:pPr>
      <w:rPr>
        <w:rFonts w:hint="default"/>
        <w:b w:val="0"/>
        <w:i w:val="0"/>
      </w:rPr>
    </w:lvl>
    <w:lvl w:ilvl="2" w:tplc="0C09001B">
      <w:start w:val="1"/>
      <w:numFmt w:val="lowerRoman"/>
      <w:lvlText w:val="%3."/>
      <w:lvlJc w:val="right"/>
      <w:pPr>
        <w:tabs>
          <w:tab w:val="num" w:pos="1800"/>
        </w:tabs>
        <w:ind w:left="1800" w:hanging="180"/>
      </w:pPr>
    </w:lvl>
    <w:lvl w:ilvl="3" w:tplc="0C09000F">
      <w:start w:val="1"/>
      <w:numFmt w:val="decimal"/>
      <w:lvlText w:val="%4."/>
      <w:lvlJc w:val="left"/>
      <w:pPr>
        <w:tabs>
          <w:tab w:val="num" w:pos="2520"/>
        </w:tabs>
        <w:ind w:left="2520" w:hanging="360"/>
      </w:pPr>
    </w:lvl>
    <w:lvl w:ilvl="4" w:tplc="0C090019">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nsid w:val="7B443830"/>
    <w:multiLevelType w:val="hybridMultilevel"/>
    <w:tmpl w:val="908A82DC"/>
    <w:lvl w:ilvl="0" w:tplc="0FE2A300">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nsid w:val="7F460351"/>
    <w:multiLevelType w:val="multilevel"/>
    <w:tmpl w:val="79263A7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lowerRoman"/>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2"/>
  </w:num>
  <w:num w:numId="2">
    <w:abstractNumId w:val="16"/>
  </w:num>
  <w:num w:numId="3">
    <w:abstractNumId w:val="25"/>
  </w:num>
  <w:num w:numId="4">
    <w:abstractNumId w:val="34"/>
  </w:num>
  <w:num w:numId="5">
    <w:abstractNumId w:val="28"/>
  </w:num>
  <w:num w:numId="6">
    <w:abstractNumId w:val="14"/>
  </w:num>
  <w:num w:numId="7">
    <w:abstractNumId w:val="22"/>
  </w:num>
  <w:num w:numId="8">
    <w:abstractNumId w:val="33"/>
  </w:num>
  <w:num w:numId="9">
    <w:abstractNumId w:val="17"/>
  </w:num>
  <w:num w:numId="10">
    <w:abstractNumId w:val="20"/>
  </w:num>
  <w:num w:numId="11">
    <w:abstractNumId w:val="10"/>
  </w:num>
  <w:num w:numId="12">
    <w:abstractNumId w:val="21"/>
  </w:num>
  <w:num w:numId="13">
    <w:abstractNumId w:val="26"/>
  </w:num>
  <w:num w:numId="14">
    <w:abstractNumId w:val="29"/>
  </w:num>
  <w:num w:numId="15">
    <w:abstractNumId w:val="35"/>
  </w:num>
  <w:num w:numId="16">
    <w:abstractNumId w:val="19"/>
  </w:num>
  <w:num w:numId="17">
    <w:abstractNumId w:val="13"/>
  </w:num>
  <w:num w:numId="18">
    <w:abstractNumId w:val="32"/>
  </w:num>
  <w:num w:numId="19">
    <w:abstractNumId w:val="27"/>
  </w:num>
  <w:num w:numId="20">
    <w:abstractNumId w:val="18"/>
  </w:num>
  <w:num w:numId="21">
    <w:abstractNumId w:val="30"/>
  </w:num>
  <w:num w:numId="22">
    <w:abstractNumId w:val="31"/>
  </w:num>
  <w:num w:numId="23">
    <w:abstractNumId w:val="9"/>
  </w:num>
  <w:num w:numId="24">
    <w:abstractNumId w:val="7"/>
  </w:num>
  <w:num w:numId="25">
    <w:abstractNumId w:val="6"/>
  </w:num>
  <w:num w:numId="26">
    <w:abstractNumId w:val="5"/>
  </w:num>
  <w:num w:numId="27">
    <w:abstractNumId w:val="4"/>
  </w:num>
  <w:num w:numId="28">
    <w:abstractNumId w:val="8"/>
  </w:num>
  <w:num w:numId="29">
    <w:abstractNumId w:val="3"/>
  </w:num>
  <w:num w:numId="30">
    <w:abstractNumId w:val="2"/>
  </w:num>
  <w:num w:numId="31">
    <w:abstractNumId w:val="1"/>
  </w:num>
  <w:num w:numId="32">
    <w:abstractNumId w:val="0"/>
  </w:num>
  <w:num w:numId="33">
    <w:abstractNumId w:val="24"/>
  </w:num>
  <w:num w:numId="34">
    <w:abstractNumId w:val="11"/>
  </w:num>
  <w:num w:numId="35">
    <w:abstractNumId w:val="23"/>
  </w:num>
  <w:num w:numId="36">
    <w:abstractNumId w:val="36"/>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proofState w:spelling="clean"/>
  <w:attachedTemplate r:id="rId1"/>
  <w:stylePaneFormatFilter w:val="0808" w:allStyles="0" w:customStyles="0" w:latentStyles="0" w:stylesInUse="1"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drawingGridHorizontalSpacing w:val="120"/>
  <w:displayHorizontalDrawingGridEvery w:val="2"/>
  <w:noPunctuationKerning/>
  <w:characterSpacingControl w:val="doNotCompress"/>
  <w:hdrShapeDefaults>
    <o:shapedefaults v:ext="edit" spidmax="41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5FDA81E2-4D13-4384-8D74-66044128C3BA}"/>
    <w:docVar w:name="dgnword-eventsink" w:val="35057808"/>
  </w:docVars>
  <w:rsids>
    <w:rsidRoot w:val="007A4A02"/>
    <w:rsid w:val="000038A0"/>
    <w:rsid w:val="000061E2"/>
    <w:rsid w:val="00012F8A"/>
    <w:rsid w:val="0001662A"/>
    <w:rsid w:val="0001691F"/>
    <w:rsid w:val="00020108"/>
    <w:rsid w:val="0003145E"/>
    <w:rsid w:val="00032F2C"/>
    <w:rsid w:val="0003641A"/>
    <w:rsid w:val="00040090"/>
    <w:rsid w:val="000403D5"/>
    <w:rsid w:val="000427E4"/>
    <w:rsid w:val="0004456C"/>
    <w:rsid w:val="00045BA4"/>
    <w:rsid w:val="00045F1B"/>
    <w:rsid w:val="000521B7"/>
    <w:rsid w:val="0005339D"/>
    <w:rsid w:val="00060076"/>
    <w:rsid w:val="000646EC"/>
    <w:rsid w:val="00065118"/>
    <w:rsid w:val="00065296"/>
    <w:rsid w:val="000715D1"/>
    <w:rsid w:val="00076759"/>
    <w:rsid w:val="00082916"/>
    <w:rsid w:val="00083189"/>
    <w:rsid w:val="00084D59"/>
    <w:rsid w:val="0008560A"/>
    <w:rsid w:val="00091146"/>
    <w:rsid w:val="00092D51"/>
    <w:rsid w:val="00095849"/>
    <w:rsid w:val="000A0788"/>
    <w:rsid w:val="000A0CCA"/>
    <w:rsid w:val="000A1742"/>
    <w:rsid w:val="000A620C"/>
    <w:rsid w:val="000A7869"/>
    <w:rsid w:val="000B4121"/>
    <w:rsid w:val="000B4C09"/>
    <w:rsid w:val="000B51B3"/>
    <w:rsid w:val="000B6D07"/>
    <w:rsid w:val="000C3430"/>
    <w:rsid w:val="000C37DF"/>
    <w:rsid w:val="000D1512"/>
    <w:rsid w:val="000D1916"/>
    <w:rsid w:val="000E16EC"/>
    <w:rsid w:val="000E27E3"/>
    <w:rsid w:val="000E3DDC"/>
    <w:rsid w:val="000E48BD"/>
    <w:rsid w:val="000E7494"/>
    <w:rsid w:val="000F716A"/>
    <w:rsid w:val="00103E21"/>
    <w:rsid w:val="00105BB8"/>
    <w:rsid w:val="00111D90"/>
    <w:rsid w:val="001153CA"/>
    <w:rsid w:val="00116989"/>
    <w:rsid w:val="00116FD8"/>
    <w:rsid w:val="00125657"/>
    <w:rsid w:val="001312D8"/>
    <w:rsid w:val="001328CE"/>
    <w:rsid w:val="00134121"/>
    <w:rsid w:val="00134DDC"/>
    <w:rsid w:val="00140090"/>
    <w:rsid w:val="001409F1"/>
    <w:rsid w:val="0014186A"/>
    <w:rsid w:val="00141CBA"/>
    <w:rsid w:val="00144DE3"/>
    <w:rsid w:val="00153195"/>
    <w:rsid w:val="00162609"/>
    <w:rsid w:val="00164935"/>
    <w:rsid w:val="00165D61"/>
    <w:rsid w:val="00170B6B"/>
    <w:rsid w:val="0017685B"/>
    <w:rsid w:val="00182658"/>
    <w:rsid w:val="00185F36"/>
    <w:rsid w:val="00185F83"/>
    <w:rsid w:val="00186360"/>
    <w:rsid w:val="00187D63"/>
    <w:rsid w:val="00191FA5"/>
    <w:rsid w:val="00192C10"/>
    <w:rsid w:val="00193F32"/>
    <w:rsid w:val="001A4DD7"/>
    <w:rsid w:val="001A6C59"/>
    <w:rsid w:val="001B33AC"/>
    <w:rsid w:val="001B4138"/>
    <w:rsid w:val="001B45A7"/>
    <w:rsid w:val="001C22F5"/>
    <w:rsid w:val="001C25FE"/>
    <w:rsid w:val="001C7118"/>
    <w:rsid w:val="001C769F"/>
    <w:rsid w:val="001D376D"/>
    <w:rsid w:val="001D6D71"/>
    <w:rsid w:val="001D7750"/>
    <w:rsid w:val="001E092D"/>
    <w:rsid w:val="001E1749"/>
    <w:rsid w:val="001E6BD0"/>
    <w:rsid w:val="001F108C"/>
    <w:rsid w:val="001F17BC"/>
    <w:rsid w:val="001F1A06"/>
    <w:rsid w:val="001F41C5"/>
    <w:rsid w:val="002015B2"/>
    <w:rsid w:val="00203232"/>
    <w:rsid w:val="00210652"/>
    <w:rsid w:val="00214C3B"/>
    <w:rsid w:val="00221073"/>
    <w:rsid w:val="00222FD0"/>
    <w:rsid w:val="002252C7"/>
    <w:rsid w:val="0022734F"/>
    <w:rsid w:val="00233C57"/>
    <w:rsid w:val="0023489C"/>
    <w:rsid w:val="0024222C"/>
    <w:rsid w:val="00243601"/>
    <w:rsid w:val="00244C01"/>
    <w:rsid w:val="00246042"/>
    <w:rsid w:val="00252F17"/>
    <w:rsid w:val="00253DDD"/>
    <w:rsid w:val="00260912"/>
    <w:rsid w:val="00275245"/>
    <w:rsid w:val="00276B7A"/>
    <w:rsid w:val="00276E5B"/>
    <w:rsid w:val="00281E63"/>
    <w:rsid w:val="0028609E"/>
    <w:rsid w:val="00286CEA"/>
    <w:rsid w:val="00293BC3"/>
    <w:rsid w:val="002A0984"/>
    <w:rsid w:val="002A19B0"/>
    <w:rsid w:val="002A3566"/>
    <w:rsid w:val="002A37DA"/>
    <w:rsid w:val="002B104A"/>
    <w:rsid w:val="002B1EBA"/>
    <w:rsid w:val="002B265A"/>
    <w:rsid w:val="002B3023"/>
    <w:rsid w:val="002B3196"/>
    <w:rsid w:val="002B32C5"/>
    <w:rsid w:val="002B462C"/>
    <w:rsid w:val="002B519A"/>
    <w:rsid w:val="002B7DCF"/>
    <w:rsid w:val="002D4558"/>
    <w:rsid w:val="002D5D57"/>
    <w:rsid w:val="002D6508"/>
    <w:rsid w:val="002D71AC"/>
    <w:rsid w:val="002D7932"/>
    <w:rsid w:val="002E5749"/>
    <w:rsid w:val="002F064D"/>
    <w:rsid w:val="002F29DF"/>
    <w:rsid w:val="002F4B0F"/>
    <w:rsid w:val="002F78D5"/>
    <w:rsid w:val="00304F81"/>
    <w:rsid w:val="00306194"/>
    <w:rsid w:val="003072E7"/>
    <w:rsid w:val="003231FF"/>
    <w:rsid w:val="0032739B"/>
    <w:rsid w:val="0033573E"/>
    <w:rsid w:val="00336724"/>
    <w:rsid w:val="00343B24"/>
    <w:rsid w:val="003469E3"/>
    <w:rsid w:val="0035001E"/>
    <w:rsid w:val="0035137D"/>
    <w:rsid w:val="00353F3B"/>
    <w:rsid w:val="00357657"/>
    <w:rsid w:val="00362537"/>
    <w:rsid w:val="00367E3F"/>
    <w:rsid w:val="00370DD7"/>
    <w:rsid w:val="0037255F"/>
    <w:rsid w:val="00374086"/>
    <w:rsid w:val="0038199B"/>
    <w:rsid w:val="00381EA6"/>
    <w:rsid w:val="00384DF8"/>
    <w:rsid w:val="00387F34"/>
    <w:rsid w:val="00392557"/>
    <w:rsid w:val="0039396B"/>
    <w:rsid w:val="003A2D0C"/>
    <w:rsid w:val="003A444C"/>
    <w:rsid w:val="003A5AF1"/>
    <w:rsid w:val="003A77F7"/>
    <w:rsid w:val="003B0D29"/>
    <w:rsid w:val="003B7D26"/>
    <w:rsid w:val="003B7E2B"/>
    <w:rsid w:val="003C1D25"/>
    <w:rsid w:val="003D1079"/>
    <w:rsid w:val="003D1FD3"/>
    <w:rsid w:val="003D5FC8"/>
    <w:rsid w:val="003D659C"/>
    <w:rsid w:val="003D6F03"/>
    <w:rsid w:val="003E3A4C"/>
    <w:rsid w:val="003E6D06"/>
    <w:rsid w:val="003F6012"/>
    <w:rsid w:val="003F6833"/>
    <w:rsid w:val="004005D4"/>
    <w:rsid w:val="00403F78"/>
    <w:rsid w:val="00405CA7"/>
    <w:rsid w:val="00410661"/>
    <w:rsid w:val="00421964"/>
    <w:rsid w:val="00422522"/>
    <w:rsid w:val="004255DD"/>
    <w:rsid w:val="004311E3"/>
    <w:rsid w:val="00433B06"/>
    <w:rsid w:val="004361A5"/>
    <w:rsid w:val="00440B24"/>
    <w:rsid w:val="00442AA3"/>
    <w:rsid w:val="00443890"/>
    <w:rsid w:val="0044430D"/>
    <w:rsid w:val="004447F9"/>
    <w:rsid w:val="00444F77"/>
    <w:rsid w:val="004459DE"/>
    <w:rsid w:val="00450DE1"/>
    <w:rsid w:val="004533FC"/>
    <w:rsid w:val="004624D8"/>
    <w:rsid w:val="00464092"/>
    <w:rsid w:val="004640EA"/>
    <w:rsid w:val="00464AD1"/>
    <w:rsid w:val="00466DBA"/>
    <w:rsid w:val="004839A4"/>
    <w:rsid w:val="004879CB"/>
    <w:rsid w:val="0049172E"/>
    <w:rsid w:val="004A07D5"/>
    <w:rsid w:val="004A20E2"/>
    <w:rsid w:val="004A4177"/>
    <w:rsid w:val="004A7713"/>
    <w:rsid w:val="004A7AA7"/>
    <w:rsid w:val="004B1AC1"/>
    <w:rsid w:val="004B6C4F"/>
    <w:rsid w:val="004C3987"/>
    <w:rsid w:val="004D2382"/>
    <w:rsid w:val="004D32C2"/>
    <w:rsid w:val="004D49FA"/>
    <w:rsid w:val="004D5EAB"/>
    <w:rsid w:val="004D6045"/>
    <w:rsid w:val="004D7CF6"/>
    <w:rsid w:val="004E0619"/>
    <w:rsid w:val="004E1C75"/>
    <w:rsid w:val="004E2FEB"/>
    <w:rsid w:val="004E7590"/>
    <w:rsid w:val="004F5D6D"/>
    <w:rsid w:val="00501E0C"/>
    <w:rsid w:val="005056C8"/>
    <w:rsid w:val="0051137B"/>
    <w:rsid w:val="00511776"/>
    <w:rsid w:val="00511924"/>
    <w:rsid w:val="00512974"/>
    <w:rsid w:val="0051511D"/>
    <w:rsid w:val="00520A56"/>
    <w:rsid w:val="0052220C"/>
    <w:rsid w:val="00522D9F"/>
    <w:rsid w:val="005234C7"/>
    <w:rsid w:val="005238E0"/>
    <w:rsid w:val="005277E8"/>
    <w:rsid w:val="0054351E"/>
    <w:rsid w:val="00545906"/>
    <w:rsid w:val="005475D9"/>
    <w:rsid w:val="005516CA"/>
    <w:rsid w:val="0056457D"/>
    <w:rsid w:val="005672DE"/>
    <w:rsid w:val="005749F6"/>
    <w:rsid w:val="00576569"/>
    <w:rsid w:val="00580301"/>
    <w:rsid w:val="0058246A"/>
    <w:rsid w:val="005859FB"/>
    <w:rsid w:val="005924C4"/>
    <w:rsid w:val="005943B6"/>
    <w:rsid w:val="005A4031"/>
    <w:rsid w:val="005A5C59"/>
    <w:rsid w:val="005A5FCE"/>
    <w:rsid w:val="005A6F0D"/>
    <w:rsid w:val="005A74E3"/>
    <w:rsid w:val="005B0D2C"/>
    <w:rsid w:val="005B246B"/>
    <w:rsid w:val="005B5BAF"/>
    <w:rsid w:val="005B5EDC"/>
    <w:rsid w:val="005B7B02"/>
    <w:rsid w:val="005C0710"/>
    <w:rsid w:val="005C4A85"/>
    <w:rsid w:val="005D0D39"/>
    <w:rsid w:val="005D2F97"/>
    <w:rsid w:val="005D692B"/>
    <w:rsid w:val="005E43E5"/>
    <w:rsid w:val="005E563D"/>
    <w:rsid w:val="005F0DDB"/>
    <w:rsid w:val="005F47D8"/>
    <w:rsid w:val="005F4D74"/>
    <w:rsid w:val="005F52A1"/>
    <w:rsid w:val="00602748"/>
    <w:rsid w:val="006047C5"/>
    <w:rsid w:val="0061421C"/>
    <w:rsid w:val="00621915"/>
    <w:rsid w:val="00624074"/>
    <w:rsid w:val="0062769F"/>
    <w:rsid w:val="00641664"/>
    <w:rsid w:val="0065001E"/>
    <w:rsid w:val="006531B0"/>
    <w:rsid w:val="006533B7"/>
    <w:rsid w:val="00654577"/>
    <w:rsid w:val="00655B25"/>
    <w:rsid w:val="00655DED"/>
    <w:rsid w:val="00661F08"/>
    <w:rsid w:val="00674B00"/>
    <w:rsid w:val="00685D74"/>
    <w:rsid w:val="00695965"/>
    <w:rsid w:val="006B2A36"/>
    <w:rsid w:val="006B36BA"/>
    <w:rsid w:val="006C2616"/>
    <w:rsid w:val="006C5742"/>
    <w:rsid w:val="006D018E"/>
    <w:rsid w:val="006D24B8"/>
    <w:rsid w:val="006D3078"/>
    <w:rsid w:val="006D4034"/>
    <w:rsid w:val="006D737A"/>
    <w:rsid w:val="006E2530"/>
    <w:rsid w:val="006E5210"/>
    <w:rsid w:val="006E548F"/>
    <w:rsid w:val="006E7E7A"/>
    <w:rsid w:val="006F0BD8"/>
    <w:rsid w:val="006F12AE"/>
    <w:rsid w:val="006F4ACF"/>
    <w:rsid w:val="006F73F0"/>
    <w:rsid w:val="00702998"/>
    <w:rsid w:val="0071055A"/>
    <w:rsid w:val="0071414A"/>
    <w:rsid w:val="0071514F"/>
    <w:rsid w:val="00716F1E"/>
    <w:rsid w:val="00727685"/>
    <w:rsid w:val="00730AF8"/>
    <w:rsid w:val="00730B94"/>
    <w:rsid w:val="00735372"/>
    <w:rsid w:val="00735D7F"/>
    <w:rsid w:val="007375F7"/>
    <w:rsid w:val="00740322"/>
    <w:rsid w:val="00740916"/>
    <w:rsid w:val="00742FC6"/>
    <w:rsid w:val="007431FF"/>
    <w:rsid w:val="00756F9E"/>
    <w:rsid w:val="007632E4"/>
    <w:rsid w:val="00770DDA"/>
    <w:rsid w:val="00772ADE"/>
    <w:rsid w:val="0078300B"/>
    <w:rsid w:val="007833A9"/>
    <w:rsid w:val="007844E1"/>
    <w:rsid w:val="00784B53"/>
    <w:rsid w:val="007851E9"/>
    <w:rsid w:val="007910B1"/>
    <w:rsid w:val="007910D2"/>
    <w:rsid w:val="00793594"/>
    <w:rsid w:val="00794075"/>
    <w:rsid w:val="00794754"/>
    <w:rsid w:val="007A3064"/>
    <w:rsid w:val="007A4A02"/>
    <w:rsid w:val="007B026F"/>
    <w:rsid w:val="007C7959"/>
    <w:rsid w:val="007D1A1E"/>
    <w:rsid w:val="007E231D"/>
    <w:rsid w:val="007E3AA5"/>
    <w:rsid w:val="007F282C"/>
    <w:rsid w:val="007F488D"/>
    <w:rsid w:val="007F75DF"/>
    <w:rsid w:val="008002E8"/>
    <w:rsid w:val="008006D5"/>
    <w:rsid w:val="00804188"/>
    <w:rsid w:val="00811B2B"/>
    <w:rsid w:val="008149B7"/>
    <w:rsid w:val="008223C1"/>
    <w:rsid w:val="00825250"/>
    <w:rsid w:val="008322B6"/>
    <w:rsid w:val="008349F1"/>
    <w:rsid w:val="00836024"/>
    <w:rsid w:val="00836392"/>
    <w:rsid w:val="00840902"/>
    <w:rsid w:val="008416EA"/>
    <w:rsid w:val="00844132"/>
    <w:rsid w:val="00844889"/>
    <w:rsid w:val="00845077"/>
    <w:rsid w:val="008451E9"/>
    <w:rsid w:val="00847850"/>
    <w:rsid w:val="0085094F"/>
    <w:rsid w:val="008546A9"/>
    <w:rsid w:val="00854857"/>
    <w:rsid w:val="00856EB5"/>
    <w:rsid w:val="00863597"/>
    <w:rsid w:val="0086648B"/>
    <w:rsid w:val="008673F2"/>
    <w:rsid w:val="00867E7D"/>
    <w:rsid w:val="00872EB7"/>
    <w:rsid w:val="008731F9"/>
    <w:rsid w:val="00873572"/>
    <w:rsid w:val="00873699"/>
    <w:rsid w:val="00873E3C"/>
    <w:rsid w:val="008750E2"/>
    <w:rsid w:val="00875598"/>
    <w:rsid w:val="00876486"/>
    <w:rsid w:val="00881253"/>
    <w:rsid w:val="00883AE4"/>
    <w:rsid w:val="00886003"/>
    <w:rsid w:val="008866E8"/>
    <w:rsid w:val="0088671C"/>
    <w:rsid w:val="00886C7C"/>
    <w:rsid w:val="008A2CE6"/>
    <w:rsid w:val="008A4808"/>
    <w:rsid w:val="008A656F"/>
    <w:rsid w:val="008A6DFE"/>
    <w:rsid w:val="008B0EFE"/>
    <w:rsid w:val="008B183C"/>
    <w:rsid w:val="008B1E93"/>
    <w:rsid w:val="008B4E61"/>
    <w:rsid w:val="008B5981"/>
    <w:rsid w:val="008B6680"/>
    <w:rsid w:val="008B6C52"/>
    <w:rsid w:val="008C3068"/>
    <w:rsid w:val="008C43C2"/>
    <w:rsid w:val="008C48D9"/>
    <w:rsid w:val="008D4D5C"/>
    <w:rsid w:val="008D5B3D"/>
    <w:rsid w:val="008D6935"/>
    <w:rsid w:val="008E2235"/>
    <w:rsid w:val="008E3423"/>
    <w:rsid w:val="008E63C4"/>
    <w:rsid w:val="008F16BC"/>
    <w:rsid w:val="008F1DAB"/>
    <w:rsid w:val="008F3C01"/>
    <w:rsid w:val="009007F1"/>
    <w:rsid w:val="00901E92"/>
    <w:rsid w:val="009078CC"/>
    <w:rsid w:val="00911F7B"/>
    <w:rsid w:val="00913281"/>
    <w:rsid w:val="00913EA5"/>
    <w:rsid w:val="009146C1"/>
    <w:rsid w:val="00915D96"/>
    <w:rsid w:val="00927849"/>
    <w:rsid w:val="00930919"/>
    <w:rsid w:val="00943CEA"/>
    <w:rsid w:val="00945A5E"/>
    <w:rsid w:val="00955201"/>
    <w:rsid w:val="009566EC"/>
    <w:rsid w:val="009612A7"/>
    <w:rsid w:val="00963ADB"/>
    <w:rsid w:val="00966EA4"/>
    <w:rsid w:val="00967444"/>
    <w:rsid w:val="0097057F"/>
    <w:rsid w:val="00976374"/>
    <w:rsid w:val="00982266"/>
    <w:rsid w:val="00983A1F"/>
    <w:rsid w:val="00987485"/>
    <w:rsid w:val="0099167B"/>
    <w:rsid w:val="00993442"/>
    <w:rsid w:val="009A0CC8"/>
    <w:rsid w:val="009A0CE1"/>
    <w:rsid w:val="009A207B"/>
    <w:rsid w:val="009A5A0D"/>
    <w:rsid w:val="009A679E"/>
    <w:rsid w:val="009A6D1B"/>
    <w:rsid w:val="009B1EC8"/>
    <w:rsid w:val="009B303B"/>
    <w:rsid w:val="009B3BDA"/>
    <w:rsid w:val="009B4E20"/>
    <w:rsid w:val="009B76D8"/>
    <w:rsid w:val="009B785F"/>
    <w:rsid w:val="009C0398"/>
    <w:rsid w:val="009C7CAA"/>
    <w:rsid w:val="009D22DE"/>
    <w:rsid w:val="009D6B2A"/>
    <w:rsid w:val="009D77F8"/>
    <w:rsid w:val="009D7BDF"/>
    <w:rsid w:val="009E1C06"/>
    <w:rsid w:val="009E28DB"/>
    <w:rsid w:val="009E2D2F"/>
    <w:rsid w:val="009E2FF7"/>
    <w:rsid w:val="009F3185"/>
    <w:rsid w:val="009F3F7B"/>
    <w:rsid w:val="00A00C88"/>
    <w:rsid w:val="00A046F7"/>
    <w:rsid w:val="00A10B39"/>
    <w:rsid w:val="00A13F63"/>
    <w:rsid w:val="00A15843"/>
    <w:rsid w:val="00A15B2B"/>
    <w:rsid w:val="00A171DF"/>
    <w:rsid w:val="00A21D2D"/>
    <w:rsid w:val="00A223AA"/>
    <w:rsid w:val="00A22FFC"/>
    <w:rsid w:val="00A24F06"/>
    <w:rsid w:val="00A266F5"/>
    <w:rsid w:val="00A30ABA"/>
    <w:rsid w:val="00A314B9"/>
    <w:rsid w:val="00A33D5D"/>
    <w:rsid w:val="00A41885"/>
    <w:rsid w:val="00A41B45"/>
    <w:rsid w:val="00A52515"/>
    <w:rsid w:val="00A54B37"/>
    <w:rsid w:val="00A609DD"/>
    <w:rsid w:val="00A60B57"/>
    <w:rsid w:val="00A61815"/>
    <w:rsid w:val="00A644DE"/>
    <w:rsid w:val="00A649C7"/>
    <w:rsid w:val="00A65157"/>
    <w:rsid w:val="00A6740F"/>
    <w:rsid w:val="00A852B5"/>
    <w:rsid w:val="00A90C9D"/>
    <w:rsid w:val="00A921BD"/>
    <w:rsid w:val="00A94FE0"/>
    <w:rsid w:val="00A95A88"/>
    <w:rsid w:val="00AA1B63"/>
    <w:rsid w:val="00AA3188"/>
    <w:rsid w:val="00AA420D"/>
    <w:rsid w:val="00AB127B"/>
    <w:rsid w:val="00AB2C8C"/>
    <w:rsid w:val="00AB444A"/>
    <w:rsid w:val="00AC405E"/>
    <w:rsid w:val="00AE01D7"/>
    <w:rsid w:val="00AE3607"/>
    <w:rsid w:val="00AE38D0"/>
    <w:rsid w:val="00AE732F"/>
    <w:rsid w:val="00AF074C"/>
    <w:rsid w:val="00AF716F"/>
    <w:rsid w:val="00AF776E"/>
    <w:rsid w:val="00B03AF0"/>
    <w:rsid w:val="00B05373"/>
    <w:rsid w:val="00B067E6"/>
    <w:rsid w:val="00B11A88"/>
    <w:rsid w:val="00B12260"/>
    <w:rsid w:val="00B13F00"/>
    <w:rsid w:val="00B156E1"/>
    <w:rsid w:val="00B25433"/>
    <w:rsid w:val="00B2626C"/>
    <w:rsid w:val="00B31F20"/>
    <w:rsid w:val="00B3728B"/>
    <w:rsid w:val="00B408B6"/>
    <w:rsid w:val="00B531ED"/>
    <w:rsid w:val="00B53574"/>
    <w:rsid w:val="00B60027"/>
    <w:rsid w:val="00B61908"/>
    <w:rsid w:val="00B63AE9"/>
    <w:rsid w:val="00B662B0"/>
    <w:rsid w:val="00B670FF"/>
    <w:rsid w:val="00B70B80"/>
    <w:rsid w:val="00B75DD8"/>
    <w:rsid w:val="00B76BE0"/>
    <w:rsid w:val="00B80913"/>
    <w:rsid w:val="00B8139C"/>
    <w:rsid w:val="00B91A8D"/>
    <w:rsid w:val="00BA34AD"/>
    <w:rsid w:val="00BA4B2A"/>
    <w:rsid w:val="00BB69FF"/>
    <w:rsid w:val="00BD545A"/>
    <w:rsid w:val="00BF1C2D"/>
    <w:rsid w:val="00BF2735"/>
    <w:rsid w:val="00BF4970"/>
    <w:rsid w:val="00BF738E"/>
    <w:rsid w:val="00C0402F"/>
    <w:rsid w:val="00C0728F"/>
    <w:rsid w:val="00C14CE5"/>
    <w:rsid w:val="00C24D41"/>
    <w:rsid w:val="00C25948"/>
    <w:rsid w:val="00C30025"/>
    <w:rsid w:val="00C3092C"/>
    <w:rsid w:val="00C3254A"/>
    <w:rsid w:val="00C329A2"/>
    <w:rsid w:val="00C35EC8"/>
    <w:rsid w:val="00C37937"/>
    <w:rsid w:val="00C4065A"/>
    <w:rsid w:val="00C412B4"/>
    <w:rsid w:val="00C42FF3"/>
    <w:rsid w:val="00C447FD"/>
    <w:rsid w:val="00C44BA2"/>
    <w:rsid w:val="00C464FB"/>
    <w:rsid w:val="00C479EC"/>
    <w:rsid w:val="00C5024F"/>
    <w:rsid w:val="00C51630"/>
    <w:rsid w:val="00C52F4B"/>
    <w:rsid w:val="00C53754"/>
    <w:rsid w:val="00C6035E"/>
    <w:rsid w:val="00C639B5"/>
    <w:rsid w:val="00C651A6"/>
    <w:rsid w:val="00C725F3"/>
    <w:rsid w:val="00C72A74"/>
    <w:rsid w:val="00C72C99"/>
    <w:rsid w:val="00C822F8"/>
    <w:rsid w:val="00C8251B"/>
    <w:rsid w:val="00C83482"/>
    <w:rsid w:val="00C83A6F"/>
    <w:rsid w:val="00C9153E"/>
    <w:rsid w:val="00C92D6F"/>
    <w:rsid w:val="00C93DEA"/>
    <w:rsid w:val="00C97351"/>
    <w:rsid w:val="00C97D8E"/>
    <w:rsid w:val="00CA2A23"/>
    <w:rsid w:val="00CA6367"/>
    <w:rsid w:val="00CA752C"/>
    <w:rsid w:val="00CB009F"/>
    <w:rsid w:val="00CB221F"/>
    <w:rsid w:val="00CC3524"/>
    <w:rsid w:val="00CD3C04"/>
    <w:rsid w:val="00CD3C3C"/>
    <w:rsid w:val="00CE662A"/>
    <w:rsid w:val="00CF73A6"/>
    <w:rsid w:val="00D0064C"/>
    <w:rsid w:val="00D05575"/>
    <w:rsid w:val="00D118BD"/>
    <w:rsid w:val="00D11CFD"/>
    <w:rsid w:val="00D13C76"/>
    <w:rsid w:val="00D14D70"/>
    <w:rsid w:val="00D15738"/>
    <w:rsid w:val="00D2157E"/>
    <w:rsid w:val="00D22AE7"/>
    <w:rsid w:val="00D24F42"/>
    <w:rsid w:val="00D2550B"/>
    <w:rsid w:val="00D271FF"/>
    <w:rsid w:val="00D3367E"/>
    <w:rsid w:val="00D33956"/>
    <w:rsid w:val="00D34955"/>
    <w:rsid w:val="00D34F1B"/>
    <w:rsid w:val="00D37274"/>
    <w:rsid w:val="00D41229"/>
    <w:rsid w:val="00D4367A"/>
    <w:rsid w:val="00D57D13"/>
    <w:rsid w:val="00D6243F"/>
    <w:rsid w:val="00D6331C"/>
    <w:rsid w:val="00D6403A"/>
    <w:rsid w:val="00D70518"/>
    <w:rsid w:val="00D7517A"/>
    <w:rsid w:val="00D774C6"/>
    <w:rsid w:val="00D80163"/>
    <w:rsid w:val="00D84CCB"/>
    <w:rsid w:val="00D84E18"/>
    <w:rsid w:val="00D86830"/>
    <w:rsid w:val="00D91965"/>
    <w:rsid w:val="00D95125"/>
    <w:rsid w:val="00DA1DBF"/>
    <w:rsid w:val="00DB2470"/>
    <w:rsid w:val="00DC6380"/>
    <w:rsid w:val="00DC73C5"/>
    <w:rsid w:val="00DC7FB4"/>
    <w:rsid w:val="00DE5043"/>
    <w:rsid w:val="00DE5335"/>
    <w:rsid w:val="00DE7476"/>
    <w:rsid w:val="00DF44BE"/>
    <w:rsid w:val="00DF64FD"/>
    <w:rsid w:val="00E02272"/>
    <w:rsid w:val="00E05AF6"/>
    <w:rsid w:val="00E10958"/>
    <w:rsid w:val="00E127AC"/>
    <w:rsid w:val="00E14318"/>
    <w:rsid w:val="00E1643C"/>
    <w:rsid w:val="00E1680A"/>
    <w:rsid w:val="00E219A3"/>
    <w:rsid w:val="00E24EF9"/>
    <w:rsid w:val="00E24FB9"/>
    <w:rsid w:val="00E26CD1"/>
    <w:rsid w:val="00E26F82"/>
    <w:rsid w:val="00E35189"/>
    <w:rsid w:val="00E36A1C"/>
    <w:rsid w:val="00E44149"/>
    <w:rsid w:val="00E44D80"/>
    <w:rsid w:val="00E44ECA"/>
    <w:rsid w:val="00E459C3"/>
    <w:rsid w:val="00E53A61"/>
    <w:rsid w:val="00E57384"/>
    <w:rsid w:val="00E5755C"/>
    <w:rsid w:val="00E6578A"/>
    <w:rsid w:val="00E678BB"/>
    <w:rsid w:val="00E726B2"/>
    <w:rsid w:val="00E7293B"/>
    <w:rsid w:val="00E74109"/>
    <w:rsid w:val="00E750F1"/>
    <w:rsid w:val="00E814E3"/>
    <w:rsid w:val="00E83542"/>
    <w:rsid w:val="00E93C79"/>
    <w:rsid w:val="00EA0DE3"/>
    <w:rsid w:val="00EA0E4D"/>
    <w:rsid w:val="00EA1252"/>
    <w:rsid w:val="00EA4803"/>
    <w:rsid w:val="00EB1E0E"/>
    <w:rsid w:val="00EB77D8"/>
    <w:rsid w:val="00EB7CEA"/>
    <w:rsid w:val="00EC100A"/>
    <w:rsid w:val="00ED1C66"/>
    <w:rsid w:val="00ED1FB9"/>
    <w:rsid w:val="00ED4B4D"/>
    <w:rsid w:val="00EE3BE1"/>
    <w:rsid w:val="00EE4BF8"/>
    <w:rsid w:val="00EE4E38"/>
    <w:rsid w:val="00EE739D"/>
    <w:rsid w:val="00EF15F7"/>
    <w:rsid w:val="00EF191C"/>
    <w:rsid w:val="00EF1EE8"/>
    <w:rsid w:val="00EF63BE"/>
    <w:rsid w:val="00EF69B2"/>
    <w:rsid w:val="00EF78C2"/>
    <w:rsid w:val="00F02711"/>
    <w:rsid w:val="00F02993"/>
    <w:rsid w:val="00F05A9E"/>
    <w:rsid w:val="00F10F95"/>
    <w:rsid w:val="00F11989"/>
    <w:rsid w:val="00F11A57"/>
    <w:rsid w:val="00F13BF3"/>
    <w:rsid w:val="00F172D2"/>
    <w:rsid w:val="00F242C4"/>
    <w:rsid w:val="00F274A0"/>
    <w:rsid w:val="00F276DE"/>
    <w:rsid w:val="00F336D9"/>
    <w:rsid w:val="00F37E63"/>
    <w:rsid w:val="00F41F12"/>
    <w:rsid w:val="00F42DDD"/>
    <w:rsid w:val="00F46B73"/>
    <w:rsid w:val="00F511C0"/>
    <w:rsid w:val="00F719EC"/>
    <w:rsid w:val="00F7591B"/>
    <w:rsid w:val="00F76ECD"/>
    <w:rsid w:val="00F811C4"/>
    <w:rsid w:val="00F86BD5"/>
    <w:rsid w:val="00F92D2D"/>
    <w:rsid w:val="00F94F4A"/>
    <w:rsid w:val="00F9606B"/>
    <w:rsid w:val="00F96711"/>
    <w:rsid w:val="00F97D20"/>
    <w:rsid w:val="00FB0C90"/>
    <w:rsid w:val="00FB116A"/>
    <w:rsid w:val="00FB1906"/>
    <w:rsid w:val="00FB5421"/>
    <w:rsid w:val="00FC03DD"/>
    <w:rsid w:val="00FC2E96"/>
    <w:rsid w:val="00FD10FB"/>
    <w:rsid w:val="00FD119D"/>
    <w:rsid w:val="00FD6632"/>
    <w:rsid w:val="00FE262A"/>
    <w:rsid w:val="00FE36CF"/>
    <w:rsid w:val="00FE3A0D"/>
    <w:rsid w:val="00FF0729"/>
    <w:rsid w:val="00FF3AA5"/>
    <w:rsid w:val="00FF4830"/>
    <w:rsid w:val="00FF7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2A74"/>
    <w:pPr>
      <w:spacing w:line="260" w:lineRule="atLeast"/>
    </w:pPr>
    <w:rPr>
      <w:rFonts w:eastAsiaTheme="minorHAnsi" w:cstheme="minorBidi"/>
      <w:sz w:val="22"/>
      <w:lang w:eastAsia="en-US"/>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2F064D"/>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F064D"/>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C72A74"/>
    <w:pPr>
      <w:tabs>
        <w:tab w:val="center" w:pos="4153"/>
        <w:tab w:val="right" w:pos="8306"/>
      </w:tabs>
    </w:pPr>
    <w:rPr>
      <w:sz w:val="22"/>
      <w:szCs w:val="24"/>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rPr>
  </w:style>
  <w:style w:type="character" w:styleId="FollowedHyperlink">
    <w:name w:val="FollowedHyperlink"/>
    <w:basedOn w:val="DefaultParagraphFont"/>
    <w:rsid w:val="00E814E3"/>
    <w:rPr>
      <w:color w:val="800080"/>
      <w:u w:val="single"/>
    </w:rPr>
  </w:style>
  <w:style w:type="paragraph" w:styleId="Header">
    <w:name w:val="header"/>
    <w:basedOn w:val="OPCParaBase"/>
    <w:link w:val="HeaderChar"/>
    <w:unhideWhenUsed/>
    <w:rsid w:val="00C72A74"/>
    <w:pPr>
      <w:keepNext/>
      <w:keepLines/>
      <w:tabs>
        <w:tab w:val="center" w:pos="4150"/>
        <w:tab w:val="right" w:pos="8307"/>
      </w:tabs>
      <w:spacing w:line="160" w:lineRule="exact"/>
    </w:pPr>
    <w:rPr>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OPCCharBase"/>
    <w:uiPriority w:val="99"/>
    <w:unhideWhenUsed/>
    <w:rsid w:val="00C72A74"/>
    <w:rPr>
      <w:sz w:val="16"/>
    </w:rPr>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72A7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styleId="BalloonText">
    <w:name w:val="Balloon Text"/>
    <w:basedOn w:val="Normal"/>
    <w:link w:val="BalloonTextChar"/>
    <w:uiPriority w:val="99"/>
    <w:unhideWhenUsed/>
    <w:rsid w:val="00C72A74"/>
    <w:pPr>
      <w:spacing w:line="240" w:lineRule="auto"/>
    </w:pPr>
    <w:rPr>
      <w:rFonts w:ascii="Tahoma" w:hAnsi="Tahoma" w:cs="Tahoma"/>
      <w:sz w:val="16"/>
      <w:szCs w:val="16"/>
    </w:rPr>
  </w:style>
  <w:style w:type="paragraph" w:styleId="Caption">
    <w:name w:val="caption"/>
    <w:basedOn w:val="Normal"/>
    <w:next w:val="Normal"/>
    <w:qFormat/>
    <w:rsid w:val="00E814E3"/>
    <w:pPr>
      <w:spacing w:before="120" w:after="120"/>
    </w:pPr>
    <w:rPr>
      <w:b/>
      <w:bCs/>
      <w:sz w:val="20"/>
    </w:rPr>
  </w:style>
  <w:style w:type="character" w:customStyle="1" w:styleId="CharAmSchNo">
    <w:name w:val="CharAmSchNo"/>
    <w:basedOn w:val="OPCCharBase"/>
    <w:uiPriority w:val="1"/>
    <w:qFormat/>
    <w:rsid w:val="00C72A74"/>
  </w:style>
  <w:style w:type="character" w:customStyle="1" w:styleId="CharAmSchText">
    <w:name w:val="CharAmSchText"/>
    <w:basedOn w:val="OPCCharBase"/>
    <w:uiPriority w:val="1"/>
    <w:qFormat/>
    <w:rsid w:val="00C72A74"/>
  </w:style>
  <w:style w:type="character" w:customStyle="1" w:styleId="CharChapNo">
    <w:name w:val="CharChapNo"/>
    <w:basedOn w:val="OPCCharBase"/>
    <w:qFormat/>
    <w:rsid w:val="00C72A74"/>
  </w:style>
  <w:style w:type="character" w:customStyle="1" w:styleId="CharChapText">
    <w:name w:val="CharChapText"/>
    <w:basedOn w:val="OPCCharBase"/>
    <w:qFormat/>
    <w:rsid w:val="00C72A74"/>
  </w:style>
  <w:style w:type="character" w:customStyle="1" w:styleId="CharDivNo">
    <w:name w:val="CharDivNo"/>
    <w:basedOn w:val="OPCCharBase"/>
    <w:uiPriority w:val="1"/>
    <w:qFormat/>
    <w:rsid w:val="00C72A74"/>
  </w:style>
  <w:style w:type="character" w:customStyle="1" w:styleId="CharDivText">
    <w:name w:val="CharDivText"/>
    <w:basedOn w:val="OPCCharBase"/>
    <w:uiPriority w:val="1"/>
    <w:qFormat/>
    <w:rsid w:val="00C72A74"/>
  </w:style>
  <w:style w:type="character" w:customStyle="1" w:styleId="CharPartNo">
    <w:name w:val="CharPartNo"/>
    <w:basedOn w:val="OPCCharBase"/>
    <w:uiPriority w:val="1"/>
    <w:qFormat/>
    <w:rsid w:val="00C72A74"/>
  </w:style>
  <w:style w:type="character" w:customStyle="1" w:styleId="CharPartText">
    <w:name w:val="CharPartText"/>
    <w:basedOn w:val="OPCCharBase"/>
    <w:uiPriority w:val="1"/>
    <w:qFormat/>
    <w:rsid w:val="00C72A74"/>
  </w:style>
  <w:style w:type="character" w:customStyle="1" w:styleId="OPCCharBase">
    <w:name w:val="OPCCharBase"/>
    <w:uiPriority w:val="1"/>
    <w:qFormat/>
    <w:rsid w:val="00C72A74"/>
  </w:style>
  <w:style w:type="paragraph" w:customStyle="1" w:styleId="OPCParaBase">
    <w:name w:val="OPCParaBase"/>
    <w:link w:val="OPCParaBaseChar"/>
    <w:qFormat/>
    <w:rsid w:val="00C72A74"/>
    <w:pPr>
      <w:spacing w:line="260" w:lineRule="atLeast"/>
    </w:pPr>
    <w:rPr>
      <w:sz w:val="22"/>
    </w:rPr>
  </w:style>
  <w:style w:type="character" w:customStyle="1" w:styleId="CharSectno">
    <w:name w:val="CharSectno"/>
    <w:basedOn w:val="OPCCharBase"/>
    <w:qFormat/>
    <w:rsid w:val="00C72A74"/>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rPr>
  </w:style>
  <w:style w:type="paragraph" w:styleId="CommentSubject">
    <w:name w:val="annotation subject"/>
    <w:basedOn w:val="CommentText"/>
    <w:next w:val="CommentText"/>
    <w:rsid w:val="00E814E3"/>
    <w:rPr>
      <w:b/>
      <w:bCs/>
    </w:rPr>
  </w:style>
  <w:style w:type="paragraph" w:styleId="DocumentMap">
    <w:name w:val="Document Map"/>
    <w:basedOn w:val="Normal"/>
    <w:rsid w:val="00E814E3"/>
    <w:pPr>
      <w:shd w:val="clear" w:color="auto" w:fill="000080"/>
    </w:pPr>
    <w:rPr>
      <w:rFonts w:ascii="Tahoma" w:hAnsi="Tahoma" w:cs="Tahoma"/>
    </w:r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rPr>
  </w:style>
  <w:style w:type="paragraph" w:customStyle="1" w:styleId="Formula">
    <w:name w:val="Formula"/>
    <w:basedOn w:val="OPCParaBase"/>
    <w:rsid w:val="00C72A74"/>
    <w:pPr>
      <w:spacing w:line="240" w:lineRule="auto"/>
      <w:ind w:left="1134"/>
    </w:pPr>
    <w:rPr>
      <w:sz w:val="20"/>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ageBreak">
    <w:name w:val="PageBreak"/>
    <w:aliases w:val="pb"/>
    <w:basedOn w:val="OPCParaBase"/>
    <w:rsid w:val="00C72A74"/>
    <w:pPr>
      <w:spacing w:line="240" w:lineRule="auto"/>
    </w:pPr>
    <w:rPr>
      <w:sz w:val="20"/>
    </w:rPr>
  </w:style>
  <w:style w:type="paragraph" w:customStyle="1" w:styleId="Penalty">
    <w:name w:val="Penalty"/>
    <w:basedOn w:val="OPCParaBase"/>
    <w:rsid w:val="00C72A74"/>
    <w:pPr>
      <w:tabs>
        <w:tab w:val="left" w:pos="2977"/>
      </w:tabs>
      <w:spacing w:before="180" w:line="240" w:lineRule="auto"/>
      <w:ind w:left="1985" w:hanging="851"/>
    </w:pPr>
  </w:style>
  <w:style w:type="paragraph" w:customStyle="1" w:styleId="ShortT">
    <w:name w:val="ShortT"/>
    <w:basedOn w:val="OPCParaBase"/>
    <w:next w:val="Normal"/>
    <w:qFormat/>
    <w:rsid w:val="00C72A74"/>
    <w:pPr>
      <w:spacing w:line="240" w:lineRule="auto"/>
    </w:pPr>
    <w:rPr>
      <w:b/>
      <w:sz w:val="40"/>
    </w:rPr>
  </w:style>
  <w:style w:type="paragraph" w:customStyle="1" w:styleId="ActHead1">
    <w:name w:val="ActHead 1"/>
    <w:aliases w:val="c"/>
    <w:basedOn w:val="OPCParaBase"/>
    <w:next w:val="Normal"/>
    <w:qFormat/>
    <w:rsid w:val="00C72A74"/>
    <w:pPr>
      <w:keepNext/>
      <w:keepLines/>
      <w:spacing w:line="240" w:lineRule="auto"/>
      <w:ind w:left="1134" w:hanging="1134"/>
      <w:outlineLvl w:val="0"/>
    </w:pPr>
    <w:rPr>
      <w:b/>
      <w:kern w:val="28"/>
      <w:sz w:val="36"/>
    </w:rPr>
  </w:style>
  <w:style w:type="paragraph" w:customStyle="1" w:styleId="Schedulelist">
    <w:name w:val="Schedule list"/>
    <w:basedOn w:val="Normal"/>
    <w:rsid w:val="00E814E3"/>
    <w:pPr>
      <w:tabs>
        <w:tab w:val="right" w:pos="1985"/>
      </w:tabs>
      <w:spacing w:before="60" w:line="260" w:lineRule="exact"/>
      <w:ind w:left="454"/>
    </w:p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ActHead2">
    <w:name w:val="ActHead 2"/>
    <w:aliases w:val="p"/>
    <w:basedOn w:val="OPCParaBase"/>
    <w:next w:val="ActHead3"/>
    <w:qFormat/>
    <w:rsid w:val="00C72A74"/>
    <w:pPr>
      <w:keepNext/>
      <w:keepLines/>
      <w:spacing w:before="280" w:line="240" w:lineRule="auto"/>
      <w:ind w:left="1134" w:hanging="1134"/>
      <w:outlineLvl w:val="1"/>
    </w:pPr>
    <w:rPr>
      <w:b/>
      <w:kern w:val="28"/>
      <w:sz w:val="32"/>
    </w:rPr>
  </w:style>
  <w:style w:type="paragraph" w:styleId="TOAHeading">
    <w:name w:val="toa heading"/>
    <w:basedOn w:val="Normal"/>
    <w:next w:val="Normal"/>
    <w:rsid w:val="00E814E3"/>
    <w:pPr>
      <w:spacing w:before="120"/>
    </w:pPr>
    <w:rPr>
      <w:rFonts w:ascii="Arial" w:hAnsi="Arial" w:cs="Arial"/>
      <w:b/>
      <w:bCs/>
    </w:rPr>
  </w:style>
  <w:style w:type="paragraph" w:styleId="TOC1">
    <w:name w:val="toc 1"/>
    <w:basedOn w:val="OPCParaBase"/>
    <w:next w:val="Normal"/>
    <w:uiPriority w:val="39"/>
    <w:unhideWhenUsed/>
    <w:rsid w:val="00C72A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72A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72A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72A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72A7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72A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C72A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C72A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72A74"/>
    <w:pPr>
      <w:keepLines/>
      <w:tabs>
        <w:tab w:val="right" w:pos="8278"/>
      </w:tabs>
      <w:spacing w:before="80" w:line="240" w:lineRule="auto"/>
      <w:ind w:left="851" w:right="567"/>
    </w:pPr>
    <w:rPr>
      <w:i/>
      <w:kern w:val="28"/>
      <w:sz w:val="20"/>
    </w:rPr>
  </w:style>
  <w:style w:type="paragraph" w:customStyle="1" w:styleId="notetext">
    <w:name w:val="note(text)"/>
    <w:aliases w:val="n"/>
    <w:basedOn w:val="OPCParaBase"/>
    <w:rsid w:val="00C72A74"/>
    <w:pPr>
      <w:spacing w:before="122" w:line="198" w:lineRule="exact"/>
      <w:ind w:left="1985" w:hanging="851"/>
    </w:pPr>
    <w:rPr>
      <w:sz w:val="18"/>
    </w:rPr>
  </w:style>
  <w:style w:type="paragraph" w:customStyle="1" w:styleId="subsection">
    <w:name w:val="subsection"/>
    <w:aliases w:val="ss"/>
    <w:basedOn w:val="OPCParaBase"/>
    <w:rsid w:val="00C72A74"/>
    <w:pPr>
      <w:tabs>
        <w:tab w:val="right" w:pos="1021"/>
      </w:tabs>
      <w:spacing w:before="180" w:line="240" w:lineRule="auto"/>
      <w:ind w:left="1134" w:hanging="1134"/>
    </w:pPr>
  </w:style>
  <w:style w:type="paragraph" w:customStyle="1" w:styleId="paragraph">
    <w:name w:val="paragraph"/>
    <w:aliases w:val="a"/>
    <w:basedOn w:val="OPCParaBase"/>
    <w:rsid w:val="00C72A74"/>
    <w:pPr>
      <w:tabs>
        <w:tab w:val="right" w:pos="1531"/>
      </w:tabs>
      <w:spacing w:before="40" w:line="240" w:lineRule="auto"/>
      <w:ind w:left="1644" w:hanging="1644"/>
    </w:pPr>
  </w:style>
  <w:style w:type="paragraph" w:customStyle="1" w:styleId="ScheduleHeading1">
    <w:name w:val="Schedule Heading1"/>
    <w:basedOn w:val="Normal"/>
    <w:qFormat/>
    <w:rsid w:val="002F064D"/>
    <w:pPr>
      <w:keepNext/>
      <w:keepLines/>
      <w:spacing w:before="360" w:after="120"/>
      <w:ind w:left="964" w:hanging="964"/>
    </w:pPr>
    <w:rPr>
      <w:rFonts w:ascii="Arial" w:hAnsi="Arial"/>
      <w:b/>
    </w:rPr>
  </w:style>
  <w:style w:type="paragraph" w:customStyle="1" w:styleId="ActHead3">
    <w:name w:val="ActHead 3"/>
    <w:aliases w:val="d"/>
    <w:basedOn w:val="OPCParaBase"/>
    <w:next w:val="ActHead4"/>
    <w:qFormat/>
    <w:rsid w:val="00C72A7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2A7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72A7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2A7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2A7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2A7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2A7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72A74"/>
  </w:style>
  <w:style w:type="paragraph" w:customStyle="1" w:styleId="Blocks">
    <w:name w:val="Blocks"/>
    <w:aliases w:val="bb"/>
    <w:basedOn w:val="OPCParaBase"/>
    <w:qFormat/>
    <w:rsid w:val="00C72A74"/>
    <w:pPr>
      <w:spacing w:line="240" w:lineRule="auto"/>
    </w:pPr>
    <w:rPr>
      <w:sz w:val="24"/>
    </w:rPr>
  </w:style>
  <w:style w:type="paragraph" w:customStyle="1" w:styleId="BoxText">
    <w:name w:val="BoxText"/>
    <w:aliases w:val="bt"/>
    <w:basedOn w:val="OPCParaBase"/>
    <w:qFormat/>
    <w:rsid w:val="00C72A7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2A74"/>
    <w:rPr>
      <w:b/>
    </w:rPr>
  </w:style>
  <w:style w:type="paragraph" w:customStyle="1" w:styleId="BoxHeadItalic">
    <w:name w:val="BoxHeadItalic"/>
    <w:aliases w:val="bhi"/>
    <w:basedOn w:val="BoxText"/>
    <w:next w:val="BoxStep"/>
    <w:qFormat/>
    <w:rsid w:val="00C72A74"/>
    <w:rPr>
      <w:i/>
    </w:rPr>
  </w:style>
  <w:style w:type="paragraph" w:customStyle="1" w:styleId="BoxList">
    <w:name w:val="BoxList"/>
    <w:aliases w:val="bl"/>
    <w:basedOn w:val="BoxText"/>
    <w:qFormat/>
    <w:rsid w:val="00C72A74"/>
    <w:pPr>
      <w:ind w:left="1559" w:hanging="425"/>
    </w:pPr>
  </w:style>
  <w:style w:type="paragraph" w:customStyle="1" w:styleId="BoxNote">
    <w:name w:val="BoxNote"/>
    <w:aliases w:val="bn"/>
    <w:basedOn w:val="BoxText"/>
    <w:qFormat/>
    <w:rsid w:val="00C72A74"/>
    <w:pPr>
      <w:tabs>
        <w:tab w:val="left" w:pos="1985"/>
      </w:tabs>
      <w:spacing w:before="122" w:line="198" w:lineRule="exact"/>
      <w:ind w:left="2948" w:hanging="1814"/>
    </w:pPr>
    <w:rPr>
      <w:sz w:val="18"/>
    </w:rPr>
  </w:style>
  <w:style w:type="paragraph" w:customStyle="1" w:styleId="BoxPara">
    <w:name w:val="BoxPara"/>
    <w:aliases w:val="bp"/>
    <w:basedOn w:val="BoxText"/>
    <w:qFormat/>
    <w:rsid w:val="00C72A74"/>
    <w:pPr>
      <w:tabs>
        <w:tab w:val="right" w:pos="2268"/>
      </w:tabs>
      <w:ind w:left="2552" w:hanging="1418"/>
    </w:pPr>
  </w:style>
  <w:style w:type="paragraph" w:customStyle="1" w:styleId="BoxStep">
    <w:name w:val="BoxStep"/>
    <w:aliases w:val="bs"/>
    <w:basedOn w:val="BoxText"/>
    <w:qFormat/>
    <w:rsid w:val="00C72A74"/>
    <w:pPr>
      <w:ind w:left="1985" w:hanging="851"/>
    </w:pPr>
  </w:style>
  <w:style w:type="character" w:customStyle="1" w:styleId="CharAmPartNo">
    <w:name w:val="CharAmPartNo"/>
    <w:basedOn w:val="OPCCharBase"/>
    <w:uiPriority w:val="1"/>
    <w:qFormat/>
    <w:rsid w:val="00C72A74"/>
  </w:style>
  <w:style w:type="character" w:customStyle="1" w:styleId="CharAmPartText">
    <w:name w:val="CharAmPartText"/>
    <w:basedOn w:val="OPCCharBase"/>
    <w:uiPriority w:val="1"/>
    <w:qFormat/>
    <w:rsid w:val="00C72A74"/>
  </w:style>
  <w:style w:type="character" w:customStyle="1" w:styleId="CharBoldItalic">
    <w:name w:val="CharBoldItalic"/>
    <w:basedOn w:val="OPCCharBase"/>
    <w:uiPriority w:val="1"/>
    <w:qFormat/>
    <w:rsid w:val="00C72A74"/>
    <w:rPr>
      <w:b/>
      <w:i/>
    </w:rPr>
  </w:style>
  <w:style w:type="character" w:customStyle="1" w:styleId="CharItalic">
    <w:name w:val="CharItalic"/>
    <w:basedOn w:val="OPCCharBase"/>
    <w:uiPriority w:val="1"/>
    <w:qFormat/>
    <w:rsid w:val="00C72A74"/>
    <w:rPr>
      <w:i/>
    </w:rPr>
  </w:style>
  <w:style w:type="character" w:customStyle="1" w:styleId="CharSubdNo">
    <w:name w:val="CharSubdNo"/>
    <w:basedOn w:val="OPCCharBase"/>
    <w:uiPriority w:val="1"/>
    <w:qFormat/>
    <w:rsid w:val="00C72A74"/>
  </w:style>
  <w:style w:type="character" w:customStyle="1" w:styleId="CharSubdText">
    <w:name w:val="CharSubdText"/>
    <w:basedOn w:val="OPCCharBase"/>
    <w:uiPriority w:val="1"/>
    <w:qFormat/>
    <w:rsid w:val="00C72A74"/>
  </w:style>
  <w:style w:type="paragraph" w:customStyle="1" w:styleId="CTA--">
    <w:name w:val="CTA --"/>
    <w:basedOn w:val="OPCParaBase"/>
    <w:next w:val="Normal"/>
    <w:rsid w:val="00C72A74"/>
    <w:pPr>
      <w:spacing w:before="60" w:line="240" w:lineRule="atLeast"/>
      <w:ind w:left="142" w:hanging="142"/>
    </w:pPr>
    <w:rPr>
      <w:sz w:val="20"/>
    </w:rPr>
  </w:style>
  <w:style w:type="paragraph" w:customStyle="1" w:styleId="CTA-">
    <w:name w:val="CTA -"/>
    <w:basedOn w:val="OPCParaBase"/>
    <w:rsid w:val="00C72A74"/>
    <w:pPr>
      <w:spacing w:before="60" w:line="240" w:lineRule="atLeast"/>
      <w:ind w:left="85" w:hanging="85"/>
    </w:pPr>
    <w:rPr>
      <w:sz w:val="20"/>
    </w:rPr>
  </w:style>
  <w:style w:type="paragraph" w:customStyle="1" w:styleId="CTA---">
    <w:name w:val="CTA ---"/>
    <w:basedOn w:val="OPCParaBase"/>
    <w:next w:val="Normal"/>
    <w:rsid w:val="00C72A74"/>
    <w:pPr>
      <w:spacing w:before="60" w:line="240" w:lineRule="atLeast"/>
      <w:ind w:left="198" w:hanging="198"/>
    </w:pPr>
    <w:rPr>
      <w:sz w:val="20"/>
    </w:rPr>
  </w:style>
  <w:style w:type="paragraph" w:customStyle="1" w:styleId="CTA----">
    <w:name w:val="CTA ----"/>
    <w:basedOn w:val="OPCParaBase"/>
    <w:next w:val="Normal"/>
    <w:rsid w:val="00C72A74"/>
    <w:pPr>
      <w:spacing w:before="60" w:line="240" w:lineRule="atLeast"/>
      <w:ind w:left="255" w:hanging="255"/>
    </w:pPr>
    <w:rPr>
      <w:sz w:val="20"/>
    </w:rPr>
  </w:style>
  <w:style w:type="paragraph" w:customStyle="1" w:styleId="CTA1a">
    <w:name w:val="CTA 1(a)"/>
    <w:basedOn w:val="OPCParaBase"/>
    <w:rsid w:val="00C72A74"/>
    <w:pPr>
      <w:tabs>
        <w:tab w:val="right" w:pos="414"/>
      </w:tabs>
      <w:spacing w:before="40" w:line="240" w:lineRule="atLeast"/>
      <w:ind w:left="675" w:hanging="675"/>
    </w:pPr>
    <w:rPr>
      <w:sz w:val="20"/>
    </w:rPr>
  </w:style>
  <w:style w:type="paragraph" w:customStyle="1" w:styleId="CTA1ai">
    <w:name w:val="CTA 1(a)(i)"/>
    <w:basedOn w:val="OPCParaBase"/>
    <w:rsid w:val="00C72A74"/>
    <w:pPr>
      <w:tabs>
        <w:tab w:val="right" w:pos="1004"/>
      </w:tabs>
      <w:spacing w:before="40" w:line="240" w:lineRule="atLeast"/>
      <w:ind w:left="1253" w:hanging="1253"/>
    </w:pPr>
    <w:rPr>
      <w:sz w:val="20"/>
    </w:rPr>
  </w:style>
  <w:style w:type="paragraph" w:customStyle="1" w:styleId="CTA2a">
    <w:name w:val="CTA 2(a)"/>
    <w:basedOn w:val="OPCParaBase"/>
    <w:rsid w:val="00C72A74"/>
    <w:pPr>
      <w:tabs>
        <w:tab w:val="right" w:pos="482"/>
      </w:tabs>
      <w:spacing w:before="40" w:line="240" w:lineRule="atLeast"/>
      <w:ind w:left="748" w:hanging="748"/>
    </w:pPr>
    <w:rPr>
      <w:sz w:val="20"/>
    </w:rPr>
  </w:style>
  <w:style w:type="paragraph" w:customStyle="1" w:styleId="CTA2ai">
    <w:name w:val="CTA 2(a)(i)"/>
    <w:basedOn w:val="OPCParaBase"/>
    <w:rsid w:val="00C72A74"/>
    <w:pPr>
      <w:tabs>
        <w:tab w:val="right" w:pos="1089"/>
      </w:tabs>
      <w:spacing w:before="40" w:line="240" w:lineRule="atLeast"/>
      <w:ind w:left="1327" w:hanging="1327"/>
    </w:pPr>
    <w:rPr>
      <w:sz w:val="20"/>
    </w:rPr>
  </w:style>
  <w:style w:type="paragraph" w:customStyle="1" w:styleId="CTA3a">
    <w:name w:val="CTA 3(a)"/>
    <w:basedOn w:val="OPCParaBase"/>
    <w:rsid w:val="00C72A74"/>
    <w:pPr>
      <w:tabs>
        <w:tab w:val="right" w:pos="556"/>
      </w:tabs>
      <w:spacing w:before="40" w:line="240" w:lineRule="atLeast"/>
      <w:ind w:left="805" w:hanging="805"/>
    </w:pPr>
    <w:rPr>
      <w:sz w:val="20"/>
    </w:rPr>
  </w:style>
  <w:style w:type="paragraph" w:customStyle="1" w:styleId="CTA3ai">
    <w:name w:val="CTA 3(a)(i)"/>
    <w:basedOn w:val="OPCParaBase"/>
    <w:rsid w:val="00C72A74"/>
    <w:pPr>
      <w:tabs>
        <w:tab w:val="right" w:pos="1140"/>
      </w:tabs>
      <w:spacing w:before="40" w:line="240" w:lineRule="atLeast"/>
      <w:ind w:left="1361" w:hanging="1361"/>
    </w:pPr>
    <w:rPr>
      <w:sz w:val="20"/>
    </w:rPr>
  </w:style>
  <w:style w:type="paragraph" w:customStyle="1" w:styleId="CTA4a">
    <w:name w:val="CTA 4(a)"/>
    <w:basedOn w:val="OPCParaBase"/>
    <w:rsid w:val="00C72A74"/>
    <w:pPr>
      <w:tabs>
        <w:tab w:val="right" w:pos="624"/>
      </w:tabs>
      <w:spacing w:before="40" w:line="240" w:lineRule="atLeast"/>
      <w:ind w:left="873" w:hanging="873"/>
    </w:pPr>
    <w:rPr>
      <w:sz w:val="20"/>
    </w:rPr>
  </w:style>
  <w:style w:type="paragraph" w:customStyle="1" w:styleId="CTA4ai">
    <w:name w:val="CTA 4(a)(i)"/>
    <w:basedOn w:val="OPCParaBase"/>
    <w:rsid w:val="00C72A74"/>
    <w:pPr>
      <w:tabs>
        <w:tab w:val="right" w:pos="1213"/>
      </w:tabs>
      <w:spacing w:before="40" w:line="240" w:lineRule="atLeast"/>
      <w:ind w:left="1452" w:hanging="1452"/>
    </w:pPr>
    <w:rPr>
      <w:sz w:val="20"/>
    </w:rPr>
  </w:style>
  <w:style w:type="paragraph" w:customStyle="1" w:styleId="CTACAPS">
    <w:name w:val="CTA CAPS"/>
    <w:basedOn w:val="OPCParaBase"/>
    <w:rsid w:val="00C72A74"/>
    <w:pPr>
      <w:spacing w:before="60" w:line="240" w:lineRule="atLeast"/>
    </w:pPr>
    <w:rPr>
      <w:sz w:val="20"/>
    </w:rPr>
  </w:style>
  <w:style w:type="paragraph" w:customStyle="1" w:styleId="CTAright">
    <w:name w:val="CTA right"/>
    <w:basedOn w:val="OPCParaBase"/>
    <w:rsid w:val="00C72A74"/>
    <w:pPr>
      <w:spacing w:before="60" w:line="240" w:lineRule="auto"/>
      <w:jc w:val="right"/>
    </w:pPr>
    <w:rPr>
      <w:sz w:val="20"/>
    </w:rPr>
  </w:style>
  <w:style w:type="paragraph" w:customStyle="1" w:styleId="Definition">
    <w:name w:val="Definition"/>
    <w:aliases w:val="dd"/>
    <w:basedOn w:val="OPCParaBase"/>
    <w:rsid w:val="00C72A74"/>
    <w:pPr>
      <w:spacing w:before="180" w:line="240" w:lineRule="auto"/>
      <w:ind w:left="1134"/>
    </w:pPr>
  </w:style>
  <w:style w:type="paragraph" w:customStyle="1" w:styleId="EndNotespara">
    <w:name w:val="EndNotes(para)"/>
    <w:aliases w:val="eta"/>
    <w:basedOn w:val="OPCParaBase"/>
    <w:next w:val="EndNotessubpara"/>
    <w:rsid w:val="00C72A7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72A7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72A7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72A74"/>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C72A74"/>
    <w:rPr>
      <w:sz w:val="16"/>
    </w:rPr>
  </w:style>
  <w:style w:type="paragraph" w:customStyle="1" w:styleId="House">
    <w:name w:val="House"/>
    <w:basedOn w:val="OPCParaBase"/>
    <w:rsid w:val="00C72A74"/>
    <w:pPr>
      <w:spacing w:line="240" w:lineRule="auto"/>
    </w:pPr>
    <w:rPr>
      <w:sz w:val="28"/>
    </w:rPr>
  </w:style>
  <w:style w:type="paragraph" w:customStyle="1" w:styleId="Item">
    <w:name w:val="Item"/>
    <w:aliases w:val="i"/>
    <w:basedOn w:val="OPCParaBase"/>
    <w:next w:val="ItemHead"/>
    <w:rsid w:val="00C72A74"/>
    <w:pPr>
      <w:keepLines/>
      <w:spacing w:before="80" w:line="240" w:lineRule="auto"/>
      <w:ind w:left="709"/>
    </w:pPr>
  </w:style>
  <w:style w:type="paragraph" w:customStyle="1" w:styleId="ItemHead">
    <w:name w:val="ItemHead"/>
    <w:aliases w:val="ih"/>
    <w:basedOn w:val="OPCParaBase"/>
    <w:next w:val="Item"/>
    <w:rsid w:val="00C72A7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2A74"/>
    <w:pPr>
      <w:spacing w:line="240" w:lineRule="auto"/>
    </w:pPr>
    <w:rPr>
      <w:b/>
      <w:sz w:val="32"/>
    </w:rPr>
  </w:style>
  <w:style w:type="paragraph" w:customStyle="1" w:styleId="notedraft">
    <w:name w:val="note(draft)"/>
    <w:aliases w:val="nd"/>
    <w:basedOn w:val="OPCParaBase"/>
    <w:rsid w:val="00C72A74"/>
    <w:pPr>
      <w:spacing w:before="240" w:line="240" w:lineRule="auto"/>
      <w:ind w:left="284" w:hanging="284"/>
    </w:pPr>
    <w:rPr>
      <w:i/>
      <w:sz w:val="24"/>
    </w:rPr>
  </w:style>
  <w:style w:type="paragraph" w:customStyle="1" w:styleId="notemargin">
    <w:name w:val="note(margin)"/>
    <w:aliases w:val="nm"/>
    <w:basedOn w:val="OPCParaBase"/>
    <w:rsid w:val="00C72A74"/>
    <w:pPr>
      <w:tabs>
        <w:tab w:val="left" w:pos="709"/>
      </w:tabs>
      <w:spacing w:before="122" w:line="198" w:lineRule="exact"/>
      <w:ind w:left="709" w:hanging="709"/>
    </w:pPr>
    <w:rPr>
      <w:sz w:val="18"/>
    </w:rPr>
  </w:style>
  <w:style w:type="paragraph" w:customStyle="1" w:styleId="noteToPara">
    <w:name w:val="noteToPara"/>
    <w:aliases w:val="ntp"/>
    <w:basedOn w:val="OPCParaBase"/>
    <w:rsid w:val="00C72A74"/>
    <w:pPr>
      <w:spacing w:before="122" w:line="198" w:lineRule="exact"/>
      <w:ind w:left="2353" w:hanging="709"/>
    </w:pPr>
    <w:rPr>
      <w:sz w:val="18"/>
    </w:rPr>
  </w:style>
  <w:style w:type="paragraph" w:customStyle="1" w:styleId="noteParlAmend">
    <w:name w:val="note(ParlAmend)"/>
    <w:aliases w:val="npp"/>
    <w:basedOn w:val="OPCParaBase"/>
    <w:next w:val="ParlAmend"/>
    <w:rsid w:val="00C72A74"/>
    <w:pPr>
      <w:spacing w:line="240" w:lineRule="auto"/>
      <w:jc w:val="right"/>
    </w:pPr>
    <w:rPr>
      <w:rFonts w:ascii="Arial" w:hAnsi="Arial"/>
      <w:b/>
      <w:i/>
    </w:rPr>
  </w:style>
  <w:style w:type="paragraph" w:customStyle="1" w:styleId="Page1">
    <w:name w:val="Page1"/>
    <w:basedOn w:val="OPCParaBase"/>
    <w:rsid w:val="00C72A74"/>
    <w:pPr>
      <w:spacing w:before="5600" w:line="240" w:lineRule="auto"/>
    </w:pPr>
    <w:rPr>
      <w:b/>
      <w:sz w:val="32"/>
    </w:rPr>
  </w:style>
  <w:style w:type="paragraph" w:customStyle="1" w:styleId="paragraphsub">
    <w:name w:val="paragraph(sub)"/>
    <w:aliases w:val="aa"/>
    <w:basedOn w:val="OPCParaBase"/>
    <w:rsid w:val="00C72A74"/>
    <w:pPr>
      <w:tabs>
        <w:tab w:val="right" w:pos="1985"/>
      </w:tabs>
      <w:spacing w:before="40" w:line="240" w:lineRule="auto"/>
      <w:ind w:left="2098" w:hanging="2098"/>
    </w:pPr>
  </w:style>
  <w:style w:type="paragraph" w:customStyle="1" w:styleId="paragraphsub-sub">
    <w:name w:val="paragraph(sub-sub)"/>
    <w:aliases w:val="aaa"/>
    <w:basedOn w:val="OPCParaBase"/>
    <w:rsid w:val="00C72A74"/>
    <w:pPr>
      <w:tabs>
        <w:tab w:val="right" w:pos="2722"/>
      </w:tabs>
      <w:spacing w:before="40" w:line="240" w:lineRule="auto"/>
      <w:ind w:left="2835" w:hanging="2835"/>
    </w:pPr>
  </w:style>
  <w:style w:type="paragraph" w:customStyle="1" w:styleId="ParlAmend">
    <w:name w:val="ParlAmend"/>
    <w:aliases w:val="pp"/>
    <w:basedOn w:val="OPCParaBase"/>
    <w:rsid w:val="00C72A74"/>
    <w:pPr>
      <w:spacing w:before="240" w:line="240" w:lineRule="atLeast"/>
      <w:ind w:hanging="567"/>
    </w:pPr>
    <w:rPr>
      <w:sz w:val="24"/>
    </w:rPr>
  </w:style>
  <w:style w:type="paragraph" w:customStyle="1" w:styleId="Portfolio">
    <w:name w:val="Portfolio"/>
    <w:basedOn w:val="OPCParaBase"/>
    <w:rsid w:val="00C72A74"/>
    <w:pPr>
      <w:spacing w:line="240" w:lineRule="auto"/>
    </w:pPr>
    <w:rPr>
      <w:i/>
      <w:sz w:val="20"/>
    </w:rPr>
  </w:style>
  <w:style w:type="paragraph" w:customStyle="1" w:styleId="Preamble">
    <w:name w:val="Preamble"/>
    <w:basedOn w:val="OPCParaBase"/>
    <w:next w:val="Normal"/>
    <w:rsid w:val="00C72A7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2A74"/>
    <w:pPr>
      <w:spacing w:line="240" w:lineRule="auto"/>
    </w:pPr>
    <w:rPr>
      <w:i/>
      <w:sz w:val="20"/>
    </w:rPr>
  </w:style>
  <w:style w:type="paragraph" w:customStyle="1" w:styleId="Session">
    <w:name w:val="Session"/>
    <w:basedOn w:val="OPCParaBase"/>
    <w:rsid w:val="00C72A74"/>
    <w:pPr>
      <w:spacing w:line="240" w:lineRule="auto"/>
    </w:pPr>
    <w:rPr>
      <w:sz w:val="28"/>
    </w:rPr>
  </w:style>
  <w:style w:type="paragraph" w:customStyle="1" w:styleId="Sponsor">
    <w:name w:val="Sponsor"/>
    <w:basedOn w:val="OPCParaBase"/>
    <w:rsid w:val="00C72A74"/>
    <w:pPr>
      <w:spacing w:line="240" w:lineRule="auto"/>
    </w:pPr>
    <w:rPr>
      <w:i/>
    </w:rPr>
  </w:style>
  <w:style w:type="paragraph" w:customStyle="1" w:styleId="Subitem">
    <w:name w:val="Subitem"/>
    <w:aliases w:val="iss"/>
    <w:basedOn w:val="OPCParaBase"/>
    <w:rsid w:val="00C72A74"/>
    <w:pPr>
      <w:spacing w:before="180" w:line="240" w:lineRule="auto"/>
      <w:ind w:left="709" w:hanging="709"/>
    </w:pPr>
  </w:style>
  <w:style w:type="paragraph" w:customStyle="1" w:styleId="SubitemHead">
    <w:name w:val="SubitemHead"/>
    <w:aliases w:val="issh"/>
    <w:basedOn w:val="OPCParaBase"/>
    <w:rsid w:val="00C72A7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2A74"/>
    <w:pPr>
      <w:spacing w:before="40" w:line="240" w:lineRule="auto"/>
      <w:ind w:left="1134"/>
    </w:pPr>
  </w:style>
  <w:style w:type="paragraph" w:customStyle="1" w:styleId="SubsectionHead">
    <w:name w:val="SubsectionHead"/>
    <w:aliases w:val="ssh"/>
    <w:basedOn w:val="OPCParaBase"/>
    <w:next w:val="subsection"/>
    <w:rsid w:val="00C72A74"/>
    <w:pPr>
      <w:keepNext/>
      <w:keepLines/>
      <w:spacing w:before="240" w:line="240" w:lineRule="auto"/>
      <w:ind w:left="1134"/>
    </w:pPr>
    <w:rPr>
      <w:i/>
    </w:rPr>
  </w:style>
  <w:style w:type="paragraph" w:customStyle="1" w:styleId="Tablea">
    <w:name w:val="Table(a)"/>
    <w:aliases w:val="ta"/>
    <w:basedOn w:val="OPCParaBase"/>
    <w:rsid w:val="00C72A74"/>
    <w:pPr>
      <w:spacing w:before="60" w:line="240" w:lineRule="auto"/>
      <w:ind w:left="284" w:hanging="284"/>
    </w:pPr>
    <w:rPr>
      <w:sz w:val="20"/>
    </w:rPr>
  </w:style>
  <w:style w:type="paragraph" w:customStyle="1" w:styleId="TableAA">
    <w:name w:val="Table(AA)"/>
    <w:aliases w:val="taaa"/>
    <w:basedOn w:val="OPCParaBase"/>
    <w:rsid w:val="00C72A7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2A7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2A74"/>
    <w:pPr>
      <w:spacing w:before="60" w:line="240" w:lineRule="atLeast"/>
    </w:pPr>
    <w:rPr>
      <w:sz w:val="20"/>
    </w:rPr>
  </w:style>
  <w:style w:type="paragraph" w:customStyle="1" w:styleId="TLPBoxTextnote">
    <w:name w:val="TLPBoxText(note"/>
    <w:aliases w:val="right)"/>
    <w:basedOn w:val="OPCParaBase"/>
    <w:rsid w:val="00C72A7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2A74"/>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2A74"/>
    <w:pPr>
      <w:spacing w:before="122" w:line="198" w:lineRule="exact"/>
      <w:ind w:left="1985" w:hanging="851"/>
      <w:jc w:val="right"/>
    </w:pPr>
    <w:rPr>
      <w:sz w:val="18"/>
    </w:rPr>
  </w:style>
  <w:style w:type="paragraph" w:customStyle="1" w:styleId="TLPTableBullet">
    <w:name w:val="TLPTableBullet"/>
    <w:aliases w:val="ttb"/>
    <w:basedOn w:val="OPCParaBase"/>
    <w:rsid w:val="00C72A74"/>
    <w:pPr>
      <w:spacing w:line="240" w:lineRule="exact"/>
      <w:ind w:left="284" w:hanging="284"/>
    </w:pPr>
    <w:rPr>
      <w:sz w:val="20"/>
    </w:rPr>
  </w:style>
  <w:style w:type="paragraph" w:customStyle="1" w:styleId="TofSectsGroupHeading">
    <w:name w:val="TofSects(GroupHeading)"/>
    <w:basedOn w:val="OPCParaBase"/>
    <w:next w:val="TofSectsSection"/>
    <w:rsid w:val="00C72A74"/>
    <w:pPr>
      <w:keepLines/>
      <w:spacing w:before="240" w:after="120" w:line="240" w:lineRule="auto"/>
      <w:ind w:left="794"/>
    </w:pPr>
    <w:rPr>
      <w:b/>
      <w:kern w:val="28"/>
      <w:sz w:val="20"/>
    </w:rPr>
  </w:style>
  <w:style w:type="paragraph" w:customStyle="1" w:styleId="TofSectsHeading">
    <w:name w:val="TofSects(Heading)"/>
    <w:basedOn w:val="OPCParaBase"/>
    <w:rsid w:val="00C72A74"/>
    <w:pPr>
      <w:spacing w:before="240" w:after="120" w:line="240" w:lineRule="auto"/>
    </w:pPr>
    <w:rPr>
      <w:b/>
      <w:sz w:val="24"/>
    </w:rPr>
  </w:style>
  <w:style w:type="paragraph" w:customStyle="1" w:styleId="TofSectsSection">
    <w:name w:val="TofSects(Section)"/>
    <w:basedOn w:val="OPCParaBase"/>
    <w:rsid w:val="00C72A74"/>
    <w:pPr>
      <w:keepLines/>
      <w:spacing w:before="40" w:line="240" w:lineRule="auto"/>
      <w:ind w:left="1588" w:hanging="794"/>
    </w:pPr>
    <w:rPr>
      <w:kern w:val="28"/>
      <w:sz w:val="18"/>
    </w:rPr>
  </w:style>
  <w:style w:type="paragraph" w:customStyle="1" w:styleId="TofSectsSubdiv">
    <w:name w:val="TofSects(Subdiv)"/>
    <w:basedOn w:val="OPCParaBase"/>
    <w:rsid w:val="00C72A74"/>
    <w:pPr>
      <w:keepLines/>
      <w:spacing w:before="80" w:line="240" w:lineRule="auto"/>
      <w:ind w:left="1588" w:hanging="794"/>
    </w:pPr>
    <w:rPr>
      <w:kern w:val="28"/>
    </w:rPr>
  </w:style>
  <w:style w:type="paragraph" w:customStyle="1" w:styleId="WRStyle">
    <w:name w:val="WR Style"/>
    <w:aliases w:val="WR"/>
    <w:basedOn w:val="OPCParaBase"/>
    <w:rsid w:val="00C72A74"/>
    <w:pPr>
      <w:spacing w:before="240" w:line="240" w:lineRule="auto"/>
      <w:ind w:left="284" w:hanging="284"/>
    </w:pPr>
    <w:rPr>
      <w:b/>
      <w:i/>
      <w:kern w:val="28"/>
      <w:sz w:val="24"/>
    </w:rPr>
  </w:style>
  <w:style w:type="paragraph" w:customStyle="1" w:styleId="notepara">
    <w:name w:val="note(para)"/>
    <w:aliases w:val="na"/>
    <w:basedOn w:val="OPCParaBase"/>
    <w:rsid w:val="00C72A74"/>
    <w:pPr>
      <w:spacing w:before="40" w:line="198" w:lineRule="exact"/>
      <w:ind w:left="2354" w:hanging="369"/>
    </w:pPr>
    <w:rPr>
      <w:sz w:val="18"/>
    </w:rPr>
  </w:style>
  <w:style w:type="character" w:customStyle="1" w:styleId="FooterChar">
    <w:name w:val="Footer Char"/>
    <w:basedOn w:val="DefaultParagraphFont"/>
    <w:link w:val="Footer"/>
    <w:rsid w:val="00C72A74"/>
    <w:rPr>
      <w:sz w:val="22"/>
      <w:szCs w:val="24"/>
    </w:rPr>
  </w:style>
  <w:style w:type="table" w:customStyle="1" w:styleId="CFlag">
    <w:name w:val="CFlag"/>
    <w:basedOn w:val="TableNormal"/>
    <w:uiPriority w:val="99"/>
    <w:rsid w:val="00C72A74"/>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C72A74"/>
    <w:rPr>
      <w:rFonts w:ascii="Tahoma" w:eastAsiaTheme="minorHAnsi" w:hAnsi="Tahoma" w:cs="Tahoma"/>
      <w:sz w:val="16"/>
      <w:szCs w:val="16"/>
      <w:lang w:eastAsia="en-US"/>
    </w:rPr>
  </w:style>
  <w:style w:type="paragraph" w:customStyle="1" w:styleId="InstNo">
    <w:name w:val="InstNo"/>
    <w:basedOn w:val="OPCParaBase"/>
    <w:next w:val="Normal"/>
    <w:rsid w:val="00C72A74"/>
    <w:rPr>
      <w:b/>
      <w:sz w:val="28"/>
      <w:szCs w:val="32"/>
    </w:rPr>
  </w:style>
  <w:style w:type="paragraph" w:customStyle="1" w:styleId="LegislationMadeUnder">
    <w:name w:val="LegislationMadeUnder"/>
    <w:basedOn w:val="OPCParaBase"/>
    <w:next w:val="Normal"/>
    <w:rsid w:val="00C72A74"/>
    <w:rPr>
      <w:i/>
      <w:sz w:val="32"/>
      <w:szCs w:val="32"/>
    </w:rPr>
  </w:style>
  <w:style w:type="paragraph" w:customStyle="1" w:styleId="SubPartCASA">
    <w:name w:val="SubPart(CASA)"/>
    <w:aliases w:val="csp"/>
    <w:basedOn w:val="OPCParaBase"/>
    <w:next w:val="ActHead3"/>
    <w:rsid w:val="00C72A74"/>
    <w:pPr>
      <w:keepNext/>
      <w:keepLines/>
      <w:spacing w:before="280"/>
      <w:outlineLvl w:val="1"/>
    </w:pPr>
    <w:rPr>
      <w:b/>
      <w:kern w:val="28"/>
      <w:sz w:val="32"/>
    </w:rPr>
  </w:style>
  <w:style w:type="paragraph" w:customStyle="1" w:styleId="SignCoverPageEnd">
    <w:name w:val="SignCoverPageEnd"/>
    <w:basedOn w:val="OPCParaBase"/>
    <w:next w:val="Normal"/>
    <w:rsid w:val="00C72A74"/>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72A74"/>
    <w:pPr>
      <w:pBdr>
        <w:top w:val="single" w:sz="4" w:space="1" w:color="auto"/>
      </w:pBdr>
      <w:spacing w:before="360"/>
      <w:ind w:right="397"/>
      <w:jc w:val="both"/>
    </w:pPr>
  </w:style>
  <w:style w:type="paragraph" w:customStyle="1" w:styleId="NotesHeading1">
    <w:name w:val="NotesHeading 1"/>
    <w:basedOn w:val="OPCParaBase"/>
    <w:next w:val="Normal"/>
    <w:rsid w:val="00C72A74"/>
    <w:pPr>
      <w:outlineLvl w:val="0"/>
    </w:pPr>
    <w:rPr>
      <w:b/>
      <w:sz w:val="28"/>
      <w:szCs w:val="28"/>
    </w:rPr>
  </w:style>
  <w:style w:type="paragraph" w:customStyle="1" w:styleId="NotesHeading2">
    <w:name w:val="NotesHeading 2"/>
    <w:basedOn w:val="OPCParaBase"/>
    <w:next w:val="Normal"/>
    <w:rsid w:val="00C72A74"/>
    <w:rPr>
      <w:b/>
      <w:sz w:val="28"/>
      <w:szCs w:val="28"/>
    </w:rPr>
  </w:style>
  <w:style w:type="paragraph" w:customStyle="1" w:styleId="CompiledActNo">
    <w:name w:val="CompiledActNo"/>
    <w:basedOn w:val="OPCParaBase"/>
    <w:next w:val="Normal"/>
    <w:rsid w:val="00C72A74"/>
    <w:rPr>
      <w:b/>
      <w:sz w:val="24"/>
      <w:szCs w:val="24"/>
    </w:rPr>
  </w:style>
  <w:style w:type="paragraph" w:customStyle="1" w:styleId="ENotesText">
    <w:name w:val="ENotesText"/>
    <w:aliases w:val="Ent,ENt"/>
    <w:basedOn w:val="OPCParaBase"/>
    <w:next w:val="Normal"/>
    <w:rsid w:val="00C72A74"/>
    <w:pPr>
      <w:spacing w:before="120"/>
    </w:pPr>
  </w:style>
  <w:style w:type="paragraph" w:customStyle="1" w:styleId="CompiledMadeUnder">
    <w:name w:val="CompiledMadeUnder"/>
    <w:basedOn w:val="OPCParaBase"/>
    <w:next w:val="Normal"/>
    <w:rsid w:val="00C72A74"/>
    <w:rPr>
      <w:i/>
      <w:sz w:val="24"/>
      <w:szCs w:val="24"/>
    </w:rPr>
  </w:style>
  <w:style w:type="paragraph" w:customStyle="1" w:styleId="Paragraphsub-sub-sub">
    <w:name w:val="Paragraph(sub-sub-sub)"/>
    <w:aliases w:val="aaaa"/>
    <w:basedOn w:val="OPCParaBase"/>
    <w:rsid w:val="00C72A74"/>
    <w:pPr>
      <w:tabs>
        <w:tab w:val="right" w:pos="3402"/>
      </w:tabs>
      <w:spacing w:before="40" w:line="240" w:lineRule="auto"/>
      <w:ind w:left="3402" w:hanging="3402"/>
    </w:pPr>
  </w:style>
  <w:style w:type="paragraph" w:customStyle="1" w:styleId="TableTextEndNotes">
    <w:name w:val="TableTextEndNotes"/>
    <w:aliases w:val="Tten"/>
    <w:basedOn w:val="Normal"/>
    <w:rsid w:val="00C72A74"/>
    <w:pPr>
      <w:spacing w:before="60" w:line="240" w:lineRule="auto"/>
    </w:pPr>
    <w:rPr>
      <w:rFonts w:cs="Arial"/>
      <w:sz w:val="20"/>
      <w:szCs w:val="22"/>
    </w:rPr>
  </w:style>
  <w:style w:type="paragraph" w:customStyle="1" w:styleId="TableHeading">
    <w:name w:val="TableHeading"/>
    <w:aliases w:val="th"/>
    <w:basedOn w:val="OPCParaBase"/>
    <w:next w:val="Tabletext"/>
    <w:rsid w:val="00C72A74"/>
    <w:pPr>
      <w:keepNext/>
      <w:spacing w:before="60" w:line="240" w:lineRule="atLeast"/>
    </w:pPr>
    <w:rPr>
      <w:b/>
      <w:sz w:val="20"/>
    </w:rPr>
  </w:style>
  <w:style w:type="paragraph" w:customStyle="1" w:styleId="NoteToSubpara">
    <w:name w:val="NoteToSubpara"/>
    <w:aliases w:val="nts"/>
    <w:basedOn w:val="OPCParaBase"/>
    <w:rsid w:val="00C72A74"/>
    <w:pPr>
      <w:spacing w:before="40" w:line="198" w:lineRule="exact"/>
      <w:ind w:left="2835" w:hanging="709"/>
    </w:pPr>
    <w:rPr>
      <w:sz w:val="18"/>
    </w:rPr>
  </w:style>
  <w:style w:type="paragraph" w:customStyle="1" w:styleId="ENoteTableHeading">
    <w:name w:val="ENoteTableHeading"/>
    <w:aliases w:val="enth"/>
    <w:basedOn w:val="OPCParaBase"/>
    <w:rsid w:val="00C72A74"/>
    <w:pPr>
      <w:keepNext/>
      <w:spacing w:before="60" w:line="240" w:lineRule="atLeast"/>
    </w:pPr>
    <w:rPr>
      <w:rFonts w:ascii="Arial" w:hAnsi="Arial"/>
      <w:b/>
      <w:sz w:val="16"/>
    </w:rPr>
  </w:style>
  <w:style w:type="paragraph" w:customStyle="1" w:styleId="ENoteTTi">
    <w:name w:val="ENoteTTi"/>
    <w:aliases w:val="entti"/>
    <w:basedOn w:val="OPCParaBase"/>
    <w:rsid w:val="00C72A74"/>
    <w:pPr>
      <w:keepNext/>
      <w:spacing w:before="60" w:line="240" w:lineRule="atLeast"/>
      <w:ind w:left="170"/>
    </w:pPr>
    <w:rPr>
      <w:sz w:val="16"/>
    </w:rPr>
  </w:style>
  <w:style w:type="paragraph" w:customStyle="1" w:styleId="ENotesHeading1">
    <w:name w:val="ENotesHeading 1"/>
    <w:aliases w:val="Enh1"/>
    <w:basedOn w:val="OPCParaBase"/>
    <w:next w:val="Normal"/>
    <w:rsid w:val="00C72A74"/>
    <w:pPr>
      <w:spacing w:before="120"/>
      <w:outlineLvl w:val="1"/>
    </w:pPr>
    <w:rPr>
      <w:b/>
      <w:sz w:val="28"/>
      <w:szCs w:val="28"/>
    </w:rPr>
  </w:style>
  <w:style w:type="paragraph" w:customStyle="1" w:styleId="ENotesHeading2">
    <w:name w:val="ENotesHeading 2"/>
    <w:aliases w:val="Enh2,ENh2"/>
    <w:basedOn w:val="OPCParaBase"/>
    <w:next w:val="Normal"/>
    <w:rsid w:val="00C72A74"/>
    <w:pPr>
      <w:spacing w:before="120" w:after="120"/>
      <w:outlineLvl w:val="2"/>
    </w:pPr>
    <w:rPr>
      <w:b/>
      <w:sz w:val="24"/>
      <w:szCs w:val="28"/>
    </w:rPr>
  </w:style>
  <w:style w:type="paragraph" w:customStyle="1" w:styleId="ENoteTTIndentHeading">
    <w:name w:val="ENoteTTIndentHeading"/>
    <w:aliases w:val="enTTHi"/>
    <w:basedOn w:val="OPCParaBase"/>
    <w:rsid w:val="00C72A7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72A74"/>
    <w:pPr>
      <w:spacing w:before="60" w:line="240" w:lineRule="atLeast"/>
    </w:pPr>
    <w:rPr>
      <w:sz w:val="16"/>
    </w:rPr>
  </w:style>
  <w:style w:type="paragraph" w:customStyle="1" w:styleId="MadeunderText">
    <w:name w:val="MadeunderText"/>
    <w:basedOn w:val="OPCParaBase"/>
    <w:next w:val="CompiledMadeUnder"/>
    <w:rsid w:val="00C72A74"/>
    <w:pPr>
      <w:spacing w:before="240"/>
    </w:pPr>
    <w:rPr>
      <w:sz w:val="24"/>
      <w:szCs w:val="24"/>
    </w:rPr>
  </w:style>
  <w:style w:type="paragraph" w:customStyle="1" w:styleId="ENotesHeading3">
    <w:name w:val="ENotesHeading 3"/>
    <w:aliases w:val="Enh3"/>
    <w:basedOn w:val="OPCParaBase"/>
    <w:next w:val="Normal"/>
    <w:rsid w:val="00C72A74"/>
    <w:pPr>
      <w:keepNext/>
      <w:spacing w:before="120" w:line="240" w:lineRule="auto"/>
      <w:outlineLvl w:val="4"/>
    </w:pPr>
    <w:rPr>
      <w:b/>
      <w:szCs w:val="24"/>
    </w:rPr>
  </w:style>
  <w:style w:type="table" w:customStyle="1" w:styleId="TableGrid10">
    <w:name w:val="Table Grid1"/>
    <w:basedOn w:val="TableNormal"/>
    <w:next w:val="TableGrid"/>
    <w:uiPriority w:val="59"/>
    <w:rsid w:val="009566E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Num">
    <w:name w:val="BodyNum"/>
    <w:aliases w:val="b1"/>
    <w:basedOn w:val="Normal"/>
    <w:rsid w:val="00EA1252"/>
    <w:pPr>
      <w:numPr>
        <w:numId w:val="37"/>
      </w:numPr>
      <w:spacing w:before="240" w:line="240" w:lineRule="auto"/>
    </w:pPr>
    <w:rPr>
      <w:rFonts w:eastAsia="Times New Roman" w:cs="Times New Roman"/>
      <w:sz w:val="24"/>
      <w:lang w:eastAsia="en-AU"/>
    </w:rPr>
  </w:style>
  <w:style w:type="paragraph" w:customStyle="1" w:styleId="BodyPara">
    <w:name w:val="BodyPara"/>
    <w:aliases w:val="ba"/>
    <w:basedOn w:val="Normal"/>
    <w:rsid w:val="00EA1252"/>
    <w:pPr>
      <w:numPr>
        <w:ilvl w:val="1"/>
        <w:numId w:val="37"/>
      </w:numPr>
      <w:tabs>
        <w:tab w:val="clear" w:pos="1440"/>
        <w:tab w:val="num" w:pos="1492"/>
      </w:tabs>
      <w:spacing w:before="240" w:line="240" w:lineRule="auto"/>
      <w:ind w:left="1492" w:hanging="360"/>
    </w:pPr>
    <w:rPr>
      <w:rFonts w:eastAsia="Times New Roman" w:cs="Times New Roman"/>
      <w:sz w:val="24"/>
      <w:lang w:eastAsia="en-AU"/>
    </w:rPr>
  </w:style>
  <w:style w:type="paragraph" w:customStyle="1" w:styleId="BodyParaBullet">
    <w:name w:val="BodyParaBullet"/>
    <w:aliases w:val="bpb"/>
    <w:basedOn w:val="Normal"/>
    <w:rsid w:val="00EA1252"/>
    <w:pPr>
      <w:numPr>
        <w:ilvl w:val="2"/>
        <w:numId w:val="37"/>
      </w:numPr>
      <w:tabs>
        <w:tab w:val="clear" w:pos="1440"/>
        <w:tab w:val="num" w:pos="1492"/>
        <w:tab w:val="left" w:pos="2160"/>
      </w:tabs>
      <w:spacing w:before="240" w:line="240" w:lineRule="auto"/>
      <w:ind w:left="1492" w:hanging="360"/>
    </w:pPr>
    <w:rPr>
      <w:rFonts w:eastAsia="Times New Roman" w:cs="Times New Roman"/>
      <w:sz w:val="24"/>
      <w:lang w:eastAsia="en-AU"/>
    </w:rPr>
  </w:style>
  <w:style w:type="paragraph" w:customStyle="1" w:styleId="BodySubPara">
    <w:name w:val="BodySubPara"/>
    <w:aliases w:val="bi"/>
    <w:basedOn w:val="Normal"/>
    <w:rsid w:val="00EA1252"/>
    <w:pPr>
      <w:numPr>
        <w:ilvl w:val="3"/>
        <w:numId w:val="37"/>
      </w:numPr>
      <w:tabs>
        <w:tab w:val="clear" w:pos="2160"/>
        <w:tab w:val="num" w:pos="1492"/>
      </w:tabs>
      <w:spacing w:before="240" w:line="240" w:lineRule="auto"/>
      <w:ind w:left="1492" w:hanging="360"/>
    </w:pPr>
    <w:rPr>
      <w:rFonts w:eastAsia="Times New Roman" w:cs="Times New Roman"/>
      <w:sz w:val="24"/>
      <w:lang w:eastAsia="en-AU"/>
    </w:rPr>
  </w:style>
  <w:style w:type="numbering" w:customStyle="1" w:styleId="OPCBodyList">
    <w:name w:val="OPCBodyList"/>
    <w:uiPriority w:val="99"/>
    <w:rsid w:val="00EA1252"/>
    <w:pPr>
      <w:numPr>
        <w:numId w:val="37"/>
      </w:numPr>
    </w:pPr>
  </w:style>
  <w:style w:type="paragraph" w:customStyle="1" w:styleId="Note">
    <w:name w:val="Note"/>
    <w:basedOn w:val="Normal"/>
    <w:rsid w:val="00EA1252"/>
    <w:pPr>
      <w:keepLines/>
      <w:spacing w:before="120" w:line="220" w:lineRule="exact"/>
      <w:ind w:left="964"/>
      <w:jc w:val="both"/>
    </w:pPr>
    <w:rPr>
      <w:rFonts w:eastAsia="Times New Roman" w:cs="Times New Roman"/>
      <w:sz w:val="20"/>
      <w:szCs w:val="24"/>
      <w:lang w:eastAsia="en-AU"/>
    </w:rPr>
  </w:style>
  <w:style w:type="paragraph" w:customStyle="1" w:styleId="P1">
    <w:name w:val="P1"/>
    <w:aliases w:val="(a)"/>
    <w:basedOn w:val="Normal"/>
    <w:rsid w:val="00EA1252"/>
    <w:pPr>
      <w:keepLines/>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uiPriority w:val="99"/>
    <w:rsid w:val="00EA1252"/>
    <w:pPr>
      <w:keepLines/>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Specials">
    <w:name w:val="Special s"/>
    <w:basedOn w:val="ActHead5"/>
    <w:link w:val="SpecialsChar"/>
    <w:rsid w:val="009D77F8"/>
    <w:pPr>
      <w:outlineLvl w:val="9"/>
    </w:pPr>
  </w:style>
  <w:style w:type="character" w:customStyle="1" w:styleId="OPCParaBaseChar">
    <w:name w:val="OPCParaBase Char"/>
    <w:basedOn w:val="DefaultParagraphFont"/>
    <w:link w:val="OPCParaBase"/>
    <w:rsid w:val="009D77F8"/>
    <w:rPr>
      <w:sz w:val="22"/>
    </w:rPr>
  </w:style>
  <w:style w:type="character" w:customStyle="1" w:styleId="ActHead5Char">
    <w:name w:val="ActHead 5 Char"/>
    <w:aliases w:val="s Char"/>
    <w:basedOn w:val="OPCParaBaseChar"/>
    <w:link w:val="ActHead5"/>
    <w:rsid w:val="009D77F8"/>
    <w:rPr>
      <w:b/>
      <w:kern w:val="28"/>
      <w:sz w:val="24"/>
    </w:rPr>
  </w:style>
  <w:style w:type="character" w:customStyle="1" w:styleId="SpecialsChar">
    <w:name w:val="Special s Char"/>
    <w:basedOn w:val="ActHead5Char"/>
    <w:link w:val="Specials"/>
    <w:rsid w:val="009D77F8"/>
    <w:rPr>
      <w:b/>
      <w:kern w:val="28"/>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C72A74"/>
    <w:pPr>
      <w:spacing w:line="260" w:lineRule="atLeast"/>
    </w:pPr>
    <w:rPr>
      <w:rFonts w:eastAsiaTheme="minorHAnsi" w:cstheme="minorBidi"/>
      <w:sz w:val="22"/>
      <w:lang w:eastAsia="en-US"/>
    </w:rPr>
  </w:style>
  <w:style w:type="paragraph" w:styleId="Heading1">
    <w:name w:val="heading 1"/>
    <w:basedOn w:val="Normal"/>
    <w:next w:val="Normal"/>
    <w:qFormat/>
    <w:rsid w:val="00E814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814E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14E3"/>
    <w:pPr>
      <w:keepNext/>
      <w:spacing w:before="240" w:after="60"/>
      <w:outlineLvl w:val="2"/>
    </w:pPr>
    <w:rPr>
      <w:rFonts w:ascii="Arial" w:hAnsi="Arial" w:cs="Arial"/>
      <w:b/>
      <w:bCs/>
      <w:sz w:val="26"/>
      <w:szCs w:val="26"/>
    </w:rPr>
  </w:style>
  <w:style w:type="paragraph" w:styleId="Heading4">
    <w:name w:val="heading 4"/>
    <w:basedOn w:val="Normal"/>
    <w:next w:val="Normal"/>
    <w:qFormat/>
    <w:rsid w:val="00E814E3"/>
    <w:pPr>
      <w:keepNext/>
      <w:spacing w:before="240" w:after="60"/>
      <w:outlineLvl w:val="3"/>
    </w:pPr>
    <w:rPr>
      <w:b/>
      <w:bCs/>
      <w:sz w:val="28"/>
      <w:szCs w:val="28"/>
    </w:rPr>
  </w:style>
  <w:style w:type="paragraph" w:styleId="Heading5">
    <w:name w:val="heading 5"/>
    <w:basedOn w:val="Normal"/>
    <w:next w:val="Normal"/>
    <w:qFormat/>
    <w:rsid w:val="00E814E3"/>
    <w:pPr>
      <w:spacing w:before="240" w:after="60"/>
      <w:outlineLvl w:val="4"/>
    </w:pPr>
    <w:rPr>
      <w:b/>
      <w:bCs/>
      <w:i/>
      <w:iCs/>
      <w:sz w:val="26"/>
      <w:szCs w:val="26"/>
    </w:rPr>
  </w:style>
  <w:style w:type="paragraph" w:styleId="Heading6">
    <w:name w:val="heading 6"/>
    <w:basedOn w:val="Normal"/>
    <w:next w:val="Normal"/>
    <w:qFormat/>
    <w:rsid w:val="00E814E3"/>
    <w:pPr>
      <w:spacing w:before="240" w:after="60"/>
      <w:outlineLvl w:val="5"/>
    </w:pPr>
    <w:rPr>
      <w:b/>
      <w:bCs/>
      <w:szCs w:val="22"/>
    </w:rPr>
  </w:style>
  <w:style w:type="paragraph" w:styleId="Heading7">
    <w:name w:val="heading 7"/>
    <w:basedOn w:val="Normal"/>
    <w:next w:val="Normal"/>
    <w:qFormat/>
    <w:rsid w:val="00E814E3"/>
    <w:pPr>
      <w:spacing w:before="240" w:after="60"/>
      <w:outlineLvl w:val="6"/>
    </w:pPr>
  </w:style>
  <w:style w:type="paragraph" w:styleId="Heading8">
    <w:name w:val="heading 8"/>
    <w:basedOn w:val="Normal"/>
    <w:next w:val="Normal"/>
    <w:qFormat/>
    <w:rsid w:val="00E814E3"/>
    <w:pPr>
      <w:spacing w:before="240" w:after="60"/>
      <w:outlineLvl w:val="7"/>
    </w:pPr>
    <w:rPr>
      <w:i/>
      <w:iCs/>
    </w:rPr>
  </w:style>
  <w:style w:type="paragraph" w:styleId="Heading9">
    <w:name w:val="heading 9"/>
    <w:basedOn w:val="Normal"/>
    <w:next w:val="Normal"/>
    <w:qFormat/>
    <w:rsid w:val="00E814E3"/>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2">
    <w:name w:val="Table Grid2"/>
    <w:basedOn w:val="TableNormal"/>
    <w:next w:val="TableGrid"/>
    <w:uiPriority w:val="59"/>
    <w:rsid w:val="002F064D"/>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F064D"/>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link w:val="FooterChar"/>
    <w:rsid w:val="00C72A74"/>
    <w:pPr>
      <w:tabs>
        <w:tab w:val="center" w:pos="4153"/>
        <w:tab w:val="right" w:pos="8306"/>
      </w:tabs>
    </w:pPr>
    <w:rPr>
      <w:sz w:val="22"/>
      <w:szCs w:val="24"/>
    </w:rPr>
  </w:style>
  <w:style w:type="numbering" w:styleId="111111">
    <w:name w:val="Outline List 2"/>
    <w:basedOn w:val="NoList"/>
    <w:rsid w:val="00E814E3"/>
    <w:pPr>
      <w:numPr>
        <w:numId w:val="2"/>
      </w:numPr>
    </w:pPr>
  </w:style>
  <w:style w:type="numbering" w:styleId="1ai">
    <w:name w:val="Outline List 1"/>
    <w:basedOn w:val="NoList"/>
    <w:rsid w:val="00E814E3"/>
    <w:pPr>
      <w:numPr>
        <w:numId w:val="3"/>
      </w:numPr>
    </w:pPr>
  </w:style>
  <w:style w:type="numbering" w:styleId="ArticleSection">
    <w:name w:val="Outline List 3"/>
    <w:basedOn w:val="NoList"/>
    <w:rsid w:val="00E814E3"/>
    <w:pPr>
      <w:numPr>
        <w:numId w:val="1"/>
      </w:numPr>
    </w:pPr>
  </w:style>
  <w:style w:type="paragraph" w:styleId="BlockText">
    <w:name w:val="Block Text"/>
    <w:basedOn w:val="Normal"/>
    <w:rsid w:val="00E814E3"/>
    <w:pPr>
      <w:spacing w:after="120"/>
      <w:ind w:left="1440" w:right="1440"/>
    </w:pPr>
  </w:style>
  <w:style w:type="paragraph" w:styleId="BodyText">
    <w:name w:val="Body Text"/>
    <w:basedOn w:val="Normal"/>
    <w:rsid w:val="00E814E3"/>
    <w:pPr>
      <w:spacing w:after="120"/>
    </w:pPr>
  </w:style>
  <w:style w:type="paragraph" w:styleId="BodyText2">
    <w:name w:val="Body Text 2"/>
    <w:basedOn w:val="Normal"/>
    <w:rsid w:val="00E814E3"/>
    <w:pPr>
      <w:spacing w:after="120" w:line="480" w:lineRule="auto"/>
    </w:pPr>
  </w:style>
  <w:style w:type="paragraph" w:styleId="BodyText3">
    <w:name w:val="Body Text 3"/>
    <w:basedOn w:val="Normal"/>
    <w:rsid w:val="00E814E3"/>
    <w:pPr>
      <w:spacing w:after="120"/>
    </w:pPr>
    <w:rPr>
      <w:sz w:val="16"/>
      <w:szCs w:val="16"/>
    </w:rPr>
  </w:style>
  <w:style w:type="paragraph" w:styleId="BodyTextFirstIndent">
    <w:name w:val="Body Text First Indent"/>
    <w:basedOn w:val="BodyText"/>
    <w:rsid w:val="00E814E3"/>
    <w:pPr>
      <w:ind w:firstLine="210"/>
    </w:pPr>
  </w:style>
  <w:style w:type="paragraph" w:styleId="BodyTextIndent">
    <w:name w:val="Body Text Indent"/>
    <w:basedOn w:val="Normal"/>
    <w:rsid w:val="00E814E3"/>
    <w:pPr>
      <w:spacing w:after="120"/>
      <w:ind w:left="283"/>
    </w:pPr>
  </w:style>
  <w:style w:type="paragraph" w:styleId="BodyTextFirstIndent2">
    <w:name w:val="Body Text First Indent 2"/>
    <w:basedOn w:val="BodyTextIndent"/>
    <w:rsid w:val="00E814E3"/>
    <w:pPr>
      <w:ind w:firstLine="210"/>
    </w:pPr>
  </w:style>
  <w:style w:type="paragraph" w:styleId="BodyTextIndent2">
    <w:name w:val="Body Text Indent 2"/>
    <w:basedOn w:val="Normal"/>
    <w:rsid w:val="00E814E3"/>
    <w:pPr>
      <w:spacing w:after="120" w:line="480" w:lineRule="auto"/>
      <w:ind w:left="283"/>
    </w:pPr>
  </w:style>
  <w:style w:type="paragraph" w:styleId="BodyTextIndent3">
    <w:name w:val="Body Text Indent 3"/>
    <w:basedOn w:val="Normal"/>
    <w:rsid w:val="00E814E3"/>
    <w:pPr>
      <w:spacing w:after="120"/>
      <w:ind w:left="283"/>
    </w:pPr>
    <w:rPr>
      <w:sz w:val="16"/>
      <w:szCs w:val="16"/>
    </w:rPr>
  </w:style>
  <w:style w:type="paragraph" w:styleId="Closing">
    <w:name w:val="Closing"/>
    <w:basedOn w:val="Normal"/>
    <w:rsid w:val="00E814E3"/>
    <w:pPr>
      <w:ind w:left="4252"/>
    </w:pPr>
  </w:style>
  <w:style w:type="paragraph" w:styleId="Date">
    <w:name w:val="Date"/>
    <w:basedOn w:val="Normal"/>
    <w:next w:val="Normal"/>
    <w:rsid w:val="00E814E3"/>
  </w:style>
  <w:style w:type="paragraph" w:styleId="E-mailSignature">
    <w:name w:val="E-mail Signature"/>
    <w:basedOn w:val="Normal"/>
    <w:rsid w:val="00E814E3"/>
  </w:style>
  <w:style w:type="character" w:styleId="Emphasis">
    <w:name w:val="Emphasis"/>
    <w:basedOn w:val="DefaultParagraphFont"/>
    <w:qFormat/>
    <w:rsid w:val="00E814E3"/>
    <w:rPr>
      <w:i/>
      <w:iCs/>
    </w:rPr>
  </w:style>
  <w:style w:type="paragraph" w:styleId="EnvelopeAddress">
    <w:name w:val="envelope address"/>
    <w:basedOn w:val="Normal"/>
    <w:rsid w:val="00E814E3"/>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E814E3"/>
    <w:rPr>
      <w:rFonts w:ascii="Arial" w:hAnsi="Arial" w:cs="Arial"/>
      <w:sz w:val="20"/>
    </w:rPr>
  </w:style>
  <w:style w:type="character" w:styleId="FollowedHyperlink">
    <w:name w:val="FollowedHyperlink"/>
    <w:basedOn w:val="DefaultParagraphFont"/>
    <w:rsid w:val="00E814E3"/>
    <w:rPr>
      <w:color w:val="800080"/>
      <w:u w:val="single"/>
    </w:rPr>
  </w:style>
  <w:style w:type="paragraph" w:styleId="Header">
    <w:name w:val="header"/>
    <w:basedOn w:val="OPCParaBase"/>
    <w:link w:val="HeaderChar"/>
    <w:unhideWhenUsed/>
    <w:rsid w:val="00C72A74"/>
    <w:pPr>
      <w:keepNext/>
      <w:keepLines/>
      <w:tabs>
        <w:tab w:val="center" w:pos="4150"/>
        <w:tab w:val="right" w:pos="8307"/>
      </w:tabs>
      <w:spacing w:line="160" w:lineRule="exact"/>
    </w:pPr>
    <w:rPr>
      <w:sz w:val="16"/>
    </w:rPr>
  </w:style>
  <w:style w:type="character" w:styleId="HTMLAcronym">
    <w:name w:val="HTML Acronym"/>
    <w:basedOn w:val="DefaultParagraphFont"/>
    <w:rsid w:val="00E814E3"/>
  </w:style>
  <w:style w:type="paragraph" w:styleId="HTMLAddress">
    <w:name w:val="HTML Address"/>
    <w:basedOn w:val="Normal"/>
    <w:rsid w:val="00E814E3"/>
    <w:rPr>
      <w:i/>
      <w:iCs/>
    </w:rPr>
  </w:style>
  <w:style w:type="character" w:styleId="HTMLCite">
    <w:name w:val="HTML Cite"/>
    <w:basedOn w:val="DefaultParagraphFont"/>
    <w:rsid w:val="00E814E3"/>
    <w:rPr>
      <w:i/>
      <w:iCs/>
    </w:rPr>
  </w:style>
  <w:style w:type="character" w:styleId="HTMLCode">
    <w:name w:val="HTML Code"/>
    <w:basedOn w:val="DefaultParagraphFont"/>
    <w:rsid w:val="00E814E3"/>
    <w:rPr>
      <w:rFonts w:ascii="Courier New" w:hAnsi="Courier New" w:cs="Courier New"/>
      <w:sz w:val="20"/>
      <w:szCs w:val="20"/>
    </w:rPr>
  </w:style>
  <w:style w:type="character" w:styleId="HTMLDefinition">
    <w:name w:val="HTML Definition"/>
    <w:basedOn w:val="DefaultParagraphFont"/>
    <w:rsid w:val="00E814E3"/>
    <w:rPr>
      <w:i/>
      <w:iCs/>
    </w:rPr>
  </w:style>
  <w:style w:type="character" w:styleId="HTMLKeyboard">
    <w:name w:val="HTML Keyboard"/>
    <w:basedOn w:val="DefaultParagraphFont"/>
    <w:rsid w:val="00E814E3"/>
    <w:rPr>
      <w:rFonts w:ascii="Courier New" w:hAnsi="Courier New" w:cs="Courier New"/>
      <w:sz w:val="20"/>
      <w:szCs w:val="20"/>
    </w:rPr>
  </w:style>
  <w:style w:type="paragraph" w:styleId="HTMLPreformatted">
    <w:name w:val="HTML Preformatted"/>
    <w:basedOn w:val="Normal"/>
    <w:rsid w:val="00E814E3"/>
    <w:rPr>
      <w:rFonts w:ascii="Courier New" w:hAnsi="Courier New" w:cs="Courier New"/>
      <w:sz w:val="20"/>
    </w:rPr>
  </w:style>
  <w:style w:type="character" w:styleId="HTMLSample">
    <w:name w:val="HTML Sample"/>
    <w:basedOn w:val="DefaultParagraphFont"/>
    <w:rsid w:val="00E814E3"/>
    <w:rPr>
      <w:rFonts w:ascii="Courier New" w:hAnsi="Courier New" w:cs="Courier New"/>
    </w:rPr>
  </w:style>
  <w:style w:type="character" w:styleId="HTMLTypewriter">
    <w:name w:val="HTML Typewriter"/>
    <w:basedOn w:val="DefaultParagraphFont"/>
    <w:rsid w:val="00E814E3"/>
    <w:rPr>
      <w:rFonts w:ascii="Courier New" w:hAnsi="Courier New" w:cs="Courier New"/>
      <w:sz w:val="20"/>
      <w:szCs w:val="20"/>
    </w:rPr>
  </w:style>
  <w:style w:type="character" w:styleId="HTMLVariable">
    <w:name w:val="HTML Variable"/>
    <w:basedOn w:val="DefaultParagraphFont"/>
    <w:rsid w:val="00E814E3"/>
    <w:rPr>
      <w:i/>
      <w:iCs/>
    </w:rPr>
  </w:style>
  <w:style w:type="character" w:styleId="Hyperlink">
    <w:name w:val="Hyperlink"/>
    <w:basedOn w:val="DefaultParagraphFont"/>
    <w:rsid w:val="00E814E3"/>
    <w:rPr>
      <w:color w:val="0000FF"/>
      <w:u w:val="single"/>
    </w:rPr>
  </w:style>
  <w:style w:type="character" w:styleId="LineNumber">
    <w:name w:val="line number"/>
    <w:basedOn w:val="OPCCharBase"/>
    <w:uiPriority w:val="99"/>
    <w:unhideWhenUsed/>
    <w:rsid w:val="00C72A74"/>
    <w:rPr>
      <w:sz w:val="16"/>
    </w:rPr>
  </w:style>
  <w:style w:type="paragraph" w:styleId="List">
    <w:name w:val="List"/>
    <w:basedOn w:val="Normal"/>
    <w:rsid w:val="00E814E3"/>
    <w:pPr>
      <w:ind w:left="283" w:hanging="283"/>
    </w:pPr>
  </w:style>
  <w:style w:type="paragraph" w:styleId="List2">
    <w:name w:val="List 2"/>
    <w:basedOn w:val="Normal"/>
    <w:rsid w:val="00E814E3"/>
    <w:pPr>
      <w:ind w:left="566" w:hanging="283"/>
    </w:pPr>
  </w:style>
  <w:style w:type="paragraph" w:styleId="List3">
    <w:name w:val="List 3"/>
    <w:basedOn w:val="Normal"/>
    <w:rsid w:val="00E814E3"/>
    <w:pPr>
      <w:ind w:left="849" w:hanging="283"/>
    </w:pPr>
  </w:style>
  <w:style w:type="paragraph" w:styleId="List4">
    <w:name w:val="List 4"/>
    <w:basedOn w:val="Normal"/>
    <w:rsid w:val="00E814E3"/>
    <w:pPr>
      <w:ind w:left="1132" w:hanging="283"/>
    </w:pPr>
  </w:style>
  <w:style w:type="paragraph" w:styleId="List5">
    <w:name w:val="List 5"/>
    <w:basedOn w:val="Normal"/>
    <w:rsid w:val="00E814E3"/>
    <w:pPr>
      <w:ind w:left="1415" w:hanging="283"/>
    </w:pPr>
  </w:style>
  <w:style w:type="paragraph" w:styleId="ListBullet">
    <w:name w:val="List Bullet"/>
    <w:basedOn w:val="Normal"/>
    <w:autoRedefine/>
    <w:rsid w:val="00E814E3"/>
    <w:pPr>
      <w:tabs>
        <w:tab w:val="num" w:pos="360"/>
      </w:tabs>
      <w:ind w:left="360" w:hanging="360"/>
    </w:pPr>
  </w:style>
  <w:style w:type="paragraph" w:styleId="ListBullet2">
    <w:name w:val="List Bullet 2"/>
    <w:basedOn w:val="Normal"/>
    <w:autoRedefine/>
    <w:rsid w:val="00E814E3"/>
    <w:pPr>
      <w:tabs>
        <w:tab w:val="num" w:pos="643"/>
      </w:tabs>
      <w:ind w:left="643" w:hanging="360"/>
    </w:pPr>
  </w:style>
  <w:style w:type="paragraph" w:styleId="ListBullet3">
    <w:name w:val="List Bullet 3"/>
    <w:basedOn w:val="Normal"/>
    <w:autoRedefine/>
    <w:rsid w:val="00E814E3"/>
    <w:pPr>
      <w:tabs>
        <w:tab w:val="num" w:pos="926"/>
      </w:tabs>
      <w:ind w:left="926" w:hanging="360"/>
    </w:pPr>
  </w:style>
  <w:style w:type="paragraph" w:styleId="ListBullet4">
    <w:name w:val="List Bullet 4"/>
    <w:basedOn w:val="Normal"/>
    <w:autoRedefine/>
    <w:rsid w:val="00E814E3"/>
    <w:pPr>
      <w:tabs>
        <w:tab w:val="num" w:pos="1209"/>
      </w:tabs>
      <w:ind w:left="1209" w:hanging="360"/>
    </w:pPr>
  </w:style>
  <w:style w:type="paragraph" w:styleId="ListBullet5">
    <w:name w:val="List Bullet 5"/>
    <w:basedOn w:val="Normal"/>
    <w:autoRedefine/>
    <w:rsid w:val="00E814E3"/>
    <w:pPr>
      <w:tabs>
        <w:tab w:val="num" w:pos="1492"/>
      </w:tabs>
      <w:ind w:left="1492" w:hanging="360"/>
    </w:pPr>
  </w:style>
  <w:style w:type="paragraph" w:styleId="ListContinue">
    <w:name w:val="List Continue"/>
    <w:basedOn w:val="Normal"/>
    <w:rsid w:val="00E814E3"/>
    <w:pPr>
      <w:spacing w:after="120"/>
      <w:ind w:left="283"/>
    </w:pPr>
  </w:style>
  <w:style w:type="paragraph" w:styleId="ListContinue2">
    <w:name w:val="List Continue 2"/>
    <w:basedOn w:val="Normal"/>
    <w:rsid w:val="00E814E3"/>
    <w:pPr>
      <w:spacing w:after="120"/>
      <w:ind w:left="566"/>
    </w:pPr>
  </w:style>
  <w:style w:type="paragraph" w:styleId="ListContinue3">
    <w:name w:val="List Continue 3"/>
    <w:basedOn w:val="Normal"/>
    <w:rsid w:val="00E814E3"/>
    <w:pPr>
      <w:spacing w:after="120"/>
      <w:ind w:left="849"/>
    </w:pPr>
  </w:style>
  <w:style w:type="paragraph" w:styleId="ListContinue4">
    <w:name w:val="List Continue 4"/>
    <w:basedOn w:val="Normal"/>
    <w:rsid w:val="00E814E3"/>
    <w:pPr>
      <w:spacing w:after="120"/>
      <w:ind w:left="1132"/>
    </w:pPr>
  </w:style>
  <w:style w:type="paragraph" w:styleId="ListContinue5">
    <w:name w:val="List Continue 5"/>
    <w:basedOn w:val="Normal"/>
    <w:rsid w:val="00E814E3"/>
    <w:pPr>
      <w:spacing w:after="120"/>
      <w:ind w:left="1415"/>
    </w:pPr>
  </w:style>
  <w:style w:type="paragraph" w:styleId="ListNumber">
    <w:name w:val="List Number"/>
    <w:basedOn w:val="Normal"/>
    <w:rsid w:val="00E814E3"/>
    <w:pPr>
      <w:tabs>
        <w:tab w:val="num" w:pos="360"/>
      </w:tabs>
      <w:ind w:left="360" w:hanging="360"/>
    </w:pPr>
  </w:style>
  <w:style w:type="paragraph" w:styleId="ListNumber2">
    <w:name w:val="List Number 2"/>
    <w:basedOn w:val="Normal"/>
    <w:rsid w:val="00E814E3"/>
    <w:pPr>
      <w:tabs>
        <w:tab w:val="num" w:pos="643"/>
      </w:tabs>
      <w:ind w:left="643" w:hanging="360"/>
    </w:pPr>
  </w:style>
  <w:style w:type="paragraph" w:styleId="ListNumber3">
    <w:name w:val="List Number 3"/>
    <w:basedOn w:val="Normal"/>
    <w:rsid w:val="00E814E3"/>
    <w:pPr>
      <w:tabs>
        <w:tab w:val="num" w:pos="926"/>
      </w:tabs>
      <w:ind w:left="926" w:hanging="360"/>
    </w:pPr>
  </w:style>
  <w:style w:type="paragraph" w:styleId="ListNumber4">
    <w:name w:val="List Number 4"/>
    <w:basedOn w:val="Normal"/>
    <w:rsid w:val="00E814E3"/>
    <w:pPr>
      <w:tabs>
        <w:tab w:val="num" w:pos="1209"/>
      </w:tabs>
      <w:ind w:left="1209" w:hanging="360"/>
    </w:pPr>
  </w:style>
  <w:style w:type="paragraph" w:styleId="ListNumber5">
    <w:name w:val="List Number 5"/>
    <w:basedOn w:val="Normal"/>
    <w:rsid w:val="00E814E3"/>
    <w:pPr>
      <w:tabs>
        <w:tab w:val="num" w:pos="1492"/>
      </w:tabs>
      <w:ind w:left="1492" w:hanging="360"/>
    </w:pPr>
  </w:style>
  <w:style w:type="paragraph" w:styleId="MessageHeader">
    <w:name w:val="Message Header"/>
    <w:basedOn w:val="Normal"/>
    <w:rsid w:val="00E814E3"/>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E814E3"/>
  </w:style>
  <w:style w:type="paragraph" w:styleId="NormalIndent">
    <w:name w:val="Normal Indent"/>
    <w:basedOn w:val="Normal"/>
    <w:rsid w:val="00E814E3"/>
    <w:pPr>
      <w:ind w:left="720"/>
    </w:pPr>
  </w:style>
  <w:style w:type="character" w:styleId="PageNumber">
    <w:name w:val="page number"/>
    <w:basedOn w:val="DefaultParagraphFont"/>
    <w:rsid w:val="00E814E3"/>
    <w:rPr>
      <w:rFonts w:ascii="Arial" w:hAnsi="Arial"/>
      <w:sz w:val="22"/>
    </w:rPr>
  </w:style>
  <w:style w:type="paragraph" w:styleId="PlainText">
    <w:name w:val="Plain Text"/>
    <w:basedOn w:val="Normal"/>
    <w:rsid w:val="00E814E3"/>
    <w:rPr>
      <w:rFonts w:ascii="Courier New" w:hAnsi="Courier New" w:cs="Courier New"/>
      <w:sz w:val="20"/>
    </w:rPr>
  </w:style>
  <w:style w:type="paragraph" w:styleId="Salutation">
    <w:name w:val="Salutation"/>
    <w:basedOn w:val="Normal"/>
    <w:next w:val="Normal"/>
    <w:rsid w:val="00E814E3"/>
  </w:style>
  <w:style w:type="paragraph" w:styleId="Signature">
    <w:name w:val="Signature"/>
    <w:basedOn w:val="Normal"/>
    <w:rsid w:val="00E814E3"/>
    <w:pPr>
      <w:ind w:left="4252"/>
    </w:pPr>
  </w:style>
  <w:style w:type="character" w:styleId="Strong">
    <w:name w:val="Strong"/>
    <w:basedOn w:val="DefaultParagraphFont"/>
    <w:qFormat/>
    <w:rsid w:val="00E814E3"/>
    <w:rPr>
      <w:b/>
      <w:bCs/>
    </w:rPr>
  </w:style>
  <w:style w:type="paragraph" w:styleId="Subtitle">
    <w:name w:val="Subtitle"/>
    <w:basedOn w:val="Normal"/>
    <w:qFormat/>
    <w:rsid w:val="00E814E3"/>
    <w:pPr>
      <w:spacing w:after="60"/>
      <w:jc w:val="center"/>
      <w:outlineLvl w:val="1"/>
    </w:pPr>
    <w:rPr>
      <w:rFonts w:ascii="Arial" w:hAnsi="Arial" w:cs="Arial"/>
    </w:rPr>
  </w:style>
  <w:style w:type="table" w:styleId="Table3Deffects1">
    <w:name w:val="Table 3D effects 1"/>
    <w:basedOn w:val="TableNormal"/>
    <w:rsid w:val="00E814E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814E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814E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814E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814E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814E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814E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814E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814E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814E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814E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814E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814E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814E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814E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814E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C72A74"/>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0">
    <w:name w:val="Table Grid 2"/>
    <w:basedOn w:val="TableNormal"/>
    <w:rsid w:val="00E814E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0">
    <w:name w:val="Table Grid 3"/>
    <w:basedOn w:val="TableNormal"/>
    <w:rsid w:val="00E814E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814E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E814E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E814E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E814E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814E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814E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814E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814E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814E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814E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E814E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814E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814E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814E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814E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814E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814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E814E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814E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814E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qFormat/>
    <w:rsid w:val="00E814E3"/>
    <w:pPr>
      <w:spacing w:before="480"/>
    </w:pPr>
    <w:rPr>
      <w:rFonts w:ascii="Arial" w:hAnsi="Arial" w:cs="Arial"/>
      <w:b/>
      <w:bCs/>
      <w:sz w:val="40"/>
      <w:szCs w:val="40"/>
    </w:rPr>
  </w:style>
  <w:style w:type="paragraph" w:styleId="BalloonText">
    <w:name w:val="Balloon Text"/>
    <w:basedOn w:val="Normal"/>
    <w:link w:val="BalloonTextChar"/>
    <w:uiPriority w:val="99"/>
    <w:unhideWhenUsed/>
    <w:rsid w:val="00C72A74"/>
    <w:pPr>
      <w:spacing w:line="240" w:lineRule="auto"/>
    </w:pPr>
    <w:rPr>
      <w:rFonts w:ascii="Tahoma" w:hAnsi="Tahoma" w:cs="Tahoma"/>
      <w:sz w:val="16"/>
      <w:szCs w:val="16"/>
    </w:rPr>
  </w:style>
  <w:style w:type="paragraph" w:styleId="Caption">
    <w:name w:val="caption"/>
    <w:basedOn w:val="Normal"/>
    <w:next w:val="Normal"/>
    <w:qFormat/>
    <w:rsid w:val="00E814E3"/>
    <w:pPr>
      <w:spacing w:before="120" w:after="120"/>
    </w:pPr>
    <w:rPr>
      <w:b/>
      <w:bCs/>
      <w:sz w:val="20"/>
    </w:rPr>
  </w:style>
  <w:style w:type="character" w:customStyle="1" w:styleId="CharAmSchNo">
    <w:name w:val="CharAmSchNo"/>
    <w:basedOn w:val="OPCCharBase"/>
    <w:uiPriority w:val="1"/>
    <w:qFormat/>
    <w:rsid w:val="00C72A74"/>
  </w:style>
  <w:style w:type="character" w:customStyle="1" w:styleId="CharAmSchText">
    <w:name w:val="CharAmSchText"/>
    <w:basedOn w:val="OPCCharBase"/>
    <w:uiPriority w:val="1"/>
    <w:qFormat/>
    <w:rsid w:val="00C72A74"/>
  </w:style>
  <w:style w:type="character" w:customStyle="1" w:styleId="CharChapNo">
    <w:name w:val="CharChapNo"/>
    <w:basedOn w:val="OPCCharBase"/>
    <w:qFormat/>
    <w:rsid w:val="00C72A74"/>
  </w:style>
  <w:style w:type="character" w:customStyle="1" w:styleId="CharChapText">
    <w:name w:val="CharChapText"/>
    <w:basedOn w:val="OPCCharBase"/>
    <w:qFormat/>
    <w:rsid w:val="00C72A74"/>
  </w:style>
  <w:style w:type="character" w:customStyle="1" w:styleId="CharDivNo">
    <w:name w:val="CharDivNo"/>
    <w:basedOn w:val="OPCCharBase"/>
    <w:uiPriority w:val="1"/>
    <w:qFormat/>
    <w:rsid w:val="00C72A74"/>
  </w:style>
  <w:style w:type="character" w:customStyle="1" w:styleId="CharDivText">
    <w:name w:val="CharDivText"/>
    <w:basedOn w:val="OPCCharBase"/>
    <w:uiPriority w:val="1"/>
    <w:qFormat/>
    <w:rsid w:val="00C72A74"/>
  </w:style>
  <w:style w:type="character" w:customStyle="1" w:styleId="CharPartNo">
    <w:name w:val="CharPartNo"/>
    <w:basedOn w:val="OPCCharBase"/>
    <w:uiPriority w:val="1"/>
    <w:qFormat/>
    <w:rsid w:val="00C72A74"/>
  </w:style>
  <w:style w:type="character" w:customStyle="1" w:styleId="CharPartText">
    <w:name w:val="CharPartText"/>
    <w:basedOn w:val="OPCCharBase"/>
    <w:uiPriority w:val="1"/>
    <w:qFormat/>
    <w:rsid w:val="00C72A74"/>
  </w:style>
  <w:style w:type="character" w:customStyle="1" w:styleId="OPCCharBase">
    <w:name w:val="OPCCharBase"/>
    <w:uiPriority w:val="1"/>
    <w:qFormat/>
    <w:rsid w:val="00C72A74"/>
  </w:style>
  <w:style w:type="paragraph" w:customStyle="1" w:styleId="OPCParaBase">
    <w:name w:val="OPCParaBase"/>
    <w:link w:val="OPCParaBaseChar"/>
    <w:qFormat/>
    <w:rsid w:val="00C72A74"/>
    <w:pPr>
      <w:spacing w:line="260" w:lineRule="atLeast"/>
    </w:pPr>
    <w:rPr>
      <w:sz w:val="22"/>
    </w:rPr>
  </w:style>
  <w:style w:type="character" w:customStyle="1" w:styleId="CharSectno">
    <w:name w:val="CharSectno"/>
    <w:basedOn w:val="OPCCharBase"/>
    <w:qFormat/>
    <w:rsid w:val="00C72A74"/>
  </w:style>
  <w:style w:type="character" w:styleId="CommentReference">
    <w:name w:val="annotation reference"/>
    <w:basedOn w:val="DefaultParagraphFont"/>
    <w:rsid w:val="00E814E3"/>
    <w:rPr>
      <w:sz w:val="16"/>
      <w:szCs w:val="16"/>
    </w:rPr>
  </w:style>
  <w:style w:type="paragraph" w:styleId="CommentText">
    <w:name w:val="annotation text"/>
    <w:basedOn w:val="Normal"/>
    <w:rsid w:val="00E814E3"/>
    <w:rPr>
      <w:sz w:val="20"/>
    </w:rPr>
  </w:style>
  <w:style w:type="paragraph" w:styleId="CommentSubject">
    <w:name w:val="annotation subject"/>
    <w:basedOn w:val="CommentText"/>
    <w:next w:val="CommentText"/>
    <w:rsid w:val="00E814E3"/>
    <w:rPr>
      <w:b/>
      <w:bCs/>
    </w:rPr>
  </w:style>
  <w:style w:type="paragraph" w:styleId="DocumentMap">
    <w:name w:val="Document Map"/>
    <w:basedOn w:val="Normal"/>
    <w:rsid w:val="00E814E3"/>
    <w:pPr>
      <w:shd w:val="clear" w:color="auto" w:fill="000080"/>
    </w:pPr>
    <w:rPr>
      <w:rFonts w:ascii="Tahoma" w:hAnsi="Tahoma" w:cs="Tahoma"/>
    </w:rPr>
  </w:style>
  <w:style w:type="character" w:styleId="EndnoteReference">
    <w:name w:val="endnote reference"/>
    <w:basedOn w:val="DefaultParagraphFont"/>
    <w:rsid w:val="00E814E3"/>
    <w:rPr>
      <w:vertAlign w:val="superscript"/>
    </w:rPr>
  </w:style>
  <w:style w:type="paragraph" w:styleId="EndnoteText">
    <w:name w:val="endnote text"/>
    <w:basedOn w:val="Normal"/>
    <w:rsid w:val="00E814E3"/>
    <w:rPr>
      <w:sz w:val="20"/>
    </w:rPr>
  </w:style>
  <w:style w:type="character" w:styleId="FootnoteReference">
    <w:name w:val="footnote reference"/>
    <w:basedOn w:val="DefaultParagraphFont"/>
    <w:rsid w:val="00E814E3"/>
    <w:rPr>
      <w:rFonts w:ascii="Times New Roman" w:hAnsi="Times New Roman"/>
      <w:sz w:val="20"/>
      <w:vertAlign w:val="superscript"/>
    </w:rPr>
  </w:style>
  <w:style w:type="paragraph" w:styleId="FootnoteText">
    <w:name w:val="footnote text"/>
    <w:basedOn w:val="Normal"/>
    <w:rsid w:val="00E814E3"/>
    <w:rPr>
      <w:sz w:val="20"/>
    </w:rPr>
  </w:style>
  <w:style w:type="paragraph" w:customStyle="1" w:styleId="Formula">
    <w:name w:val="Formula"/>
    <w:basedOn w:val="OPCParaBase"/>
    <w:rsid w:val="00C72A74"/>
    <w:pPr>
      <w:spacing w:line="240" w:lineRule="auto"/>
      <w:ind w:left="1134"/>
    </w:pPr>
    <w:rPr>
      <w:sz w:val="20"/>
    </w:rPr>
  </w:style>
  <w:style w:type="paragraph" w:styleId="Index1">
    <w:name w:val="index 1"/>
    <w:basedOn w:val="Normal"/>
    <w:next w:val="Normal"/>
    <w:autoRedefine/>
    <w:rsid w:val="00E814E3"/>
    <w:pPr>
      <w:ind w:left="240" w:hanging="240"/>
    </w:pPr>
  </w:style>
  <w:style w:type="paragraph" w:styleId="Index2">
    <w:name w:val="index 2"/>
    <w:basedOn w:val="Normal"/>
    <w:next w:val="Normal"/>
    <w:autoRedefine/>
    <w:rsid w:val="00E814E3"/>
    <w:pPr>
      <w:ind w:left="480" w:hanging="240"/>
    </w:pPr>
  </w:style>
  <w:style w:type="paragraph" w:styleId="Index3">
    <w:name w:val="index 3"/>
    <w:basedOn w:val="Normal"/>
    <w:next w:val="Normal"/>
    <w:autoRedefine/>
    <w:rsid w:val="00E814E3"/>
    <w:pPr>
      <w:ind w:left="720" w:hanging="240"/>
    </w:pPr>
  </w:style>
  <w:style w:type="paragraph" w:styleId="Index4">
    <w:name w:val="index 4"/>
    <w:basedOn w:val="Normal"/>
    <w:next w:val="Normal"/>
    <w:autoRedefine/>
    <w:rsid w:val="00E814E3"/>
    <w:pPr>
      <w:ind w:left="960" w:hanging="240"/>
    </w:pPr>
  </w:style>
  <w:style w:type="paragraph" w:styleId="Index5">
    <w:name w:val="index 5"/>
    <w:basedOn w:val="Normal"/>
    <w:next w:val="Normal"/>
    <w:autoRedefine/>
    <w:rsid w:val="00E814E3"/>
    <w:pPr>
      <w:ind w:left="1200" w:hanging="240"/>
    </w:pPr>
  </w:style>
  <w:style w:type="paragraph" w:styleId="Index6">
    <w:name w:val="index 6"/>
    <w:basedOn w:val="Normal"/>
    <w:next w:val="Normal"/>
    <w:autoRedefine/>
    <w:rsid w:val="00E814E3"/>
    <w:pPr>
      <w:ind w:left="1440" w:hanging="240"/>
    </w:pPr>
  </w:style>
  <w:style w:type="paragraph" w:styleId="Index7">
    <w:name w:val="index 7"/>
    <w:basedOn w:val="Normal"/>
    <w:next w:val="Normal"/>
    <w:autoRedefine/>
    <w:rsid w:val="00E814E3"/>
    <w:pPr>
      <w:ind w:left="1680" w:hanging="240"/>
    </w:pPr>
  </w:style>
  <w:style w:type="paragraph" w:styleId="Index8">
    <w:name w:val="index 8"/>
    <w:basedOn w:val="Normal"/>
    <w:next w:val="Normal"/>
    <w:autoRedefine/>
    <w:rsid w:val="00E814E3"/>
    <w:pPr>
      <w:ind w:left="1920" w:hanging="240"/>
    </w:pPr>
  </w:style>
  <w:style w:type="paragraph" w:styleId="Index9">
    <w:name w:val="index 9"/>
    <w:basedOn w:val="Normal"/>
    <w:next w:val="Normal"/>
    <w:autoRedefine/>
    <w:rsid w:val="00E814E3"/>
    <w:pPr>
      <w:ind w:left="2160" w:hanging="240"/>
    </w:pPr>
  </w:style>
  <w:style w:type="paragraph" w:styleId="IndexHeading">
    <w:name w:val="index heading"/>
    <w:basedOn w:val="Normal"/>
    <w:next w:val="Index1"/>
    <w:rsid w:val="00E814E3"/>
    <w:rPr>
      <w:rFonts w:ascii="Arial" w:hAnsi="Arial" w:cs="Arial"/>
      <w:b/>
      <w:bCs/>
    </w:rPr>
  </w:style>
  <w:style w:type="paragraph" w:styleId="MacroText">
    <w:name w:val="macro"/>
    <w:rsid w:val="00E814E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PageBreak">
    <w:name w:val="PageBreak"/>
    <w:aliases w:val="pb"/>
    <w:basedOn w:val="OPCParaBase"/>
    <w:rsid w:val="00C72A74"/>
    <w:pPr>
      <w:spacing w:line="240" w:lineRule="auto"/>
    </w:pPr>
    <w:rPr>
      <w:sz w:val="20"/>
    </w:rPr>
  </w:style>
  <w:style w:type="paragraph" w:customStyle="1" w:styleId="Penalty">
    <w:name w:val="Penalty"/>
    <w:basedOn w:val="OPCParaBase"/>
    <w:rsid w:val="00C72A74"/>
    <w:pPr>
      <w:tabs>
        <w:tab w:val="left" w:pos="2977"/>
      </w:tabs>
      <w:spacing w:before="180" w:line="240" w:lineRule="auto"/>
      <w:ind w:left="1985" w:hanging="851"/>
    </w:pPr>
  </w:style>
  <w:style w:type="paragraph" w:customStyle="1" w:styleId="ShortT">
    <w:name w:val="ShortT"/>
    <w:basedOn w:val="OPCParaBase"/>
    <w:next w:val="Normal"/>
    <w:qFormat/>
    <w:rsid w:val="00C72A74"/>
    <w:pPr>
      <w:spacing w:line="240" w:lineRule="auto"/>
    </w:pPr>
    <w:rPr>
      <w:b/>
      <w:sz w:val="40"/>
    </w:rPr>
  </w:style>
  <w:style w:type="paragraph" w:customStyle="1" w:styleId="ActHead1">
    <w:name w:val="ActHead 1"/>
    <w:aliases w:val="c"/>
    <w:basedOn w:val="OPCParaBase"/>
    <w:next w:val="Normal"/>
    <w:qFormat/>
    <w:rsid w:val="00C72A74"/>
    <w:pPr>
      <w:keepNext/>
      <w:keepLines/>
      <w:spacing w:line="240" w:lineRule="auto"/>
      <w:ind w:left="1134" w:hanging="1134"/>
      <w:outlineLvl w:val="0"/>
    </w:pPr>
    <w:rPr>
      <w:b/>
      <w:kern w:val="28"/>
      <w:sz w:val="36"/>
    </w:rPr>
  </w:style>
  <w:style w:type="paragraph" w:customStyle="1" w:styleId="Schedulelist">
    <w:name w:val="Schedule list"/>
    <w:basedOn w:val="Normal"/>
    <w:rsid w:val="00E814E3"/>
    <w:pPr>
      <w:tabs>
        <w:tab w:val="right" w:pos="1985"/>
      </w:tabs>
      <w:spacing w:before="60" w:line="260" w:lineRule="exact"/>
      <w:ind w:left="454"/>
    </w:pPr>
  </w:style>
  <w:style w:type="paragraph" w:styleId="TableofAuthorities">
    <w:name w:val="table of authorities"/>
    <w:basedOn w:val="Normal"/>
    <w:next w:val="Normal"/>
    <w:rsid w:val="00E814E3"/>
    <w:pPr>
      <w:ind w:left="240" w:hanging="240"/>
    </w:pPr>
  </w:style>
  <w:style w:type="paragraph" w:styleId="TableofFigures">
    <w:name w:val="table of figures"/>
    <w:basedOn w:val="Normal"/>
    <w:next w:val="Normal"/>
    <w:rsid w:val="00E814E3"/>
    <w:pPr>
      <w:ind w:left="480" w:hanging="480"/>
    </w:pPr>
  </w:style>
  <w:style w:type="paragraph" w:customStyle="1" w:styleId="ActHead2">
    <w:name w:val="ActHead 2"/>
    <w:aliases w:val="p"/>
    <w:basedOn w:val="OPCParaBase"/>
    <w:next w:val="ActHead3"/>
    <w:qFormat/>
    <w:rsid w:val="00C72A74"/>
    <w:pPr>
      <w:keepNext/>
      <w:keepLines/>
      <w:spacing w:before="280" w:line="240" w:lineRule="auto"/>
      <w:ind w:left="1134" w:hanging="1134"/>
      <w:outlineLvl w:val="1"/>
    </w:pPr>
    <w:rPr>
      <w:b/>
      <w:kern w:val="28"/>
      <w:sz w:val="32"/>
    </w:rPr>
  </w:style>
  <w:style w:type="paragraph" w:styleId="TOAHeading">
    <w:name w:val="toa heading"/>
    <w:basedOn w:val="Normal"/>
    <w:next w:val="Normal"/>
    <w:rsid w:val="00E814E3"/>
    <w:pPr>
      <w:spacing w:before="120"/>
    </w:pPr>
    <w:rPr>
      <w:rFonts w:ascii="Arial" w:hAnsi="Arial" w:cs="Arial"/>
      <w:b/>
      <w:bCs/>
    </w:rPr>
  </w:style>
  <w:style w:type="paragraph" w:styleId="TOC1">
    <w:name w:val="toc 1"/>
    <w:basedOn w:val="OPCParaBase"/>
    <w:next w:val="Normal"/>
    <w:uiPriority w:val="39"/>
    <w:unhideWhenUsed/>
    <w:rsid w:val="00C72A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C72A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C72A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C72A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C72A74"/>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C72A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C72A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unhideWhenUsed/>
    <w:rsid w:val="00C72A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C72A74"/>
    <w:pPr>
      <w:keepLines/>
      <w:tabs>
        <w:tab w:val="right" w:pos="8278"/>
      </w:tabs>
      <w:spacing w:before="80" w:line="240" w:lineRule="auto"/>
      <w:ind w:left="851" w:right="567"/>
    </w:pPr>
    <w:rPr>
      <w:i/>
      <w:kern w:val="28"/>
      <w:sz w:val="20"/>
    </w:rPr>
  </w:style>
  <w:style w:type="paragraph" w:customStyle="1" w:styleId="notetext">
    <w:name w:val="note(text)"/>
    <w:aliases w:val="n"/>
    <w:basedOn w:val="OPCParaBase"/>
    <w:rsid w:val="00C72A74"/>
    <w:pPr>
      <w:spacing w:before="122" w:line="198" w:lineRule="exact"/>
      <w:ind w:left="1985" w:hanging="851"/>
    </w:pPr>
    <w:rPr>
      <w:sz w:val="18"/>
    </w:rPr>
  </w:style>
  <w:style w:type="paragraph" w:customStyle="1" w:styleId="subsection">
    <w:name w:val="subsection"/>
    <w:aliases w:val="ss"/>
    <w:basedOn w:val="OPCParaBase"/>
    <w:rsid w:val="00C72A74"/>
    <w:pPr>
      <w:tabs>
        <w:tab w:val="right" w:pos="1021"/>
      </w:tabs>
      <w:spacing w:before="180" w:line="240" w:lineRule="auto"/>
      <w:ind w:left="1134" w:hanging="1134"/>
    </w:pPr>
  </w:style>
  <w:style w:type="paragraph" w:customStyle="1" w:styleId="paragraph">
    <w:name w:val="paragraph"/>
    <w:aliases w:val="a"/>
    <w:basedOn w:val="OPCParaBase"/>
    <w:rsid w:val="00C72A74"/>
    <w:pPr>
      <w:tabs>
        <w:tab w:val="right" w:pos="1531"/>
      </w:tabs>
      <w:spacing w:before="40" w:line="240" w:lineRule="auto"/>
      <w:ind w:left="1644" w:hanging="1644"/>
    </w:pPr>
  </w:style>
  <w:style w:type="paragraph" w:customStyle="1" w:styleId="ScheduleHeading1">
    <w:name w:val="Schedule Heading1"/>
    <w:basedOn w:val="Normal"/>
    <w:qFormat/>
    <w:rsid w:val="002F064D"/>
    <w:pPr>
      <w:keepNext/>
      <w:keepLines/>
      <w:spacing w:before="360" w:after="120"/>
      <w:ind w:left="964" w:hanging="964"/>
    </w:pPr>
    <w:rPr>
      <w:rFonts w:ascii="Arial" w:hAnsi="Arial"/>
      <w:b/>
    </w:rPr>
  </w:style>
  <w:style w:type="paragraph" w:customStyle="1" w:styleId="ActHead3">
    <w:name w:val="ActHead 3"/>
    <w:aliases w:val="d"/>
    <w:basedOn w:val="OPCParaBase"/>
    <w:next w:val="ActHead4"/>
    <w:qFormat/>
    <w:rsid w:val="00C72A74"/>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C72A74"/>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C72A74"/>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C72A74"/>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C72A74"/>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C72A74"/>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C72A74"/>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C72A74"/>
  </w:style>
  <w:style w:type="paragraph" w:customStyle="1" w:styleId="Blocks">
    <w:name w:val="Blocks"/>
    <w:aliases w:val="bb"/>
    <w:basedOn w:val="OPCParaBase"/>
    <w:qFormat/>
    <w:rsid w:val="00C72A74"/>
    <w:pPr>
      <w:spacing w:line="240" w:lineRule="auto"/>
    </w:pPr>
    <w:rPr>
      <w:sz w:val="24"/>
    </w:rPr>
  </w:style>
  <w:style w:type="paragraph" w:customStyle="1" w:styleId="BoxText">
    <w:name w:val="BoxText"/>
    <w:aliases w:val="bt"/>
    <w:basedOn w:val="OPCParaBase"/>
    <w:qFormat/>
    <w:rsid w:val="00C72A74"/>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C72A74"/>
    <w:rPr>
      <w:b/>
    </w:rPr>
  </w:style>
  <w:style w:type="paragraph" w:customStyle="1" w:styleId="BoxHeadItalic">
    <w:name w:val="BoxHeadItalic"/>
    <w:aliases w:val="bhi"/>
    <w:basedOn w:val="BoxText"/>
    <w:next w:val="BoxStep"/>
    <w:qFormat/>
    <w:rsid w:val="00C72A74"/>
    <w:rPr>
      <w:i/>
    </w:rPr>
  </w:style>
  <w:style w:type="paragraph" w:customStyle="1" w:styleId="BoxList">
    <w:name w:val="BoxList"/>
    <w:aliases w:val="bl"/>
    <w:basedOn w:val="BoxText"/>
    <w:qFormat/>
    <w:rsid w:val="00C72A74"/>
    <w:pPr>
      <w:ind w:left="1559" w:hanging="425"/>
    </w:pPr>
  </w:style>
  <w:style w:type="paragraph" w:customStyle="1" w:styleId="BoxNote">
    <w:name w:val="BoxNote"/>
    <w:aliases w:val="bn"/>
    <w:basedOn w:val="BoxText"/>
    <w:qFormat/>
    <w:rsid w:val="00C72A74"/>
    <w:pPr>
      <w:tabs>
        <w:tab w:val="left" w:pos="1985"/>
      </w:tabs>
      <w:spacing w:before="122" w:line="198" w:lineRule="exact"/>
      <w:ind w:left="2948" w:hanging="1814"/>
    </w:pPr>
    <w:rPr>
      <w:sz w:val="18"/>
    </w:rPr>
  </w:style>
  <w:style w:type="paragraph" w:customStyle="1" w:styleId="BoxPara">
    <w:name w:val="BoxPara"/>
    <w:aliases w:val="bp"/>
    <w:basedOn w:val="BoxText"/>
    <w:qFormat/>
    <w:rsid w:val="00C72A74"/>
    <w:pPr>
      <w:tabs>
        <w:tab w:val="right" w:pos="2268"/>
      </w:tabs>
      <w:ind w:left="2552" w:hanging="1418"/>
    </w:pPr>
  </w:style>
  <w:style w:type="paragraph" w:customStyle="1" w:styleId="BoxStep">
    <w:name w:val="BoxStep"/>
    <w:aliases w:val="bs"/>
    <w:basedOn w:val="BoxText"/>
    <w:qFormat/>
    <w:rsid w:val="00C72A74"/>
    <w:pPr>
      <w:ind w:left="1985" w:hanging="851"/>
    </w:pPr>
  </w:style>
  <w:style w:type="character" w:customStyle="1" w:styleId="CharAmPartNo">
    <w:name w:val="CharAmPartNo"/>
    <w:basedOn w:val="OPCCharBase"/>
    <w:uiPriority w:val="1"/>
    <w:qFormat/>
    <w:rsid w:val="00C72A74"/>
  </w:style>
  <w:style w:type="character" w:customStyle="1" w:styleId="CharAmPartText">
    <w:name w:val="CharAmPartText"/>
    <w:basedOn w:val="OPCCharBase"/>
    <w:uiPriority w:val="1"/>
    <w:qFormat/>
    <w:rsid w:val="00C72A74"/>
  </w:style>
  <w:style w:type="character" w:customStyle="1" w:styleId="CharBoldItalic">
    <w:name w:val="CharBoldItalic"/>
    <w:basedOn w:val="OPCCharBase"/>
    <w:uiPriority w:val="1"/>
    <w:qFormat/>
    <w:rsid w:val="00C72A74"/>
    <w:rPr>
      <w:b/>
      <w:i/>
    </w:rPr>
  </w:style>
  <w:style w:type="character" w:customStyle="1" w:styleId="CharItalic">
    <w:name w:val="CharItalic"/>
    <w:basedOn w:val="OPCCharBase"/>
    <w:uiPriority w:val="1"/>
    <w:qFormat/>
    <w:rsid w:val="00C72A74"/>
    <w:rPr>
      <w:i/>
    </w:rPr>
  </w:style>
  <w:style w:type="character" w:customStyle="1" w:styleId="CharSubdNo">
    <w:name w:val="CharSubdNo"/>
    <w:basedOn w:val="OPCCharBase"/>
    <w:uiPriority w:val="1"/>
    <w:qFormat/>
    <w:rsid w:val="00C72A74"/>
  </w:style>
  <w:style w:type="character" w:customStyle="1" w:styleId="CharSubdText">
    <w:name w:val="CharSubdText"/>
    <w:basedOn w:val="OPCCharBase"/>
    <w:uiPriority w:val="1"/>
    <w:qFormat/>
    <w:rsid w:val="00C72A74"/>
  </w:style>
  <w:style w:type="paragraph" w:customStyle="1" w:styleId="CTA--">
    <w:name w:val="CTA --"/>
    <w:basedOn w:val="OPCParaBase"/>
    <w:next w:val="Normal"/>
    <w:rsid w:val="00C72A74"/>
    <w:pPr>
      <w:spacing w:before="60" w:line="240" w:lineRule="atLeast"/>
      <w:ind w:left="142" w:hanging="142"/>
    </w:pPr>
    <w:rPr>
      <w:sz w:val="20"/>
    </w:rPr>
  </w:style>
  <w:style w:type="paragraph" w:customStyle="1" w:styleId="CTA-">
    <w:name w:val="CTA -"/>
    <w:basedOn w:val="OPCParaBase"/>
    <w:rsid w:val="00C72A74"/>
    <w:pPr>
      <w:spacing w:before="60" w:line="240" w:lineRule="atLeast"/>
      <w:ind w:left="85" w:hanging="85"/>
    </w:pPr>
    <w:rPr>
      <w:sz w:val="20"/>
    </w:rPr>
  </w:style>
  <w:style w:type="paragraph" w:customStyle="1" w:styleId="CTA---">
    <w:name w:val="CTA ---"/>
    <w:basedOn w:val="OPCParaBase"/>
    <w:next w:val="Normal"/>
    <w:rsid w:val="00C72A74"/>
    <w:pPr>
      <w:spacing w:before="60" w:line="240" w:lineRule="atLeast"/>
      <w:ind w:left="198" w:hanging="198"/>
    </w:pPr>
    <w:rPr>
      <w:sz w:val="20"/>
    </w:rPr>
  </w:style>
  <w:style w:type="paragraph" w:customStyle="1" w:styleId="CTA----">
    <w:name w:val="CTA ----"/>
    <w:basedOn w:val="OPCParaBase"/>
    <w:next w:val="Normal"/>
    <w:rsid w:val="00C72A74"/>
    <w:pPr>
      <w:spacing w:before="60" w:line="240" w:lineRule="atLeast"/>
      <w:ind w:left="255" w:hanging="255"/>
    </w:pPr>
    <w:rPr>
      <w:sz w:val="20"/>
    </w:rPr>
  </w:style>
  <w:style w:type="paragraph" w:customStyle="1" w:styleId="CTA1a">
    <w:name w:val="CTA 1(a)"/>
    <w:basedOn w:val="OPCParaBase"/>
    <w:rsid w:val="00C72A74"/>
    <w:pPr>
      <w:tabs>
        <w:tab w:val="right" w:pos="414"/>
      </w:tabs>
      <w:spacing w:before="40" w:line="240" w:lineRule="atLeast"/>
      <w:ind w:left="675" w:hanging="675"/>
    </w:pPr>
    <w:rPr>
      <w:sz w:val="20"/>
    </w:rPr>
  </w:style>
  <w:style w:type="paragraph" w:customStyle="1" w:styleId="CTA1ai">
    <w:name w:val="CTA 1(a)(i)"/>
    <w:basedOn w:val="OPCParaBase"/>
    <w:rsid w:val="00C72A74"/>
    <w:pPr>
      <w:tabs>
        <w:tab w:val="right" w:pos="1004"/>
      </w:tabs>
      <w:spacing w:before="40" w:line="240" w:lineRule="atLeast"/>
      <w:ind w:left="1253" w:hanging="1253"/>
    </w:pPr>
    <w:rPr>
      <w:sz w:val="20"/>
    </w:rPr>
  </w:style>
  <w:style w:type="paragraph" w:customStyle="1" w:styleId="CTA2a">
    <w:name w:val="CTA 2(a)"/>
    <w:basedOn w:val="OPCParaBase"/>
    <w:rsid w:val="00C72A74"/>
    <w:pPr>
      <w:tabs>
        <w:tab w:val="right" w:pos="482"/>
      </w:tabs>
      <w:spacing w:before="40" w:line="240" w:lineRule="atLeast"/>
      <w:ind w:left="748" w:hanging="748"/>
    </w:pPr>
    <w:rPr>
      <w:sz w:val="20"/>
    </w:rPr>
  </w:style>
  <w:style w:type="paragraph" w:customStyle="1" w:styleId="CTA2ai">
    <w:name w:val="CTA 2(a)(i)"/>
    <w:basedOn w:val="OPCParaBase"/>
    <w:rsid w:val="00C72A74"/>
    <w:pPr>
      <w:tabs>
        <w:tab w:val="right" w:pos="1089"/>
      </w:tabs>
      <w:spacing w:before="40" w:line="240" w:lineRule="atLeast"/>
      <w:ind w:left="1327" w:hanging="1327"/>
    </w:pPr>
    <w:rPr>
      <w:sz w:val="20"/>
    </w:rPr>
  </w:style>
  <w:style w:type="paragraph" w:customStyle="1" w:styleId="CTA3a">
    <w:name w:val="CTA 3(a)"/>
    <w:basedOn w:val="OPCParaBase"/>
    <w:rsid w:val="00C72A74"/>
    <w:pPr>
      <w:tabs>
        <w:tab w:val="right" w:pos="556"/>
      </w:tabs>
      <w:spacing w:before="40" w:line="240" w:lineRule="atLeast"/>
      <w:ind w:left="805" w:hanging="805"/>
    </w:pPr>
    <w:rPr>
      <w:sz w:val="20"/>
    </w:rPr>
  </w:style>
  <w:style w:type="paragraph" w:customStyle="1" w:styleId="CTA3ai">
    <w:name w:val="CTA 3(a)(i)"/>
    <w:basedOn w:val="OPCParaBase"/>
    <w:rsid w:val="00C72A74"/>
    <w:pPr>
      <w:tabs>
        <w:tab w:val="right" w:pos="1140"/>
      </w:tabs>
      <w:spacing w:before="40" w:line="240" w:lineRule="atLeast"/>
      <w:ind w:left="1361" w:hanging="1361"/>
    </w:pPr>
    <w:rPr>
      <w:sz w:val="20"/>
    </w:rPr>
  </w:style>
  <w:style w:type="paragraph" w:customStyle="1" w:styleId="CTA4a">
    <w:name w:val="CTA 4(a)"/>
    <w:basedOn w:val="OPCParaBase"/>
    <w:rsid w:val="00C72A74"/>
    <w:pPr>
      <w:tabs>
        <w:tab w:val="right" w:pos="624"/>
      </w:tabs>
      <w:spacing w:before="40" w:line="240" w:lineRule="atLeast"/>
      <w:ind w:left="873" w:hanging="873"/>
    </w:pPr>
    <w:rPr>
      <w:sz w:val="20"/>
    </w:rPr>
  </w:style>
  <w:style w:type="paragraph" w:customStyle="1" w:styleId="CTA4ai">
    <w:name w:val="CTA 4(a)(i)"/>
    <w:basedOn w:val="OPCParaBase"/>
    <w:rsid w:val="00C72A74"/>
    <w:pPr>
      <w:tabs>
        <w:tab w:val="right" w:pos="1213"/>
      </w:tabs>
      <w:spacing w:before="40" w:line="240" w:lineRule="atLeast"/>
      <w:ind w:left="1452" w:hanging="1452"/>
    </w:pPr>
    <w:rPr>
      <w:sz w:val="20"/>
    </w:rPr>
  </w:style>
  <w:style w:type="paragraph" w:customStyle="1" w:styleId="CTACAPS">
    <w:name w:val="CTA CAPS"/>
    <w:basedOn w:val="OPCParaBase"/>
    <w:rsid w:val="00C72A74"/>
    <w:pPr>
      <w:spacing w:before="60" w:line="240" w:lineRule="atLeast"/>
    </w:pPr>
    <w:rPr>
      <w:sz w:val="20"/>
    </w:rPr>
  </w:style>
  <w:style w:type="paragraph" w:customStyle="1" w:styleId="CTAright">
    <w:name w:val="CTA right"/>
    <w:basedOn w:val="OPCParaBase"/>
    <w:rsid w:val="00C72A74"/>
    <w:pPr>
      <w:spacing w:before="60" w:line="240" w:lineRule="auto"/>
      <w:jc w:val="right"/>
    </w:pPr>
    <w:rPr>
      <w:sz w:val="20"/>
    </w:rPr>
  </w:style>
  <w:style w:type="paragraph" w:customStyle="1" w:styleId="Definition">
    <w:name w:val="Definition"/>
    <w:aliases w:val="dd"/>
    <w:basedOn w:val="OPCParaBase"/>
    <w:rsid w:val="00C72A74"/>
    <w:pPr>
      <w:spacing w:before="180" w:line="240" w:lineRule="auto"/>
      <w:ind w:left="1134"/>
    </w:pPr>
  </w:style>
  <w:style w:type="paragraph" w:customStyle="1" w:styleId="EndNotespara">
    <w:name w:val="EndNotes(para)"/>
    <w:aliases w:val="eta"/>
    <w:basedOn w:val="OPCParaBase"/>
    <w:next w:val="EndNotessubpara"/>
    <w:rsid w:val="00C72A74"/>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C72A74"/>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C72A74"/>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C72A74"/>
    <w:pPr>
      <w:tabs>
        <w:tab w:val="right" w:pos="1412"/>
      </w:tabs>
      <w:spacing w:before="60" w:line="240" w:lineRule="auto"/>
      <w:ind w:left="1525" w:hanging="1525"/>
    </w:pPr>
    <w:rPr>
      <w:sz w:val="20"/>
    </w:rPr>
  </w:style>
  <w:style w:type="character" w:customStyle="1" w:styleId="HeaderChar">
    <w:name w:val="Header Char"/>
    <w:basedOn w:val="DefaultParagraphFont"/>
    <w:link w:val="Header"/>
    <w:rsid w:val="00C72A74"/>
    <w:rPr>
      <w:sz w:val="16"/>
    </w:rPr>
  </w:style>
  <w:style w:type="paragraph" w:customStyle="1" w:styleId="House">
    <w:name w:val="House"/>
    <w:basedOn w:val="OPCParaBase"/>
    <w:rsid w:val="00C72A74"/>
    <w:pPr>
      <w:spacing w:line="240" w:lineRule="auto"/>
    </w:pPr>
    <w:rPr>
      <w:sz w:val="28"/>
    </w:rPr>
  </w:style>
  <w:style w:type="paragraph" w:customStyle="1" w:styleId="Item">
    <w:name w:val="Item"/>
    <w:aliases w:val="i"/>
    <w:basedOn w:val="OPCParaBase"/>
    <w:next w:val="ItemHead"/>
    <w:rsid w:val="00C72A74"/>
    <w:pPr>
      <w:keepLines/>
      <w:spacing w:before="80" w:line="240" w:lineRule="auto"/>
      <w:ind w:left="709"/>
    </w:pPr>
  </w:style>
  <w:style w:type="paragraph" w:customStyle="1" w:styleId="ItemHead">
    <w:name w:val="ItemHead"/>
    <w:aliases w:val="ih"/>
    <w:basedOn w:val="OPCParaBase"/>
    <w:next w:val="Item"/>
    <w:rsid w:val="00C72A74"/>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C72A74"/>
    <w:pPr>
      <w:spacing w:line="240" w:lineRule="auto"/>
    </w:pPr>
    <w:rPr>
      <w:b/>
      <w:sz w:val="32"/>
    </w:rPr>
  </w:style>
  <w:style w:type="paragraph" w:customStyle="1" w:styleId="notedraft">
    <w:name w:val="note(draft)"/>
    <w:aliases w:val="nd"/>
    <w:basedOn w:val="OPCParaBase"/>
    <w:rsid w:val="00C72A74"/>
    <w:pPr>
      <w:spacing w:before="240" w:line="240" w:lineRule="auto"/>
      <w:ind w:left="284" w:hanging="284"/>
    </w:pPr>
    <w:rPr>
      <w:i/>
      <w:sz w:val="24"/>
    </w:rPr>
  </w:style>
  <w:style w:type="paragraph" w:customStyle="1" w:styleId="notemargin">
    <w:name w:val="note(margin)"/>
    <w:aliases w:val="nm"/>
    <w:basedOn w:val="OPCParaBase"/>
    <w:rsid w:val="00C72A74"/>
    <w:pPr>
      <w:tabs>
        <w:tab w:val="left" w:pos="709"/>
      </w:tabs>
      <w:spacing w:before="122" w:line="198" w:lineRule="exact"/>
      <w:ind w:left="709" w:hanging="709"/>
    </w:pPr>
    <w:rPr>
      <w:sz w:val="18"/>
    </w:rPr>
  </w:style>
  <w:style w:type="paragraph" w:customStyle="1" w:styleId="noteToPara">
    <w:name w:val="noteToPara"/>
    <w:aliases w:val="ntp"/>
    <w:basedOn w:val="OPCParaBase"/>
    <w:rsid w:val="00C72A74"/>
    <w:pPr>
      <w:spacing w:before="122" w:line="198" w:lineRule="exact"/>
      <w:ind w:left="2353" w:hanging="709"/>
    </w:pPr>
    <w:rPr>
      <w:sz w:val="18"/>
    </w:rPr>
  </w:style>
  <w:style w:type="paragraph" w:customStyle="1" w:styleId="noteParlAmend">
    <w:name w:val="note(ParlAmend)"/>
    <w:aliases w:val="npp"/>
    <w:basedOn w:val="OPCParaBase"/>
    <w:next w:val="ParlAmend"/>
    <w:rsid w:val="00C72A74"/>
    <w:pPr>
      <w:spacing w:line="240" w:lineRule="auto"/>
      <w:jc w:val="right"/>
    </w:pPr>
    <w:rPr>
      <w:rFonts w:ascii="Arial" w:hAnsi="Arial"/>
      <w:b/>
      <w:i/>
    </w:rPr>
  </w:style>
  <w:style w:type="paragraph" w:customStyle="1" w:styleId="Page1">
    <w:name w:val="Page1"/>
    <w:basedOn w:val="OPCParaBase"/>
    <w:rsid w:val="00C72A74"/>
    <w:pPr>
      <w:spacing w:before="5600" w:line="240" w:lineRule="auto"/>
    </w:pPr>
    <w:rPr>
      <w:b/>
      <w:sz w:val="32"/>
    </w:rPr>
  </w:style>
  <w:style w:type="paragraph" w:customStyle="1" w:styleId="paragraphsub">
    <w:name w:val="paragraph(sub)"/>
    <w:aliases w:val="aa"/>
    <w:basedOn w:val="OPCParaBase"/>
    <w:rsid w:val="00C72A74"/>
    <w:pPr>
      <w:tabs>
        <w:tab w:val="right" w:pos="1985"/>
      </w:tabs>
      <w:spacing w:before="40" w:line="240" w:lineRule="auto"/>
      <w:ind w:left="2098" w:hanging="2098"/>
    </w:pPr>
  </w:style>
  <w:style w:type="paragraph" w:customStyle="1" w:styleId="paragraphsub-sub">
    <w:name w:val="paragraph(sub-sub)"/>
    <w:aliases w:val="aaa"/>
    <w:basedOn w:val="OPCParaBase"/>
    <w:rsid w:val="00C72A74"/>
    <w:pPr>
      <w:tabs>
        <w:tab w:val="right" w:pos="2722"/>
      </w:tabs>
      <w:spacing w:before="40" w:line="240" w:lineRule="auto"/>
      <w:ind w:left="2835" w:hanging="2835"/>
    </w:pPr>
  </w:style>
  <w:style w:type="paragraph" w:customStyle="1" w:styleId="ParlAmend">
    <w:name w:val="ParlAmend"/>
    <w:aliases w:val="pp"/>
    <w:basedOn w:val="OPCParaBase"/>
    <w:rsid w:val="00C72A74"/>
    <w:pPr>
      <w:spacing w:before="240" w:line="240" w:lineRule="atLeast"/>
      <w:ind w:hanging="567"/>
    </w:pPr>
    <w:rPr>
      <w:sz w:val="24"/>
    </w:rPr>
  </w:style>
  <w:style w:type="paragraph" w:customStyle="1" w:styleId="Portfolio">
    <w:name w:val="Portfolio"/>
    <w:basedOn w:val="OPCParaBase"/>
    <w:rsid w:val="00C72A74"/>
    <w:pPr>
      <w:spacing w:line="240" w:lineRule="auto"/>
    </w:pPr>
    <w:rPr>
      <w:i/>
      <w:sz w:val="20"/>
    </w:rPr>
  </w:style>
  <w:style w:type="paragraph" w:customStyle="1" w:styleId="Preamble">
    <w:name w:val="Preamble"/>
    <w:basedOn w:val="OPCParaBase"/>
    <w:next w:val="Normal"/>
    <w:rsid w:val="00C72A74"/>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C72A74"/>
    <w:pPr>
      <w:spacing w:line="240" w:lineRule="auto"/>
    </w:pPr>
    <w:rPr>
      <w:i/>
      <w:sz w:val="20"/>
    </w:rPr>
  </w:style>
  <w:style w:type="paragraph" w:customStyle="1" w:styleId="Session">
    <w:name w:val="Session"/>
    <w:basedOn w:val="OPCParaBase"/>
    <w:rsid w:val="00C72A74"/>
    <w:pPr>
      <w:spacing w:line="240" w:lineRule="auto"/>
    </w:pPr>
    <w:rPr>
      <w:sz w:val="28"/>
    </w:rPr>
  </w:style>
  <w:style w:type="paragraph" w:customStyle="1" w:styleId="Sponsor">
    <w:name w:val="Sponsor"/>
    <w:basedOn w:val="OPCParaBase"/>
    <w:rsid w:val="00C72A74"/>
    <w:pPr>
      <w:spacing w:line="240" w:lineRule="auto"/>
    </w:pPr>
    <w:rPr>
      <w:i/>
    </w:rPr>
  </w:style>
  <w:style w:type="paragraph" w:customStyle="1" w:styleId="Subitem">
    <w:name w:val="Subitem"/>
    <w:aliases w:val="iss"/>
    <w:basedOn w:val="OPCParaBase"/>
    <w:rsid w:val="00C72A74"/>
    <w:pPr>
      <w:spacing w:before="180" w:line="240" w:lineRule="auto"/>
      <w:ind w:left="709" w:hanging="709"/>
    </w:pPr>
  </w:style>
  <w:style w:type="paragraph" w:customStyle="1" w:styleId="SubitemHead">
    <w:name w:val="SubitemHead"/>
    <w:aliases w:val="issh"/>
    <w:basedOn w:val="OPCParaBase"/>
    <w:rsid w:val="00C72A74"/>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2A74"/>
    <w:pPr>
      <w:spacing w:before="40" w:line="240" w:lineRule="auto"/>
      <w:ind w:left="1134"/>
    </w:pPr>
  </w:style>
  <w:style w:type="paragraph" w:customStyle="1" w:styleId="SubsectionHead">
    <w:name w:val="SubsectionHead"/>
    <w:aliases w:val="ssh"/>
    <w:basedOn w:val="OPCParaBase"/>
    <w:next w:val="subsection"/>
    <w:rsid w:val="00C72A74"/>
    <w:pPr>
      <w:keepNext/>
      <w:keepLines/>
      <w:spacing w:before="240" w:line="240" w:lineRule="auto"/>
      <w:ind w:left="1134"/>
    </w:pPr>
    <w:rPr>
      <w:i/>
    </w:rPr>
  </w:style>
  <w:style w:type="paragraph" w:customStyle="1" w:styleId="Tablea">
    <w:name w:val="Table(a)"/>
    <w:aliases w:val="ta"/>
    <w:basedOn w:val="OPCParaBase"/>
    <w:rsid w:val="00C72A74"/>
    <w:pPr>
      <w:spacing w:before="60" w:line="240" w:lineRule="auto"/>
      <w:ind w:left="284" w:hanging="284"/>
    </w:pPr>
    <w:rPr>
      <w:sz w:val="20"/>
    </w:rPr>
  </w:style>
  <w:style w:type="paragraph" w:customStyle="1" w:styleId="TableAA">
    <w:name w:val="Table(AA)"/>
    <w:aliases w:val="taaa"/>
    <w:basedOn w:val="OPCParaBase"/>
    <w:rsid w:val="00C72A74"/>
    <w:pPr>
      <w:tabs>
        <w:tab w:val="left" w:pos="-6543"/>
        <w:tab w:val="left" w:pos="-6260"/>
      </w:tabs>
      <w:spacing w:line="240" w:lineRule="exact"/>
      <w:ind w:left="1055" w:hanging="284"/>
    </w:pPr>
    <w:rPr>
      <w:sz w:val="20"/>
    </w:rPr>
  </w:style>
  <w:style w:type="paragraph" w:customStyle="1" w:styleId="Tablei">
    <w:name w:val="Table(i)"/>
    <w:aliases w:val="taa"/>
    <w:basedOn w:val="OPCParaBase"/>
    <w:rsid w:val="00C72A74"/>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C72A74"/>
    <w:pPr>
      <w:spacing w:before="60" w:line="240" w:lineRule="atLeast"/>
    </w:pPr>
    <w:rPr>
      <w:sz w:val="20"/>
    </w:rPr>
  </w:style>
  <w:style w:type="paragraph" w:customStyle="1" w:styleId="TLPBoxTextnote">
    <w:name w:val="TLPBoxText(note"/>
    <w:aliases w:val="right)"/>
    <w:basedOn w:val="OPCParaBase"/>
    <w:rsid w:val="00C72A74"/>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C72A74"/>
    <w:pPr>
      <w:numPr>
        <w:numId w:val="33"/>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C72A74"/>
    <w:pPr>
      <w:spacing w:before="122" w:line="198" w:lineRule="exact"/>
      <w:ind w:left="1985" w:hanging="851"/>
      <w:jc w:val="right"/>
    </w:pPr>
    <w:rPr>
      <w:sz w:val="18"/>
    </w:rPr>
  </w:style>
  <w:style w:type="paragraph" w:customStyle="1" w:styleId="TLPTableBullet">
    <w:name w:val="TLPTableBullet"/>
    <w:aliases w:val="ttb"/>
    <w:basedOn w:val="OPCParaBase"/>
    <w:rsid w:val="00C72A74"/>
    <w:pPr>
      <w:spacing w:line="240" w:lineRule="exact"/>
      <w:ind w:left="284" w:hanging="284"/>
    </w:pPr>
    <w:rPr>
      <w:sz w:val="20"/>
    </w:rPr>
  </w:style>
  <w:style w:type="paragraph" w:customStyle="1" w:styleId="TofSectsGroupHeading">
    <w:name w:val="TofSects(GroupHeading)"/>
    <w:basedOn w:val="OPCParaBase"/>
    <w:next w:val="TofSectsSection"/>
    <w:rsid w:val="00C72A74"/>
    <w:pPr>
      <w:keepLines/>
      <w:spacing w:before="240" w:after="120" w:line="240" w:lineRule="auto"/>
      <w:ind w:left="794"/>
    </w:pPr>
    <w:rPr>
      <w:b/>
      <w:kern w:val="28"/>
      <w:sz w:val="20"/>
    </w:rPr>
  </w:style>
  <w:style w:type="paragraph" w:customStyle="1" w:styleId="TofSectsHeading">
    <w:name w:val="TofSects(Heading)"/>
    <w:basedOn w:val="OPCParaBase"/>
    <w:rsid w:val="00C72A74"/>
    <w:pPr>
      <w:spacing w:before="240" w:after="120" w:line="240" w:lineRule="auto"/>
    </w:pPr>
    <w:rPr>
      <w:b/>
      <w:sz w:val="24"/>
    </w:rPr>
  </w:style>
  <w:style w:type="paragraph" w:customStyle="1" w:styleId="TofSectsSection">
    <w:name w:val="TofSects(Section)"/>
    <w:basedOn w:val="OPCParaBase"/>
    <w:rsid w:val="00C72A74"/>
    <w:pPr>
      <w:keepLines/>
      <w:spacing w:before="40" w:line="240" w:lineRule="auto"/>
      <w:ind w:left="1588" w:hanging="794"/>
    </w:pPr>
    <w:rPr>
      <w:kern w:val="28"/>
      <w:sz w:val="18"/>
    </w:rPr>
  </w:style>
  <w:style w:type="paragraph" w:customStyle="1" w:styleId="TofSectsSubdiv">
    <w:name w:val="TofSects(Subdiv)"/>
    <w:basedOn w:val="OPCParaBase"/>
    <w:rsid w:val="00C72A74"/>
    <w:pPr>
      <w:keepLines/>
      <w:spacing w:before="80" w:line="240" w:lineRule="auto"/>
      <w:ind w:left="1588" w:hanging="794"/>
    </w:pPr>
    <w:rPr>
      <w:kern w:val="28"/>
    </w:rPr>
  </w:style>
  <w:style w:type="paragraph" w:customStyle="1" w:styleId="WRStyle">
    <w:name w:val="WR Style"/>
    <w:aliases w:val="WR"/>
    <w:basedOn w:val="OPCParaBase"/>
    <w:rsid w:val="00C72A74"/>
    <w:pPr>
      <w:spacing w:before="240" w:line="240" w:lineRule="auto"/>
      <w:ind w:left="284" w:hanging="284"/>
    </w:pPr>
    <w:rPr>
      <w:b/>
      <w:i/>
      <w:kern w:val="28"/>
      <w:sz w:val="24"/>
    </w:rPr>
  </w:style>
  <w:style w:type="paragraph" w:customStyle="1" w:styleId="notepara">
    <w:name w:val="note(para)"/>
    <w:aliases w:val="na"/>
    <w:basedOn w:val="OPCParaBase"/>
    <w:rsid w:val="00C72A74"/>
    <w:pPr>
      <w:spacing w:before="40" w:line="198" w:lineRule="exact"/>
      <w:ind w:left="2354" w:hanging="369"/>
    </w:pPr>
    <w:rPr>
      <w:sz w:val="18"/>
    </w:rPr>
  </w:style>
  <w:style w:type="character" w:customStyle="1" w:styleId="FooterChar">
    <w:name w:val="Footer Char"/>
    <w:basedOn w:val="DefaultParagraphFont"/>
    <w:link w:val="Footer"/>
    <w:rsid w:val="00C72A74"/>
    <w:rPr>
      <w:sz w:val="22"/>
      <w:szCs w:val="24"/>
    </w:rPr>
  </w:style>
  <w:style w:type="table" w:customStyle="1" w:styleId="CFlag">
    <w:name w:val="CFlag"/>
    <w:basedOn w:val="TableNormal"/>
    <w:uiPriority w:val="99"/>
    <w:rsid w:val="00C72A74"/>
    <w:tblPr>
      <w:tblInd w:w="0" w:type="dxa"/>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rsid w:val="00C72A74"/>
    <w:rPr>
      <w:rFonts w:ascii="Tahoma" w:eastAsiaTheme="minorHAnsi" w:hAnsi="Tahoma" w:cs="Tahoma"/>
      <w:sz w:val="16"/>
      <w:szCs w:val="16"/>
      <w:lang w:eastAsia="en-US"/>
    </w:rPr>
  </w:style>
  <w:style w:type="paragraph" w:customStyle="1" w:styleId="InstNo">
    <w:name w:val="InstNo"/>
    <w:basedOn w:val="OPCParaBase"/>
    <w:next w:val="Normal"/>
    <w:rsid w:val="00C72A74"/>
    <w:rPr>
      <w:b/>
      <w:sz w:val="28"/>
      <w:szCs w:val="32"/>
    </w:rPr>
  </w:style>
  <w:style w:type="paragraph" w:customStyle="1" w:styleId="LegislationMadeUnder">
    <w:name w:val="LegislationMadeUnder"/>
    <w:basedOn w:val="OPCParaBase"/>
    <w:next w:val="Normal"/>
    <w:rsid w:val="00C72A74"/>
    <w:rPr>
      <w:i/>
      <w:sz w:val="32"/>
      <w:szCs w:val="32"/>
    </w:rPr>
  </w:style>
  <w:style w:type="paragraph" w:customStyle="1" w:styleId="SubPartCASA">
    <w:name w:val="SubPart(CASA)"/>
    <w:aliases w:val="csp"/>
    <w:basedOn w:val="OPCParaBase"/>
    <w:next w:val="ActHead3"/>
    <w:rsid w:val="00C72A74"/>
    <w:pPr>
      <w:keepNext/>
      <w:keepLines/>
      <w:spacing w:before="280"/>
      <w:outlineLvl w:val="1"/>
    </w:pPr>
    <w:rPr>
      <w:b/>
      <w:kern w:val="28"/>
      <w:sz w:val="32"/>
    </w:rPr>
  </w:style>
  <w:style w:type="paragraph" w:customStyle="1" w:styleId="SignCoverPageEnd">
    <w:name w:val="SignCoverPageEnd"/>
    <w:basedOn w:val="OPCParaBase"/>
    <w:next w:val="Normal"/>
    <w:rsid w:val="00C72A74"/>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C72A74"/>
    <w:pPr>
      <w:pBdr>
        <w:top w:val="single" w:sz="4" w:space="1" w:color="auto"/>
      </w:pBdr>
      <w:spacing w:before="360"/>
      <w:ind w:right="397"/>
      <w:jc w:val="both"/>
    </w:pPr>
  </w:style>
  <w:style w:type="paragraph" w:customStyle="1" w:styleId="NotesHeading1">
    <w:name w:val="NotesHeading 1"/>
    <w:basedOn w:val="OPCParaBase"/>
    <w:next w:val="Normal"/>
    <w:rsid w:val="00C72A74"/>
    <w:pPr>
      <w:outlineLvl w:val="0"/>
    </w:pPr>
    <w:rPr>
      <w:b/>
      <w:sz w:val="28"/>
      <w:szCs w:val="28"/>
    </w:rPr>
  </w:style>
  <w:style w:type="paragraph" w:customStyle="1" w:styleId="NotesHeading2">
    <w:name w:val="NotesHeading 2"/>
    <w:basedOn w:val="OPCParaBase"/>
    <w:next w:val="Normal"/>
    <w:rsid w:val="00C72A74"/>
    <w:rPr>
      <w:b/>
      <w:sz w:val="28"/>
      <w:szCs w:val="28"/>
    </w:rPr>
  </w:style>
  <w:style w:type="paragraph" w:customStyle="1" w:styleId="CompiledActNo">
    <w:name w:val="CompiledActNo"/>
    <w:basedOn w:val="OPCParaBase"/>
    <w:next w:val="Normal"/>
    <w:rsid w:val="00C72A74"/>
    <w:rPr>
      <w:b/>
      <w:sz w:val="24"/>
      <w:szCs w:val="24"/>
    </w:rPr>
  </w:style>
  <w:style w:type="paragraph" w:customStyle="1" w:styleId="ENotesText">
    <w:name w:val="ENotesText"/>
    <w:aliases w:val="Ent,ENt"/>
    <w:basedOn w:val="OPCParaBase"/>
    <w:next w:val="Normal"/>
    <w:rsid w:val="00C72A74"/>
    <w:pPr>
      <w:spacing w:before="120"/>
    </w:pPr>
  </w:style>
  <w:style w:type="paragraph" w:customStyle="1" w:styleId="CompiledMadeUnder">
    <w:name w:val="CompiledMadeUnder"/>
    <w:basedOn w:val="OPCParaBase"/>
    <w:next w:val="Normal"/>
    <w:rsid w:val="00C72A74"/>
    <w:rPr>
      <w:i/>
      <w:sz w:val="24"/>
      <w:szCs w:val="24"/>
    </w:rPr>
  </w:style>
  <w:style w:type="paragraph" w:customStyle="1" w:styleId="Paragraphsub-sub-sub">
    <w:name w:val="Paragraph(sub-sub-sub)"/>
    <w:aliases w:val="aaaa"/>
    <w:basedOn w:val="OPCParaBase"/>
    <w:rsid w:val="00C72A74"/>
    <w:pPr>
      <w:tabs>
        <w:tab w:val="right" w:pos="3402"/>
      </w:tabs>
      <w:spacing w:before="40" w:line="240" w:lineRule="auto"/>
      <w:ind w:left="3402" w:hanging="3402"/>
    </w:pPr>
  </w:style>
  <w:style w:type="paragraph" w:customStyle="1" w:styleId="TableTextEndNotes">
    <w:name w:val="TableTextEndNotes"/>
    <w:aliases w:val="Tten"/>
    <w:basedOn w:val="Normal"/>
    <w:rsid w:val="00C72A74"/>
    <w:pPr>
      <w:spacing w:before="60" w:line="240" w:lineRule="auto"/>
    </w:pPr>
    <w:rPr>
      <w:rFonts w:cs="Arial"/>
      <w:sz w:val="20"/>
      <w:szCs w:val="22"/>
    </w:rPr>
  </w:style>
  <w:style w:type="paragraph" w:customStyle="1" w:styleId="TableHeading">
    <w:name w:val="TableHeading"/>
    <w:aliases w:val="th"/>
    <w:basedOn w:val="OPCParaBase"/>
    <w:next w:val="Tabletext"/>
    <w:rsid w:val="00C72A74"/>
    <w:pPr>
      <w:keepNext/>
      <w:spacing w:before="60" w:line="240" w:lineRule="atLeast"/>
    </w:pPr>
    <w:rPr>
      <w:b/>
      <w:sz w:val="20"/>
    </w:rPr>
  </w:style>
  <w:style w:type="paragraph" w:customStyle="1" w:styleId="NoteToSubpara">
    <w:name w:val="NoteToSubpara"/>
    <w:aliases w:val="nts"/>
    <w:basedOn w:val="OPCParaBase"/>
    <w:rsid w:val="00C72A74"/>
    <w:pPr>
      <w:spacing w:before="40" w:line="198" w:lineRule="exact"/>
      <w:ind w:left="2835" w:hanging="709"/>
    </w:pPr>
    <w:rPr>
      <w:sz w:val="18"/>
    </w:rPr>
  </w:style>
  <w:style w:type="paragraph" w:customStyle="1" w:styleId="ENoteTableHeading">
    <w:name w:val="ENoteTableHeading"/>
    <w:aliases w:val="enth"/>
    <w:basedOn w:val="OPCParaBase"/>
    <w:rsid w:val="00C72A74"/>
    <w:pPr>
      <w:keepNext/>
      <w:spacing w:before="60" w:line="240" w:lineRule="atLeast"/>
    </w:pPr>
    <w:rPr>
      <w:rFonts w:ascii="Arial" w:hAnsi="Arial"/>
      <w:b/>
      <w:sz w:val="16"/>
    </w:rPr>
  </w:style>
  <w:style w:type="paragraph" w:customStyle="1" w:styleId="ENoteTTi">
    <w:name w:val="ENoteTTi"/>
    <w:aliases w:val="entti"/>
    <w:basedOn w:val="OPCParaBase"/>
    <w:rsid w:val="00C72A74"/>
    <w:pPr>
      <w:keepNext/>
      <w:spacing w:before="60" w:line="240" w:lineRule="atLeast"/>
      <w:ind w:left="170"/>
    </w:pPr>
    <w:rPr>
      <w:sz w:val="16"/>
    </w:rPr>
  </w:style>
  <w:style w:type="paragraph" w:customStyle="1" w:styleId="ENotesHeading1">
    <w:name w:val="ENotesHeading 1"/>
    <w:aliases w:val="Enh1"/>
    <w:basedOn w:val="OPCParaBase"/>
    <w:next w:val="Normal"/>
    <w:rsid w:val="00C72A74"/>
    <w:pPr>
      <w:spacing w:before="120"/>
      <w:outlineLvl w:val="1"/>
    </w:pPr>
    <w:rPr>
      <w:b/>
      <w:sz w:val="28"/>
      <w:szCs w:val="28"/>
    </w:rPr>
  </w:style>
  <w:style w:type="paragraph" w:customStyle="1" w:styleId="ENotesHeading2">
    <w:name w:val="ENotesHeading 2"/>
    <w:aliases w:val="Enh2,ENh2"/>
    <w:basedOn w:val="OPCParaBase"/>
    <w:next w:val="Normal"/>
    <w:rsid w:val="00C72A74"/>
    <w:pPr>
      <w:spacing w:before="120" w:after="120"/>
      <w:outlineLvl w:val="2"/>
    </w:pPr>
    <w:rPr>
      <w:b/>
      <w:sz w:val="24"/>
      <w:szCs w:val="28"/>
    </w:rPr>
  </w:style>
  <w:style w:type="paragraph" w:customStyle="1" w:styleId="ENoteTTIndentHeading">
    <w:name w:val="ENoteTTIndentHeading"/>
    <w:aliases w:val="enTTHi"/>
    <w:basedOn w:val="OPCParaBase"/>
    <w:rsid w:val="00C72A74"/>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C72A74"/>
    <w:pPr>
      <w:spacing w:before="60" w:line="240" w:lineRule="atLeast"/>
    </w:pPr>
    <w:rPr>
      <w:sz w:val="16"/>
    </w:rPr>
  </w:style>
  <w:style w:type="paragraph" w:customStyle="1" w:styleId="MadeunderText">
    <w:name w:val="MadeunderText"/>
    <w:basedOn w:val="OPCParaBase"/>
    <w:next w:val="CompiledMadeUnder"/>
    <w:rsid w:val="00C72A74"/>
    <w:pPr>
      <w:spacing w:before="240"/>
    </w:pPr>
    <w:rPr>
      <w:sz w:val="24"/>
      <w:szCs w:val="24"/>
    </w:rPr>
  </w:style>
  <w:style w:type="paragraph" w:customStyle="1" w:styleId="ENotesHeading3">
    <w:name w:val="ENotesHeading 3"/>
    <w:aliases w:val="Enh3"/>
    <w:basedOn w:val="OPCParaBase"/>
    <w:next w:val="Normal"/>
    <w:rsid w:val="00C72A74"/>
    <w:pPr>
      <w:keepNext/>
      <w:spacing w:before="120" w:line="240" w:lineRule="auto"/>
      <w:outlineLvl w:val="4"/>
    </w:pPr>
    <w:rPr>
      <w:b/>
      <w:szCs w:val="24"/>
    </w:rPr>
  </w:style>
  <w:style w:type="table" w:customStyle="1" w:styleId="TableGrid10">
    <w:name w:val="Table Grid1"/>
    <w:basedOn w:val="TableNormal"/>
    <w:next w:val="TableGrid"/>
    <w:uiPriority w:val="59"/>
    <w:rsid w:val="009566EC"/>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Num">
    <w:name w:val="BodyNum"/>
    <w:aliases w:val="b1"/>
    <w:basedOn w:val="Normal"/>
    <w:rsid w:val="00EA1252"/>
    <w:pPr>
      <w:numPr>
        <w:numId w:val="37"/>
      </w:numPr>
      <w:spacing w:before="240" w:line="240" w:lineRule="auto"/>
    </w:pPr>
    <w:rPr>
      <w:rFonts w:eastAsia="Times New Roman" w:cs="Times New Roman"/>
      <w:sz w:val="24"/>
      <w:lang w:eastAsia="en-AU"/>
    </w:rPr>
  </w:style>
  <w:style w:type="paragraph" w:customStyle="1" w:styleId="BodyPara">
    <w:name w:val="BodyPara"/>
    <w:aliases w:val="ba"/>
    <w:basedOn w:val="Normal"/>
    <w:rsid w:val="00EA1252"/>
    <w:pPr>
      <w:numPr>
        <w:ilvl w:val="1"/>
        <w:numId w:val="37"/>
      </w:numPr>
      <w:tabs>
        <w:tab w:val="clear" w:pos="1440"/>
        <w:tab w:val="num" w:pos="1492"/>
      </w:tabs>
      <w:spacing w:before="240" w:line="240" w:lineRule="auto"/>
      <w:ind w:left="1492" w:hanging="360"/>
    </w:pPr>
    <w:rPr>
      <w:rFonts w:eastAsia="Times New Roman" w:cs="Times New Roman"/>
      <w:sz w:val="24"/>
      <w:lang w:eastAsia="en-AU"/>
    </w:rPr>
  </w:style>
  <w:style w:type="paragraph" w:customStyle="1" w:styleId="BodyParaBullet">
    <w:name w:val="BodyParaBullet"/>
    <w:aliases w:val="bpb"/>
    <w:basedOn w:val="Normal"/>
    <w:rsid w:val="00EA1252"/>
    <w:pPr>
      <w:numPr>
        <w:ilvl w:val="2"/>
        <w:numId w:val="37"/>
      </w:numPr>
      <w:tabs>
        <w:tab w:val="clear" w:pos="1440"/>
        <w:tab w:val="num" w:pos="1492"/>
        <w:tab w:val="left" w:pos="2160"/>
      </w:tabs>
      <w:spacing w:before="240" w:line="240" w:lineRule="auto"/>
      <w:ind w:left="1492" w:hanging="360"/>
    </w:pPr>
    <w:rPr>
      <w:rFonts w:eastAsia="Times New Roman" w:cs="Times New Roman"/>
      <w:sz w:val="24"/>
      <w:lang w:eastAsia="en-AU"/>
    </w:rPr>
  </w:style>
  <w:style w:type="paragraph" w:customStyle="1" w:styleId="BodySubPara">
    <w:name w:val="BodySubPara"/>
    <w:aliases w:val="bi"/>
    <w:basedOn w:val="Normal"/>
    <w:rsid w:val="00EA1252"/>
    <w:pPr>
      <w:numPr>
        <w:ilvl w:val="3"/>
        <w:numId w:val="37"/>
      </w:numPr>
      <w:tabs>
        <w:tab w:val="clear" w:pos="2160"/>
        <w:tab w:val="num" w:pos="1492"/>
      </w:tabs>
      <w:spacing w:before="240" w:line="240" w:lineRule="auto"/>
      <w:ind w:left="1492" w:hanging="360"/>
    </w:pPr>
    <w:rPr>
      <w:rFonts w:eastAsia="Times New Roman" w:cs="Times New Roman"/>
      <w:sz w:val="24"/>
      <w:lang w:eastAsia="en-AU"/>
    </w:rPr>
  </w:style>
  <w:style w:type="numbering" w:customStyle="1" w:styleId="OPCBodyList">
    <w:name w:val="OPCBodyList"/>
    <w:uiPriority w:val="99"/>
    <w:rsid w:val="00EA1252"/>
    <w:pPr>
      <w:numPr>
        <w:numId w:val="37"/>
      </w:numPr>
    </w:pPr>
  </w:style>
  <w:style w:type="paragraph" w:customStyle="1" w:styleId="Note">
    <w:name w:val="Note"/>
    <w:basedOn w:val="Normal"/>
    <w:rsid w:val="00EA1252"/>
    <w:pPr>
      <w:keepLines/>
      <w:spacing w:before="120" w:line="220" w:lineRule="exact"/>
      <w:ind w:left="964"/>
      <w:jc w:val="both"/>
    </w:pPr>
    <w:rPr>
      <w:rFonts w:eastAsia="Times New Roman" w:cs="Times New Roman"/>
      <w:sz w:val="20"/>
      <w:szCs w:val="24"/>
      <w:lang w:eastAsia="en-AU"/>
    </w:rPr>
  </w:style>
  <w:style w:type="paragraph" w:customStyle="1" w:styleId="P1">
    <w:name w:val="P1"/>
    <w:aliases w:val="(a)"/>
    <w:basedOn w:val="Normal"/>
    <w:rsid w:val="00EA1252"/>
    <w:pPr>
      <w:keepLines/>
      <w:tabs>
        <w:tab w:val="right" w:pos="1191"/>
      </w:tabs>
      <w:spacing w:before="60" w:line="260" w:lineRule="exact"/>
      <w:ind w:left="1418" w:hanging="1418"/>
      <w:jc w:val="both"/>
    </w:pPr>
    <w:rPr>
      <w:rFonts w:eastAsia="Times New Roman" w:cs="Times New Roman"/>
      <w:sz w:val="24"/>
      <w:szCs w:val="24"/>
      <w:lang w:eastAsia="en-AU"/>
    </w:rPr>
  </w:style>
  <w:style w:type="paragraph" w:customStyle="1" w:styleId="P2">
    <w:name w:val="P2"/>
    <w:aliases w:val="(i)"/>
    <w:basedOn w:val="Normal"/>
    <w:uiPriority w:val="99"/>
    <w:rsid w:val="00EA1252"/>
    <w:pPr>
      <w:keepLines/>
      <w:tabs>
        <w:tab w:val="right" w:pos="1758"/>
        <w:tab w:val="left" w:pos="2155"/>
      </w:tabs>
      <w:spacing w:before="60" w:line="260" w:lineRule="exact"/>
      <w:ind w:left="1985" w:hanging="1985"/>
      <w:jc w:val="both"/>
    </w:pPr>
    <w:rPr>
      <w:rFonts w:eastAsia="Times New Roman" w:cs="Times New Roman"/>
      <w:sz w:val="24"/>
      <w:szCs w:val="24"/>
      <w:lang w:eastAsia="en-AU"/>
    </w:rPr>
  </w:style>
  <w:style w:type="paragraph" w:customStyle="1" w:styleId="Specials">
    <w:name w:val="Special s"/>
    <w:basedOn w:val="ActHead5"/>
    <w:link w:val="SpecialsChar"/>
    <w:rsid w:val="009D77F8"/>
    <w:pPr>
      <w:outlineLvl w:val="9"/>
    </w:pPr>
  </w:style>
  <w:style w:type="character" w:customStyle="1" w:styleId="OPCParaBaseChar">
    <w:name w:val="OPCParaBase Char"/>
    <w:basedOn w:val="DefaultParagraphFont"/>
    <w:link w:val="OPCParaBase"/>
    <w:rsid w:val="009D77F8"/>
    <w:rPr>
      <w:sz w:val="22"/>
    </w:rPr>
  </w:style>
  <w:style w:type="character" w:customStyle="1" w:styleId="ActHead5Char">
    <w:name w:val="ActHead 5 Char"/>
    <w:aliases w:val="s Char"/>
    <w:basedOn w:val="OPCParaBaseChar"/>
    <w:link w:val="ActHead5"/>
    <w:rsid w:val="009D77F8"/>
    <w:rPr>
      <w:b/>
      <w:kern w:val="28"/>
      <w:sz w:val="24"/>
    </w:rPr>
  </w:style>
  <w:style w:type="character" w:customStyle="1" w:styleId="SpecialsChar">
    <w:name w:val="Special s Char"/>
    <w:basedOn w:val="ActHead5Char"/>
    <w:link w:val="Specials"/>
    <w:rsid w:val="009D77F8"/>
    <w:rPr>
      <w:b/>
      <w:kern w:val="28"/>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1035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image" Target="media/image9.wmf"/><Relationship Id="rId39" Type="http://schemas.openxmlformats.org/officeDocument/2006/relationships/footer" Target="footer10.xml"/><Relationship Id="rId21" Type="http://schemas.openxmlformats.org/officeDocument/2006/relationships/image" Target="media/image4.wmf"/><Relationship Id="rId34" Type="http://schemas.openxmlformats.org/officeDocument/2006/relationships/header" Target="header10.xml"/><Relationship Id="rId42" Type="http://schemas.openxmlformats.org/officeDocument/2006/relationships/footer" Target="footer11.xml"/><Relationship Id="rId47" Type="http://schemas.openxmlformats.org/officeDocument/2006/relationships/header" Target="header17.xml"/><Relationship Id="rId50" Type="http://schemas.openxmlformats.org/officeDocument/2006/relationships/header" Target="header18.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8.wmf"/><Relationship Id="rId33" Type="http://schemas.openxmlformats.org/officeDocument/2006/relationships/footer" Target="footer7.xml"/><Relationship Id="rId38" Type="http://schemas.openxmlformats.org/officeDocument/2006/relationships/header" Target="header12.xml"/><Relationship Id="rId46"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3.wmf"/><Relationship Id="rId29" Type="http://schemas.openxmlformats.org/officeDocument/2006/relationships/header" Target="header8.xml"/><Relationship Id="rId41" Type="http://schemas.openxmlformats.org/officeDocument/2006/relationships/header" Target="header14.xml"/><Relationship Id="rId54"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image" Target="media/image7.wmf"/><Relationship Id="rId32" Type="http://schemas.openxmlformats.org/officeDocument/2006/relationships/header" Target="header9.xml"/><Relationship Id="rId37" Type="http://schemas.openxmlformats.org/officeDocument/2006/relationships/footer" Target="footer9.xml"/><Relationship Id="rId40" Type="http://schemas.openxmlformats.org/officeDocument/2006/relationships/header" Target="header13.xml"/><Relationship Id="rId45" Type="http://schemas.openxmlformats.org/officeDocument/2006/relationships/footer" Target="footer13.xml"/><Relationship Id="rId53"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6.wmf"/><Relationship Id="rId28" Type="http://schemas.openxmlformats.org/officeDocument/2006/relationships/header" Target="header7.xml"/><Relationship Id="rId36" Type="http://schemas.openxmlformats.org/officeDocument/2006/relationships/footer" Target="footer8.xml"/><Relationship Id="rId49" Type="http://schemas.openxmlformats.org/officeDocument/2006/relationships/footer" Target="footer15.xml"/><Relationship Id="rId57"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2.wmf"/><Relationship Id="rId31" Type="http://schemas.openxmlformats.org/officeDocument/2006/relationships/footer" Target="footer6.xml"/><Relationship Id="rId44" Type="http://schemas.openxmlformats.org/officeDocument/2006/relationships/header" Target="header15.xml"/><Relationship Id="rId52" Type="http://schemas.openxmlformats.org/officeDocument/2006/relationships/footer" Target="footer1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5.wmf"/><Relationship Id="rId27" Type="http://schemas.openxmlformats.org/officeDocument/2006/relationships/image" Target="media/image10.wmf"/><Relationship Id="rId30" Type="http://schemas.openxmlformats.org/officeDocument/2006/relationships/footer" Target="footer5.xml"/><Relationship Id="rId35" Type="http://schemas.openxmlformats.org/officeDocument/2006/relationships/header" Target="header11.xml"/><Relationship Id="rId43" Type="http://schemas.openxmlformats.org/officeDocument/2006/relationships/footer" Target="footer12.xml"/><Relationship Id="rId48" Type="http://schemas.openxmlformats.org/officeDocument/2006/relationships/footer" Target="footer14.xml"/><Relationship Id="rId56"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header" Target="header19.xml"/><Relationship Id="rId3"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CONSOLINST_New.DOTX</Template>
  <TotalTime>0</TotalTime>
  <Pages>30</Pages>
  <Words>6446</Words>
  <Characters>34300</Characters>
  <Application>Microsoft Office Word</Application>
  <DocSecurity>0</DocSecurity>
  <PresentationFormat/>
  <Lines>1429</Lines>
  <Paragraphs>768</Paragraphs>
  <ScaleCrop>false</ScaleCrop>
  <HeadingPairs>
    <vt:vector size="2" baseType="variant">
      <vt:variant>
        <vt:lpstr>Title</vt:lpstr>
      </vt:variant>
      <vt:variant>
        <vt:i4>1</vt:i4>
      </vt:variant>
    </vt:vector>
  </HeadingPairs>
  <TitlesOfParts>
    <vt:vector size="1" baseType="lpstr">
      <vt:lpstr>Automotive Transformation Scheme Order 2010</vt:lpstr>
    </vt:vector>
  </TitlesOfParts>
  <LinksUpToDate>false</LinksUpToDate>
  <CharactersWithSpaces>39978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Transformation Scheme Order 2010</dc:title>
  <dc:creator/>
  <cp:lastModifiedBy/>
  <cp:revision>1</cp:revision>
  <cp:lastPrinted>2010-05-13T00:24:00Z</cp:lastPrinted>
  <dcterms:created xsi:type="dcterms:W3CDTF">2013-06-23T23:35:00Z</dcterms:created>
  <dcterms:modified xsi:type="dcterms:W3CDTF">2013-06-24T04:57:00Z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bool>true</vt:bool>
  </property>
  <property fmtid="{D5CDD505-2E9C-101B-9397-08002B2CF9AE}" pid="3" name="Final">
    <vt:bool>true</vt:bool>
  </property>
  <property fmtid="{D5CDD505-2E9C-101B-9397-08002B2CF9AE}" pid="4" name="Compilation">
    <vt:lpwstr>Yes</vt:lpwstr>
  </property>
  <property fmtid="{D5CDD505-2E9C-101B-9397-08002B2CF9AE}" pid="5" name="Type">
    <vt:lpwstr>LI</vt:lpwstr>
  </property>
  <property fmtid="{D5CDD505-2E9C-101B-9397-08002B2CF9AE}" pid="6" name="DocType">
    <vt:lpwstr>NEW</vt:lpwstr>
  </property>
  <property fmtid="{D5CDD505-2E9C-101B-9397-08002B2CF9AE}" pid="7" name="Converted">
    <vt:bool>true</vt:bool>
  </property>
  <property fmtid="{D5CDD505-2E9C-101B-9397-08002B2CF9AE}" pid="8" name="Classification">
    <vt:lpwstr>UNCLASSIFIED</vt:lpwstr>
  </property>
  <property fmtid="{D5CDD505-2E9C-101B-9397-08002B2CF9AE}" pid="9" name="Header">
    <vt:lpwstr>Section</vt:lpwstr>
  </property>
  <property fmtid="{D5CDD505-2E9C-101B-9397-08002B2CF9AE}" pid="10" name="ActNo">
    <vt:lpwstr/>
  </property>
  <property fmtid="{D5CDD505-2E9C-101B-9397-08002B2CF9AE}" pid="11" name="ShortT">
    <vt:lpwstr>Automotive Transformation Scheme Order 2010</vt:lpwstr>
  </property>
  <property fmtid="{D5CDD505-2E9C-101B-9397-08002B2CF9AE}" pid="12" name="Class">
    <vt:lpwstr>Order</vt:lpwstr>
  </property>
  <property fmtid="{D5CDD505-2E9C-101B-9397-08002B2CF9AE}" pid="13" name="Exco">
    <vt:lpwstr>No</vt:lpwstr>
  </property>
  <property fmtid="{D5CDD505-2E9C-101B-9397-08002B2CF9AE}" pid="14" name="Authority">
    <vt:lpwstr>Minister for Innovation, Industry, Science and Research</vt:lpwstr>
  </property>
  <property fmtid="{D5CDD505-2E9C-101B-9397-08002B2CF9AE}" pid="15" name="DateMade">
    <vt:lpwstr>31 May 2010</vt:lpwstr>
  </property>
  <property fmtid="{D5CDD505-2E9C-101B-9397-08002B2CF9AE}" pid="16" name="DoNotAsk">
    <vt:lpwstr>0</vt:lpwstr>
  </property>
  <property fmtid="{D5CDD505-2E9C-101B-9397-08002B2CF9AE}" pid="17" name="ChangedTitle">
    <vt:lpwstr/>
  </property>
</Properties>
</file>