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Compiled Auditing Standard"/>
        <w:tblDescription w:val="Identification that the document is an AUASB Compiled Auditing Standard, ASA number and month of issue"/>
      </w:tblPr>
      <w:tblGrid>
        <w:gridCol w:w="4536"/>
        <w:gridCol w:w="4536"/>
      </w:tblGrid>
      <w:tr w:rsidR="004D4D03" w:rsidTr="00DE45DA">
        <w:tc>
          <w:tcPr>
            <w:tcW w:w="4536" w:type="dxa"/>
          </w:tcPr>
          <w:p w:rsidR="004D4D03" w:rsidRPr="00983F64" w:rsidRDefault="00983F64" w:rsidP="00983F64">
            <w:pPr>
              <w:pStyle w:val="CoverNumber"/>
              <w:jc w:val="left"/>
              <w:rPr>
                <w:caps w:val="0"/>
              </w:rPr>
            </w:pPr>
            <w:r w:rsidRPr="00983F64">
              <w:rPr>
                <w:caps w:val="0"/>
              </w:rPr>
              <w:t>Compiled Auditing Standard</w:t>
            </w:r>
          </w:p>
        </w:tc>
        <w:tc>
          <w:tcPr>
            <w:tcW w:w="4536" w:type="dxa"/>
          </w:tcPr>
          <w:p w:rsidR="004D4D03" w:rsidRDefault="00090F5F">
            <w:pPr>
              <w:pStyle w:val="CoverNumber"/>
            </w:pPr>
            <w:r>
              <w:fldChar w:fldCharType="begin" w:fldLock="1"/>
            </w:r>
            <w:r>
              <w:instrText xml:space="preserve"> REF DocType \* charformat </w:instrText>
            </w:r>
            <w:r w:rsidR="00983F64">
              <w:instrText xml:space="preserve"> \* MERGEFORMAT </w:instrText>
            </w:r>
            <w:r>
              <w:fldChar w:fldCharType="separate"/>
            </w:r>
            <w:r w:rsidR="00B020E2">
              <w:t>ASA</w:t>
            </w:r>
            <w:r>
              <w:fldChar w:fldCharType="end"/>
            </w:r>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983F64">
              <w:instrText xml:space="preserve"> \* MERGEFORMAT </w:instrText>
            </w:r>
            <w:r w:rsidR="007B449F">
              <w:fldChar w:fldCharType="separate"/>
            </w:r>
            <w:r w:rsidR="00B020E2">
              <w:t>500</w:t>
            </w:r>
            <w:r w:rsidR="007B449F">
              <w:fldChar w:fldCharType="end"/>
            </w:r>
          </w:p>
          <w:p w:rsidR="004D4D03" w:rsidRDefault="004D4D03" w:rsidP="004F2B24">
            <w:pPr>
              <w:pStyle w:val="CoverDate"/>
            </w:pPr>
            <w:r>
              <w:t>(</w:t>
            </w:r>
            <w:bookmarkStart w:id="0" w:name="DocDate"/>
            <w:r w:rsidR="004F2B24">
              <w:t>November </w:t>
            </w:r>
            <w:r w:rsidR="00107ECE">
              <w:t>2013</w:t>
            </w:r>
            <w:bookmarkEnd w:id="0"/>
            <w:r>
              <w:t>)</w:t>
            </w:r>
          </w:p>
        </w:tc>
      </w:tr>
    </w:tbl>
    <w:p w:rsidR="004D4D03" w:rsidRDefault="00107ECE">
      <w:pPr>
        <w:pStyle w:val="CoverTitle"/>
      </w:pPr>
      <w:bookmarkStart w:id="1" w:name="DocTypeLong"/>
      <w:r>
        <w:rPr>
          <w:i w:val="0"/>
        </w:rPr>
        <w:t>Auditing Standard</w:t>
      </w:r>
      <w:bookmarkEnd w:id="1"/>
      <w:r w:rsidR="006E419A" w:rsidRPr="000D243E">
        <w:rPr>
          <w:i w:val="0"/>
        </w:rPr>
        <w:t xml:space="preserve"> </w:t>
      </w:r>
      <w:bookmarkStart w:id="2" w:name="DocType"/>
      <w:r>
        <w:rPr>
          <w:i w:val="0"/>
        </w:rPr>
        <w:t>ASA</w:t>
      </w:r>
      <w:bookmarkEnd w:id="2"/>
      <w:r w:rsidR="004D4D03" w:rsidRPr="000D243E">
        <w:rPr>
          <w:i w:val="0"/>
        </w:rPr>
        <w:t> </w:t>
      </w:r>
      <w:bookmarkStart w:id="3" w:name="DocNo"/>
      <w:r>
        <w:rPr>
          <w:i w:val="0"/>
        </w:rPr>
        <w:t>500</w:t>
      </w:r>
      <w:bookmarkEnd w:id="3"/>
      <w:r w:rsidR="004D4D03" w:rsidRPr="000D243E">
        <w:br/>
      </w:r>
      <w:bookmarkStart w:id="4" w:name="DocTitle"/>
      <w:r>
        <w:t>Audit Evidence</w:t>
      </w:r>
      <w:bookmarkEnd w:id="4"/>
    </w:p>
    <w:p w:rsidR="00983F64" w:rsidRDefault="00983F64">
      <w:pPr>
        <w:pStyle w:val="CoverSubTitle"/>
        <w:ind w:right="-142"/>
      </w:pPr>
      <w:r>
        <w:t xml:space="preserve">This compilation was prepared on </w:t>
      </w:r>
      <w:bookmarkStart w:id="5" w:name="PrepDate"/>
      <w:r w:rsidR="004F2B24">
        <w:t>11 November</w:t>
      </w:r>
      <w:r w:rsidR="00107ECE">
        <w:t> 2013</w:t>
      </w:r>
      <w:bookmarkEnd w:id="5"/>
      <w:r>
        <w:t xml:space="preserve"> taking into account amendments </w:t>
      </w:r>
      <w:r w:rsidR="00534AE8">
        <w:t>made by</w:t>
      </w:r>
      <w:r w:rsidR="00B00722">
        <w:t xml:space="preserve"> </w:t>
      </w:r>
      <w:bookmarkStart w:id="6" w:name="AmendListCover"/>
      <w:r w:rsidR="00824BD6">
        <w:t>ASA </w:t>
      </w:r>
      <w:r w:rsidR="00107ECE">
        <w:t>2011</w:t>
      </w:r>
      <w:r w:rsidR="00107ECE">
        <w:noBreakHyphen/>
        <w:t>1 and ASA 2013</w:t>
      </w:r>
      <w:r w:rsidR="00107ECE">
        <w:noBreakHyphen/>
      </w:r>
      <w:bookmarkEnd w:id="6"/>
      <w:r w:rsidR="00335AC5">
        <w:t>2</w:t>
      </w:r>
    </w:p>
    <w:p w:rsidR="004D4D03" w:rsidRDefault="00983F64">
      <w:pPr>
        <w:pStyle w:val="CoverSubTitle"/>
        <w:ind w:right="-142"/>
      </w:pPr>
      <w:r>
        <w:t>Prepared</w:t>
      </w:r>
      <w:r w:rsidR="004D4D03">
        <w:t xml:space="preserve"> by the </w:t>
      </w:r>
      <w:r w:rsidR="004D4D03">
        <w:rPr>
          <w:b/>
          <w:bCs/>
        </w:rPr>
        <w:t>Auditing and Assurance Standards Board</w:t>
      </w:r>
    </w:p>
    <w:p w:rsidR="004D4D03" w:rsidRDefault="00D51EB7">
      <w:pPr>
        <w:sectPr w:rsidR="004D4D03" w:rsidSect="006D2111">
          <w:headerReference w:type="default" r:id="rId9"/>
          <w:headerReference w:type="first" r:id="rId10"/>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50B9FCB0" wp14:editId="0A1FCCE6">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D03" w:rsidRDefault="004D4D03" w:rsidP="009960AD">
      <w:pPr>
        <w:pStyle w:val="Heading5"/>
        <w:ind w:right="-284"/>
      </w:pPr>
      <w:r>
        <w:lastRenderedPageBreak/>
        <w:t xml:space="preserve">Obtaining a Copy of this </w:t>
      </w:r>
      <w:fldSimple w:instr=" REF DocTypeLong \* charformat " w:fldLock="1">
        <w:r w:rsidR="00B020E2">
          <w:t>Auditing Standard</w:t>
        </w:r>
      </w:fldSimple>
    </w:p>
    <w:p w:rsidR="004D4D03" w:rsidRDefault="000A628D" w:rsidP="006014A0">
      <w:pPr>
        <w:pStyle w:val="ParaPlain"/>
      </w:pPr>
      <w:r>
        <w:t>The most recently compiled versions of</w:t>
      </w:r>
      <w:bookmarkStart w:id="7" w:name="DocTypeLongPlural"/>
      <w:bookmarkEnd w:id="7"/>
      <w:r>
        <w:t xml:space="preserve"> </w:t>
      </w:r>
      <w:r w:rsidR="00FA3513">
        <w:t xml:space="preserve">Auditing Standards, </w:t>
      </w:r>
      <w:r>
        <w:t>original Standards and amending Standards (see Compilation Details) are</w:t>
      </w:r>
      <w:r w:rsidR="004D4D03">
        <w:t xml:space="preserve"> available on the </w:t>
      </w:r>
      <w:r w:rsidR="002F6C85">
        <w:t>AUASB website: www.auasb.gov.au</w:t>
      </w:r>
    </w:p>
    <w:p w:rsidR="004D4D03" w:rsidRDefault="007B60DF"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rsidTr="00DE45DA">
        <w:tc>
          <w:tcPr>
            <w:tcW w:w="4536" w:type="dxa"/>
            <w:tcMar>
              <w:right w:w="28" w:type="dxa"/>
            </w:tcMar>
          </w:tcPr>
          <w:p w:rsidR="004D4D03" w:rsidRDefault="004D4D03">
            <w:r>
              <w:t>Auditing and Assurance Standards Board</w:t>
            </w:r>
          </w:p>
          <w:p w:rsidR="004D4D03" w:rsidRDefault="006E419A">
            <w:r>
              <w:t>Level 7</w:t>
            </w:r>
            <w:r w:rsidR="00026B75">
              <w:t xml:space="preserve">, </w:t>
            </w:r>
            <w:r>
              <w:t>600 Bourke</w:t>
            </w:r>
            <w:r w:rsidR="004D4D03">
              <w:t xml:space="preserve"> Street</w:t>
            </w:r>
          </w:p>
          <w:p w:rsidR="004D4D03" w:rsidRDefault="004D4D03">
            <w:r>
              <w:t>Melbourne   Victoria   3000</w:t>
            </w:r>
          </w:p>
          <w:p w:rsidR="004D4D03" w:rsidRDefault="004D4D03">
            <w:r>
              <w:t>AUSTRALIA</w:t>
            </w:r>
          </w:p>
        </w:tc>
        <w:tc>
          <w:tcPr>
            <w:tcW w:w="4536" w:type="dxa"/>
          </w:tcPr>
          <w:p w:rsidR="004D4D03" w:rsidRDefault="004D4D03">
            <w:pPr>
              <w:tabs>
                <w:tab w:val="left" w:pos="743"/>
              </w:tabs>
            </w:pPr>
            <w:r>
              <w:t>Phone:</w:t>
            </w:r>
            <w:r>
              <w:tab/>
              <w:t>(03) 8080 7400</w:t>
            </w:r>
          </w:p>
          <w:p w:rsidR="004D4D03" w:rsidRDefault="004D4D03">
            <w:pPr>
              <w:tabs>
                <w:tab w:val="left" w:pos="743"/>
              </w:tabs>
            </w:pPr>
            <w:r>
              <w:t>Fax:</w:t>
            </w:r>
            <w:r>
              <w:tab/>
              <w:t>(03) 8080 7450</w:t>
            </w:r>
          </w:p>
          <w:p w:rsidR="004D4D03" w:rsidRDefault="00C261A2">
            <w:pPr>
              <w:tabs>
                <w:tab w:val="left" w:pos="743"/>
              </w:tabs>
            </w:pPr>
            <w:r>
              <w:t>E</w:t>
            </w:r>
            <w:r>
              <w:noBreakHyphen/>
              <w:t>m</w:t>
            </w:r>
            <w:r w:rsidR="004D4D03">
              <w:t>ail:</w:t>
            </w:r>
            <w:r w:rsidR="004D4D03">
              <w:tab/>
              <w:t>enquiries@auasb.gov.au</w:t>
            </w:r>
          </w:p>
          <w:p w:rsidR="004D4D03" w:rsidRDefault="004D4D03" w:rsidP="00A64680">
            <w:pPr>
              <w:spacing w:before="240"/>
              <w:rPr>
                <w:b/>
                <w:bCs/>
              </w:rPr>
            </w:pPr>
            <w:r>
              <w:rPr>
                <w:b/>
                <w:bCs/>
              </w:rPr>
              <w:t>Postal Address:</w:t>
            </w:r>
          </w:p>
          <w:p w:rsidR="004D4D03" w:rsidRDefault="004D4D03">
            <w:r>
              <w:t>PO Box 204</w:t>
            </w:r>
          </w:p>
          <w:p w:rsidR="004D4D03" w:rsidRDefault="004D4D03">
            <w:r>
              <w:t>Collins Street West</w:t>
            </w:r>
          </w:p>
          <w:p w:rsidR="004D4D03" w:rsidRDefault="004D4D03">
            <w:r>
              <w:t>Melbourne   Victoria   8007</w:t>
            </w:r>
          </w:p>
          <w:p w:rsidR="004D4D03" w:rsidRDefault="004D4D03">
            <w:r>
              <w:t>AUSTRALIA</w:t>
            </w:r>
          </w:p>
        </w:tc>
      </w:tr>
    </w:tbl>
    <w:p w:rsidR="004D4D03" w:rsidRDefault="004D4D03" w:rsidP="00107ECE">
      <w:pPr>
        <w:pStyle w:val="Heading5"/>
        <w:spacing w:before="3240"/>
      </w:pPr>
      <w:r>
        <w:t>COPYRIGHT</w:t>
      </w:r>
    </w:p>
    <w:p w:rsidR="00107ECE" w:rsidRPr="00F740E2" w:rsidRDefault="00107ECE">
      <w:pPr>
        <w:pStyle w:val="ParaPlain"/>
        <w:rPr>
          <w:sz w:val="18"/>
          <w:szCs w:val="18"/>
        </w:rPr>
      </w:pPr>
      <w:bookmarkStart w:id="8" w:name="CopyrightIntl"/>
      <w:r w:rsidRPr="00F740E2">
        <w:rPr>
          <w:sz w:val="18"/>
          <w:szCs w:val="18"/>
        </w:rPr>
        <w:t xml:space="preserve">© </w:t>
      </w:r>
      <w:bookmarkStart w:id="9" w:name="Year"/>
      <w:r>
        <w:rPr>
          <w:sz w:val="18"/>
          <w:szCs w:val="18"/>
        </w:rPr>
        <w:t>2013</w:t>
      </w:r>
      <w:bookmarkEnd w:id="9"/>
      <w:r w:rsidRPr="00F740E2">
        <w:rPr>
          <w:sz w:val="18"/>
          <w:szCs w:val="18"/>
        </w:rPr>
        <w:t xml:space="preserve"> </w:t>
      </w:r>
      <w:bookmarkStart w:id="10" w:name="Copyright"/>
      <w:r>
        <w:rPr>
          <w:sz w:val="18"/>
          <w:szCs w:val="18"/>
        </w:rPr>
        <w:t>Commonwealth of Australia</w:t>
      </w:r>
      <w:bookmarkEnd w:id="10"/>
      <w:r w:rsidRPr="00F740E2">
        <w:rPr>
          <w:sz w:val="18"/>
          <w:szCs w:val="18"/>
        </w:rPr>
        <w:t xml:space="preserve">.  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020E2" w:rsidRPr="00B020E2">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11" w:name="AUASBFull"/>
      <w:r w:rsidRPr="00F740E2">
        <w:rPr>
          <w:sz w:val="18"/>
          <w:szCs w:val="18"/>
        </w:rPr>
        <w:t>Australian Auditing and Assurance Standards Board (AUASB)</w:t>
      </w:r>
      <w:bookmarkEnd w:id="11"/>
      <w:r w:rsidRPr="00F740E2">
        <w:rPr>
          <w:sz w:val="18"/>
          <w:szCs w:val="18"/>
        </w:rPr>
        <w:t>.</w:t>
      </w:r>
    </w:p>
    <w:p w:rsidR="00107ECE" w:rsidRPr="00F740E2" w:rsidRDefault="00107ECE">
      <w:pPr>
        <w:pStyle w:val="ParaPlain"/>
        <w:rPr>
          <w:sz w:val="18"/>
          <w:szCs w:val="18"/>
        </w:rPr>
      </w:pPr>
      <w:r w:rsidRPr="00F740E2">
        <w:rPr>
          <w:sz w:val="18"/>
          <w:szCs w:val="18"/>
        </w:rPr>
        <w:t>Requests and enquiries concerning reproduction and rights for commercial purposes within Australia should be addressed to the Executive Director, Auditing and Assurance Standards Board, PO Box 204, Collins Street West, Melbourne Victoria</w:t>
      </w:r>
      <w:r w:rsidR="00EB412D">
        <w:rPr>
          <w:sz w:val="18"/>
          <w:szCs w:val="18"/>
        </w:rPr>
        <w:t> </w:t>
      </w:r>
      <w:r w:rsidRPr="00F740E2">
        <w:rPr>
          <w:sz w:val="18"/>
          <w:szCs w:val="18"/>
        </w:rPr>
        <w:t xml:space="preserve">8007 or sent to </w:t>
      </w:r>
      <w:hyperlink r:id="rId12" w:history="1">
        <w:r w:rsidRPr="00F740E2">
          <w:rPr>
            <w:rStyle w:val="Hyperlink"/>
            <w:sz w:val="18"/>
            <w:szCs w:val="18"/>
          </w:rPr>
          <w:t>enquiries@auasb.gov.au</w:t>
        </w:r>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020E2" w:rsidRPr="00B020E2">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p w:rsidR="00107ECE" w:rsidRPr="00F740E2" w:rsidRDefault="00107ECE">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020E2" w:rsidRPr="00B020E2">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 DocTypeIntlLong \* charformat \* MERGEFORMAT </w:instrText>
      </w:r>
      <w:r w:rsidRPr="00F740E2">
        <w:rPr>
          <w:sz w:val="18"/>
          <w:szCs w:val="18"/>
        </w:rPr>
        <w:fldChar w:fldCharType="separate"/>
      </w:r>
      <w:r w:rsidR="00B020E2" w:rsidRPr="00B020E2">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 MERGEFORMAT </w:instrText>
      </w:r>
      <w:r w:rsidRPr="00F740E2">
        <w:rPr>
          <w:sz w:val="18"/>
          <w:szCs w:val="18"/>
        </w:rPr>
        <w:fldChar w:fldCharType="separate"/>
      </w:r>
      <w:r w:rsidR="00B020E2" w:rsidRPr="00B020E2">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 MERGEFORMAT </w:instrText>
      </w:r>
      <w:r w:rsidRPr="00F740E2">
        <w:rPr>
          <w:sz w:val="18"/>
          <w:szCs w:val="18"/>
        </w:rPr>
        <w:fldChar w:fldCharType="separate"/>
      </w:r>
      <w:r w:rsidR="00B020E2" w:rsidRPr="00B020E2">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020E2" w:rsidRPr="00B020E2">
        <w:rPr>
          <w:sz w:val="18"/>
          <w:szCs w:val="18"/>
        </w:rPr>
        <w:t>Auditing Standard</w:t>
      </w:r>
      <w:r w:rsidRPr="00F740E2">
        <w:rPr>
          <w:sz w:val="18"/>
          <w:szCs w:val="18"/>
        </w:rPr>
        <w:fldChar w:fldCharType="end"/>
      </w:r>
      <w:r w:rsidRPr="00F740E2">
        <w:rPr>
          <w:sz w:val="18"/>
          <w:szCs w:val="18"/>
        </w:rPr>
        <w:t xml:space="preserve"> throughout the world.</w:t>
      </w:r>
    </w:p>
    <w:p w:rsidR="00107ECE" w:rsidRPr="00F740E2" w:rsidRDefault="00107ECE">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w:t>
      </w:r>
      <w:r w:rsidR="00C261A2" w:rsidRPr="00F740E2">
        <w:rPr>
          <w:sz w:val="18"/>
          <w:szCs w:val="18"/>
        </w:rPr>
        <w:t>n</w:t>
      </w:r>
      <w:r w:rsidR="00C261A2">
        <w:rPr>
          <w:sz w:val="18"/>
          <w:szCs w:val="18"/>
        </w:rPr>
        <w:noBreakHyphen/>
      </w:r>
      <w:r w:rsidR="00C261A2" w:rsidRPr="00F740E2">
        <w:rPr>
          <w:sz w:val="18"/>
          <w:szCs w:val="18"/>
        </w:rPr>
        <w:t>c</w:t>
      </w:r>
      <w:r w:rsidRPr="00F740E2">
        <w:rPr>
          <w:sz w:val="18"/>
          <w:szCs w:val="18"/>
        </w:rPr>
        <w:t>ommercial use only.</w:t>
      </w:r>
    </w:p>
    <w:p w:rsidR="00107ECE" w:rsidRPr="00F740E2" w:rsidRDefault="00107ECE">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020E2" w:rsidRPr="00B020E2">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Executive Director, Auditing and Assurance Standards Board, PO Box 204, Collins Street West, Melbourne Victoria 8007 or sent to </w:t>
      </w:r>
      <w:hyperlink r:id="rId13" w:history="1">
        <w:r w:rsidRPr="00F740E2">
          <w:rPr>
            <w:rStyle w:val="Hyperlink"/>
            <w:sz w:val="18"/>
            <w:szCs w:val="18"/>
          </w:rPr>
          <w:t>enquiries@auasb.gov.au</w:t>
        </w:r>
      </w:hyperlink>
      <w:r w:rsidRPr="00F740E2">
        <w:rPr>
          <w:sz w:val="18"/>
          <w:szCs w:val="18"/>
        </w:rPr>
        <w:t>.  Any decision to approve a request may also require the agreement of IFAC.</w:t>
      </w:r>
    </w:p>
    <w:bookmarkEnd w:id="8"/>
    <w:p w:rsidR="004D4D03" w:rsidRDefault="004D4D03" w:rsidP="009842C7">
      <w:pPr>
        <w:spacing w:before="200"/>
      </w:pPr>
      <w:r>
        <w:t xml:space="preserve">ISSN </w:t>
      </w:r>
      <w:bookmarkStart w:id="12" w:name="ISSN"/>
      <w:r w:rsidR="00107ECE">
        <w:t>183</w:t>
      </w:r>
      <w:r w:rsidR="00C261A2">
        <w:t>3</w:t>
      </w:r>
      <w:r w:rsidR="00C261A2">
        <w:noBreakHyphen/>
        <w:t>4</w:t>
      </w:r>
      <w:r w:rsidR="00107ECE">
        <w:t>393</w:t>
      </w:r>
      <w:bookmarkEnd w:id="12"/>
    </w:p>
    <w:p w:rsidR="004D4D03" w:rsidRDefault="004D4D03" w:rsidP="00DE45DA">
      <w:pPr>
        <w:pStyle w:val="Heading1"/>
        <w:keepNext w:val="0"/>
        <w:pageBreakBefore/>
      </w:pPr>
      <w:r>
        <w:lastRenderedPageBreak/>
        <w:t>CONTENTS</w:t>
      </w:r>
    </w:p>
    <w:p w:rsidR="006D2111" w:rsidRDefault="006D2111" w:rsidP="00CA2F5C">
      <w:pPr>
        <w:pStyle w:val="ParaPlain"/>
      </w:pPr>
      <w:r>
        <w:t>COMPILATION DETAILS</w:t>
      </w:r>
    </w:p>
    <w:p w:rsidR="00534AE8" w:rsidRDefault="00534AE8" w:rsidP="00CA2F5C">
      <w:pPr>
        <w:pStyle w:val="ParaPlain"/>
      </w:pPr>
      <w:r>
        <w:t>AUTHORITY STATEMENT</w:t>
      </w:r>
    </w:p>
    <w:p w:rsidR="00CA2F5C" w:rsidRPr="00CA2F5C" w:rsidRDefault="00CA2F5C" w:rsidP="00CA2F5C">
      <w:pPr>
        <w:pStyle w:val="ParaPlain"/>
      </w:pPr>
      <w:r>
        <w:t xml:space="preserve">CONFORMITY WITH INTERNATIONAL STANDARDS ON </w:t>
      </w:r>
      <w:fldSimple w:instr=" REF DocTypeIntlLong \* Upper \* charformat " w:fldLock="1">
        <w:r w:rsidR="00B020E2">
          <w:t>AUDITING</w:t>
        </w:r>
      </w:fldSimple>
    </w:p>
    <w:p w:rsidR="004D4D03" w:rsidRDefault="004D4D03" w:rsidP="00590D81">
      <w:pPr>
        <w:jc w:val="right"/>
        <w:rPr>
          <w:i/>
          <w:iCs/>
        </w:rPr>
      </w:pPr>
      <w:r>
        <w:rPr>
          <w:i/>
          <w:iCs/>
        </w:rPr>
        <w:t>Paragraphs</w:t>
      </w:r>
    </w:p>
    <w:p w:rsidR="00B020E2" w:rsidRDefault="00B020E2" w:rsidP="00B020E2">
      <w:pPr>
        <w:pStyle w:val="TOC2"/>
      </w:pPr>
      <w:bookmarkStart w:id="13" w:name="TOCRange"/>
      <w:r w:rsidRPr="00B020E2">
        <w:rPr>
          <w:b/>
        </w:rPr>
        <w:t>Application</w:t>
      </w:r>
      <w:r>
        <w:tab/>
      </w:r>
      <w:proofErr w:type="spellStart"/>
      <w:r>
        <w:t>Aus</w:t>
      </w:r>
      <w:proofErr w:type="spellEnd"/>
      <w:r>
        <w:t xml:space="preserve"> 0.1-Aus 0.2</w:t>
      </w:r>
    </w:p>
    <w:p w:rsidR="00B020E2" w:rsidRDefault="00B020E2" w:rsidP="00B020E2">
      <w:pPr>
        <w:pStyle w:val="TOC2"/>
      </w:pPr>
      <w:r w:rsidRPr="00B020E2">
        <w:rPr>
          <w:b/>
        </w:rPr>
        <w:t>Operative Date</w:t>
      </w:r>
      <w:r>
        <w:tab/>
      </w:r>
      <w:proofErr w:type="spellStart"/>
      <w:r>
        <w:t>Aus</w:t>
      </w:r>
      <w:proofErr w:type="spellEnd"/>
      <w:r>
        <w:t> 0.3</w:t>
      </w:r>
    </w:p>
    <w:p w:rsidR="00B020E2" w:rsidRDefault="00B020E2" w:rsidP="00B020E2">
      <w:pPr>
        <w:pStyle w:val="TOC2"/>
      </w:pPr>
      <w:r w:rsidRPr="00B020E2">
        <w:rPr>
          <w:b/>
        </w:rPr>
        <w:t>Introduction</w:t>
      </w:r>
    </w:p>
    <w:p w:rsidR="00B020E2" w:rsidRDefault="00B020E2" w:rsidP="00B020E2">
      <w:pPr>
        <w:pStyle w:val="TOC2"/>
      </w:pPr>
      <w:r>
        <w:t>Scope of this Auditing Standard</w:t>
      </w:r>
      <w:r>
        <w:tab/>
        <w:t>1-2</w:t>
      </w:r>
    </w:p>
    <w:p w:rsidR="00B020E2" w:rsidRDefault="00B020E2" w:rsidP="00B020E2">
      <w:pPr>
        <w:pStyle w:val="TOC2"/>
      </w:pPr>
      <w:r>
        <w:t>Effective Date</w:t>
      </w:r>
      <w:r>
        <w:tab/>
        <w:t>3</w:t>
      </w:r>
    </w:p>
    <w:p w:rsidR="00B020E2" w:rsidRDefault="00B020E2" w:rsidP="00B020E2">
      <w:pPr>
        <w:pStyle w:val="TOC2"/>
      </w:pPr>
      <w:r w:rsidRPr="00B020E2">
        <w:rPr>
          <w:b/>
        </w:rPr>
        <w:t>Objective</w:t>
      </w:r>
      <w:r>
        <w:tab/>
        <w:t>4</w:t>
      </w:r>
    </w:p>
    <w:p w:rsidR="00B020E2" w:rsidRDefault="00B020E2" w:rsidP="00B020E2">
      <w:pPr>
        <w:pStyle w:val="TOC2"/>
      </w:pPr>
      <w:r w:rsidRPr="00B020E2">
        <w:rPr>
          <w:b/>
        </w:rPr>
        <w:t>Definitions</w:t>
      </w:r>
      <w:r>
        <w:tab/>
        <w:t>5</w:t>
      </w:r>
    </w:p>
    <w:p w:rsidR="00B020E2" w:rsidRDefault="00B020E2" w:rsidP="00B020E2">
      <w:pPr>
        <w:pStyle w:val="TOC2"/>
      </w:pPr>
      <w:r w:rsidRPr="00B020E2">
        <w:rPr>
          <w:b/>
        </w:rPr>
        <w:t>Requirements</w:t>
      </w:r>
    </w:p>
    <w:p w:rsidR="00B020E2" w:rsidRDefault="00B020E2" w:rsidP="00B020E2">
      <w:pPr>
        <w:pStyle w:val="TOC2"/>
      </w:pPr>
      <w:r>
        <w:t>Sufficient Appropriate Audit Evidence</w:t>
      </w:r>
      <w:r>
        <w:tab/>
        <w:t>6</w:t>
      </w:r>
    </w:p>
    <w:p w:rsidR="00B020E2" w:rsidRDefault="00B020E2" w:rsidP="00B020E2">
      <w:pPr>
        <w:pStyle w:val="TOC2"/>
      </w:pPr>
      <w:r>
        <w:t>Information to Be Used as Audit Evidence</w:t>
      </w:r>
      <w:r>
        <w:tab/>
        <w:t>7-9</w:t>
      </w:r>
    </w:p>
    <w:p w:rsidR="00B020E2" w:rsidRDefault="00B020E2" w:rsidP="00B020E2">
      <w:pPr>
        <w:pStyle w:val="TOC2"/>
      </w:pPr>
      <w:r>
        <w:t>Selecting Items for Testing to Obtain Audit Evidence</w:t>
      </w:r>
      <w:r>
        <w:tab/>
        <w:t>10</w:t>
      </w:r>
    </w:p>
    <w:p w:rsidR="00B020E2" w:rsidRDefault="00B020E2" w:rsidP="00B020E2">
      <w:pPr>
        <w:pStyle w:val="TOC2"/>
      </w:pPr>
      <w:r>
        <w:t>Inconsistency in, or Doubts over Reliability of, Audit Evidence</w:t>
      </w:r>
      <w:r>
        <w:tab/>
        <w:t>11</w:t>
      </w:r>
    </w:p>
    <w:p w:rsidR="00B020E2" w:rsidRDefault="00B020E2" w:rsidP="00B020E2">
      <w:pPr>
        <w:pStyle w:val="TOC2"/>
      </w:pPr>
      <w:r w:rsidRPr="00B020E2">
        <w:rPr>
          <w:b/>
        </w:rPr>
        <w:t>Application and Other Explanatory Material</w:t>
      </w:r>
    </w:p>
    <w:p w:rsidR="00B020E2" w:rsidRDefault="00B020E2" w:rsidP="00B020E2">
      <w:pPr>
        <w:pStyle w:val="TOC2"/>
      </w:pPr>
      <w:r>
        <w:t>Sufficient Appropriate Audit Evidence</w:t>
      </w:r>
      <w:r>
        <w:tab/>
        <w:t>A1-A25</w:t>
      </w:r>
    </w:p>
    <w:p w:rsidR="00B020E2" w:rsidRDefault="00B020E2" w:rsidP="00B020E2">
      <w:pPr>
        <w:pStyle w:val="TOC2"/>
      </w:pPr>
      <w:r>
        <w:t>Information to Be Used as Audit Evidence</w:t>
      </w:r>
      <w:r>
        <w:tab/>
        <w:t>A26-A51</w:t>
      </w:r>
    </w:p>
    <w:p w:rsidR="00B020E2" w:rsidRDefault="00B020E2" w:rsidP="00B020E2">
      <w:pPr>
        <w:pStyle w:val="TOC2"/>
      </w:pPr>
      <w:r>
        <w:t>Selecting Items for Testing to Obtain Audit Evidence</w:t>
      </w:r>
      <w:r>
        <w:tab/>
        <w:t>A52-A56</w:t>
      </w:r>
    </w:p>
    <w:p w:rsidR="00DD6627" w:rsidRDefault="00B020E2" w:rsidP="00C86569">
      <w:pPr>
        <w:pStyle w:val="TOC2"/>
      </w:pPr>
      <w:r>
        <w:t>Inconsistency in, or Doubts over Reliability of, Audit Evidence</w:t>
      </w:r>
      <w:r>
        <w:tab/>
        <w:t>A57</w:t>
      </w:r>
      <w:bookmarkEnd w:id="13"/>
    </w:p>
    <w:p w:rsidR="00237187" w:rsidRDefault="004D4D03" w:rsidP="00237187">
      <w:pPr>
        <w:pStyle w:val="ParaPlain"/>
      </w:pPr>
      <w:r>
        <w:br w:type="page"/>
      </w:r>
    </w:p>
    <w:p w:rsidR="00534AE8" w:rsidRDefault="00534AE8" w:rsidP="00534AE8">
      <w:pPr>
        <w:pStyle w:val="Heading1"/>
      </w:pPr>
      <w:r>
        <w:t>COMPILATION DETAILS</w:t>
      </w:r>
    </w:p>
    <w:p w:rsidR="00534AE8" w:rsidRDefault="00534AE8" w:rsidP="00534AE8">
      <w:pPr>
        <w:pStyle w:val="Heading3"/>
      </w:pPr>
      <w:r w:rsidRPr="00D75BF4">
        <w:rPr>
          <w:i w:val="0"/>
        </w:rPr>
        <w:fldChar w:fldCharType="begin" w:fldLock="1"/>
      </w:r>
      <w:r w:rsidRPr="00D75BF4">
        <w:rPr>
          <w:i w:val="0"/>
        </w:rPr>
        <w:instrText xml:space="preserve"> REF DocTypeLong \* charformat </w:instrText>
      </w:r>
      <w:r>
        <w:rPr>
          <w:i w:val="0"/>
        </w:rPr>
        <w:instrText xml:space="preserve"> \* MERGEFORMAT </w:instrText>
      </w:r>
      <w:r w:rsidRPr="00D75BF4">
        <w:rPr>
          <w:i w:val="0"/>
        </w:rPr>
        <w:fldChar w:fldCharType="separate"/>
      </w:r>
      <w:r w:rsidR="00B020E2">
        <w:rPr>
          <w:i w:val="0"/>
        </w:rPr>
        <w:t>Auditing Standard</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DocType \* charformat </w:instrText>
      </w:r>
      <w:r>
        <w:rPr>
          <w:i w:val="0"/>
        </w:rPr>
        <w:instrText xml:space="preserve"> \* MERGEFORMAT </w:instrText>
      </w:r>
      <w:r w:rsidRPr="00D75BF4">
        <w:rPr>
          <w:i w:val="0"/>
        </w:rPr>
        <w:fldChar w:fldCharType="separate"/>
      </w:r>
      <w:r w:rsidR="00B020E2">
        <w:rPr>
          <w:i w:val="0"/>
        </w:rPr>
        <w:t>ASA</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DocNo \* charformat </w:instrText>
      </w:r>
      <w:r w:rsidRPr="00D75BF4">
        <w:rPr>
          <w:i w:val="0"/>
        </w:rPr>
        <w:fldChar w:fldCharType="separate"/>
      </w:r>
      <w:r w:rsidR="00B020E2">
        <w:rPr>
          <w:i w:val="0"/>
        </w:rPr>
        <w:t>500</w:t>
      </w:r>
      <w:r w:rsidRPr="00D75BF4">
        <w:rPr>
          <w:i w:val="0"/>
        </w:rPr>
        <w:fldChar w:fldCharType="end"/>
      </w:r>
      <w:r>
        <w:t xml:space="preserve"> </w:t>
      </w:r>
      <w:bookmarkStart w:id="14" w:name="BaseTitle"/>
      <w:r w:rsidR="00107ECE" w:rsidRPr="00107ECE">
        <w:t>Audit Evidence</w:t>
      </w:r>
      <w:bookmarkEnd w:id="14"/>
      <w:r>
        <w:t xml:space="preserve"> </w:t>
      </w:r>
      <w:r w:rsidR="00FA3DFC">
        <w:rPr>
          <w:i w:val="0"/>
        </w:rPr>
        <w:t>(</w:t>
      </w:r>
      <w:r w:rsidRPr="00D75BF4">
        <w:rPr>
          <w:i w:val="0"/>
        </w:rPr>
        <w:t>as Amended</w:t>
      </w:r>
      <w:r w:rsidR="00FA3DFC">
        <w:rPr>
          <w:i w:val="0"/>
        </w:rPr>
        <w:t>)</w:t>
      </w:r>
    </w:p>
    <w:p w:rsidR="00534AE8" w:rsidRDefault="00534AE8" w:rsidP="00534AE8">
      <w:pPr>
        <w:pStyle w:val="ParaPlain"/>
      </w:pPr>
      <w:r>
        <w:t xml:space="preserve">This compilation takes into account amendments made up to and including </w:t>
      </w:r>
      <w:fldSimple w:instr=" REF AmendToDate \* charformat " w:fldLock="1">
        <w:r w:rsidR="001E362E">
          <w:t>11</w:t>
        </w:r>
        <w:r w:rsidR="00B020E2">
          <w:t> November 2013</w:t>
        </w:r>
      </w:fldSimple>
      <w:r>
        <w:t xml:space="preserve"> and was prepared on </w:t>
      </w:r>
      <w:fldSimple w:instr=" REF PrepDate \* charformat " w:fldLock="1">
        <w:r w:rsidR="00B020E2">
          <w:t>11 November 2013</w:t>
        </w:r>
      </w:fldSimple>
      <w:r>
        <w:t xml:space="preserve"> by the Auditing and Assurance Standards Board (AUASB).</w:t>
      </w:r>
    </w:p>
    <w:p w:rsidR="00534AE8" w:rsidRDefault="00534AE8" w:rsidP="00534AE8">
      <w:pPr>
        <w:pStyle w:val="ParaPlain"/>
      </w:pPr>
      <w:r>
        <w:t xml:space="preserve">This compilation is not a separate </w:t>
      </w:r>
      <w:fldSimple w:instr=" REF DocTypeLong \* charformat " w:fldLock="1">
        <w:r w:rsidR="00B020E2">
          <w:t>Auditing Standard</w:t>
        </w:r>
      </w:fldSimple>
      <w:r>
        <w:t xml:space="preserve"> made by the AUASB.  Instead, it is a representation of </w:t>
      </w:r>
      <w:fldSimple w:instr=" REF DocType \* charformat " w:fldLock="1">
        <w:r w:rsidR="00B020E2">
          <w:t>ASA</w:t>
        </w:r>
      </w:fldSimple>
      <w:r w:rsidR="006D2111">
        <w:t> </w:t>
      </w:r>
      <w:fldSimple w:instr=" REF DocNo \* charformat " w:fldLock="1">
        <w:r w:rsidR="00B020E2">
          <w:t>500</w:t>
        </w:r>
      </w:fldSimple>
      <w:r>
        <w:t xml:space="preserve"> (</w:t>
      </w:r>
      <w:bookmarkStart w:id="15" w:name="BaseDocDateAbb"/>
      <w:r w:rsidR="00824BD6">
        <w:t>October 20</w:t>
      </w:r>
      <w:bookmarkEnd w:id="15"/>
      <w:r w:rsidR="00824BD6">
        <w:t>09</w:t>
      </w:r>
      <w:r>
        <w:t>) as amended by</w:t>
      </w:r>
      <w:r w:rsidR="00FA3DFC">
        <w:t xml:space="preserve"> </w:t>
      </w:r>
      <w:fldSimple w:instr=" REF AmendMult \* charformat " w:fldLock="1">
        <w:r w:rsidR="00B020E2">
          <w:t>other Auditing Standards</w:t>
        </w:r>
      </w:fldSimple>
      <w:r>
        <w:t xml:space="preserve"> which </w:t>
      </w:r>
      <w:bookmarkStart w:id="16" w:name="AmendMultAreIs"/>
      <w:r w:rsidR="00107ECE">
        <w:t>are</w:t>
      </w:r>
      <w:bookmarkEnd w:id="16"/>
      <w:r>
        <w:t xml:space="preserve"> listed in the Table below.</w:t>
      </w:r>
    </w:p>
    <w:p w:rsidR="00534AE8" w:rsidRDefault="00534AE8" w:rsidP="00FA3DFC">
      <w:pPr>
        <w:pStyle w:val="Heading5"/>
      </w:pPr>
      <w:r>
        <w:t>Table of Standards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534AE8" w:rsidRPr="00D75BF4" w:rsidTr="00DE45DA">
        <w:trPr>
          <w:cantSplit/>
          <w:tblHeader/>
        </w:trPr>
        <w:tc>
          <w:tcPr>
            <w:tcW w:w="3022" w:type="dxa"/>
            <w:shd w:val="clear" w:color="auto" w:fill="D9D9D9" w:themeFill="background1" w:themeFillShade="D9"/>
          </w:tcPr>
          <w:p w:rsidR="00534AE8" w:rsidRPr="00D75BF4" w:rsidRDefault="00534AE8" w:rsidP="00534AE8">
            <w:pPr>
              <w:pStyle w:val="ParaPlain"/>
              <w:rPr>
                <w:b/>
              </w:rPr>
            </w:pPr>
            <w:r>
              <w:rPr>
                <w:b/>
              </w:rPr>
              <w:t>Standard</w:t>
            </w:r>
          </w:p>
        </w:tc>
        <w:tc>
          <w:tcPr>
            <w:tcW w:w="3022" w:type="dxa"/>
            <w:shd w:val="clear" w:color="auto" w:fill="D9D9D9" w:themeFill="background1" w:themeFillShade="D9"/>
          </w:tcPr>
          <w:p w:rsidR="00534AE8" w:rsidRPr="00D75BF4" w:rsidRDefault="00534AE8" w:rsidP="00534AE8">
            <w:pPr>
              <w:pStyle w:val="ParaPlain"/>
              <w:rPr>
                <w:b/>
              </w:rPr>
            </w:pPr>
            <w:r>
              <w:rPr>
                <w:b/>
              </w:rPr>
              <w:t>Date made</w:t>
            </w:r>
          </w:p>
        </w:tc>
        <w:tc>
          <w:tcPr>
            <w:tcW w:w="3022" w:type="dxa"/>
            <w:shd w:val="clear" w:color="auto" w:fill="D9D9D9" w:themeFill="background1" w:themeFillShade="D9"/>
          </w:tcPr>
          <w:p w:rsidR="00534AE8" w:rsidRPr="00D75BF4" w:rsidRDefault="00534AE8" w:rsidP="00534AE8">
            <w:pPr>
              <w:pStyle w:val="ParaPlain"/>
              <w:rPr>
                <w:b/>
              </w:rPr>
            </w:pPr>
            <w:r>
              <w:rPr>
                <w:b/>
              </w:rPr>
              <w:t>Operative Date</w:t>
            </w:r>
          </w:p>
        </w:tc>
      </w:tr>
      <w:tr w:rsidR="00FA3DFC" w:rsidTr="00AD579B">
        <w:trPr>
          <w:cantSplit/>
        </w:trPr>
        <w:tc>
          <w:tcPr>
            <w:tcW w:w="3022" w:type="dxa"/>
          </w:tcPr>
          <w:p w:rsidR="00FA3DFC" w:rsidRDefault="00FD70EA" w:rsidP="00AD579B">
            <w:pPr>
              <w:tabs>
                <w:tab w:val="right" w:pos="1843"/>
              </w:tabs>
            </w:pPr>
            <w:fldSimple w:instr=" REF DocType \* charformat " w:fldLock="1">
              <w:r w:rsidR="00B020E2">
                <w:t>ASA</w:t>
              </w:r>
            </w:fldSimple>
            <w:r w:rsidR="00FA3DFC">
              <w:t xml:space="preserve"> </w:t>
            </w:r>
            <w:fldSimple w:instr=" REF DocNo \* charformat " w:fldLock="1">
              <w:r w:rsidR="00B020E2">
                <w:t>500</w:t>
              </w:r>
            </w:fldSimple>
            <w:r w:rsidR="00FA3DFC">
              <w:tab/>
              <w:t>[A]</w:t>
            </w:r>
          </w:p>
        </w:tc>
        <w:tc>
          <w:tcPr>
            <w:tcW w:w="3022" w:type="dxa"/>
          </w:tcPr>
          <w:p w:rsidR="00FA3DFC" w:rsidRDefault="00824BD6" w:rsidP="00824BD6">
            <w:bookmarkStart w:id="17" w:name="BaseDocDate"/>
            <w:r>
              <w:t>27 October</w:t>
            </w:r>
            <w:r w:rsidR="00107ECE">
              <w:t> 20</w:t>
            </w:r>
            <w:bookmarkEnd w:id="17"/>
            <w:r>
              <w:t>09</w:t>
            </w:r>
          </w:p>
        </w:tc>
        <w:tc>
          <w:tcPr>
            <w:tcW w:w="3022" w:type="dxa"/>
          </w:tcPr>
          <w:p w:rsidR="00FA3DFC" w:rsidRDefault="00107ECE" w:rsidP="00AD579B">
            <w:bookmarkStart w:id="18" w:name="BaseOpDateText"/>
            <w:r>
              <w:t>financial reporting periods commencing on or after</w:t>
            </w:r>
            <w:bookmarkEnd w:id="18"/>
            <w:r w:rsidR="00ED5942">
              <w:t xml:space="preserve"> </w:t>
            </w:r>
            <w:bookmarkStart w:id="19" w:name="BaseOpDate"/>
            <w:r>
              <w:t>1 January 2010</w:t>
            </w:r>
            <w:bookmarkEnd w:id="19"/>
          </w:p>
        </w:tc>
      </w:tr>
      <w:tr w:rsidR="00FA3DFC" w:rsidTr="00AD579B">
        <w:trPr>
          <w:cantSplit/>
        </w:trPr>
        <w:tc>
          <w:tcPr>
            <w:tcW w:w="3022" w:type="dxa"/>
          </w:tcPr>
          <w:p w:rsidR="00FA3DFC" w:rsidRDefault="00C261A2" w:rsidP="00AD579B">
            <w:pPr>
              <w:tabs>
                <w:tab w:val="right" w:pos="1843"/>
              </w:tabs>
            </w:pPr>
            <w:bookmarkStart w:id="20" w:name="ExtraRow"/>
            <w:r>
              <w:t>ASA 2</w:t>
            </w:r>
            <w:r w:rsidR="00107ECE">
              <w:t>011</w:t>
            </w:r>
            <w:r w:rsidR="00107ECE">
              <w:noBreakHyphen/>
              <w:t>1</w:t>
            </w:r>
            <w:r w:rsidR="00107ECE">
              <w:tab/>
              <w:t>[B]</w:t>
            </w:r>
          </w:p>
        </w:tc>
        <w:tc>
          <w:tcPr>
            <w:tcW w:w="3022" w:type="dxa"/>
          </w:tcPr>
          <w:p w:rsidR="00FA3DFC" w:rsidRDefault="00107ECE" w:rsidP="00AD579B">
            <w:r>
              <w:t>27 June 2011</w:t>
            </w:r>
          </w:p>
        </w:tc>
        <w:tc>
          <w:tcPr>
            <w:tcW w:w="3022" w:type="dxa"/>
          </w:tcPr>
          <w:p w:rsidR="00FA3DFC" w:rsidRDefault="00107ECE" w:rsidP="00AD579B">
            <w:r>
              <w:t>financial reporting periods commencing on or after 1 July 2011</w:t>
            </w:r>
          </w:p>
        </w:tc>
      </w:tr>
      <w:tr w:rsidR="00FA3DFC" w:rsidTr="00AD579B">
        <w:trPr>
          <w:cantSplit/>
        </w:trPr>
        <w:tc>
          <w:tcPr>
            <w:tcW w:w="3022" w:type="dxa"/>
          </w:tcPr>
          <w:p w:rsidR="00FA3DFC" w:rsidRDefault="00107ECE" w:rsidP="00335AC5">
            <w:pPr>
              <w:tabs>
                <w:tab w:val="right" w:pos="1843"/>
              </w:tabs>
            </w:pPr>
            <w:bookmarkStart w:id="21" w:name="AmendType"/>
            <w:bookmarkEnd w:id="20"/>
            <w:r>
              <w:t>ASA</w:t>
            </w:r>
            <w:bookmarkEnd w:id="21"/>
            <w:r w:rsidR="00AE11CD">
              <w:t> </w:t>
            </w:r>
            <w:bookmarkStart w:id="22" w:name="AmendNo"/>
            <w:r>
              <w:t>2013</w:t>
            </w:r>
            <w:r>
              <w:noBreakHyphen/>
            </w:r>
            <w:bookmarkEnd w:id="22"/>
            <w:r w:rsidR="00335AC5">
              <w:t>2</w:t>
            </w:r>
            <w:r w:rsidR="00FA3DFC">
              <w:tab/>
              <w:t>[</w:t>
            </w:r>
            <w:bookmarkStart w:id="23" w:name="AmendLetter"/>
            <w:r>
              <w:t>C</w:t>
            </w:r>
            <w:bookmarkEnd w:id="23"/>
            <w:r w:rsidR="00FA3DFC">
              <w:t>]</w:t>
            </w:r>
          </w:p>
        </w:tc>
        <w:tc>
          <w:tcPr>
            <w:tcW w:w="3022" w:type="dxa"/>
          </w:tcPr>
          <w:p w:rsidR="00FA3DFC" w:rsidRDefault="00FD70EA" w:rsidP="004F2B24">
            <w:fldSimple w:instr=" REF AmendToDate \* charformat " w:fldLock="1">
              <w:r w:rsidR="001E362E">
                <w:t>11</w:t>
              </w:r>
              <w:r w:rsidR="00B020E2">
                <w:t> November 2013</w:t>
              </w:r>
            </w:fldSimple>
          </w:p>
        </w:tc>
        <w:tc>
          <w:tcPr>
            <w:tcW w:w="3022" w:type="dxa"/>
          </w:tcPr>
          <w:p w:rsidR="00FA3DFC" w:rsidRDefault="00107ECE" w:rsidP="00AD579B">
            <w:bookmarkStart w:id="24" w:name="AmendOpDateText"/>
            <w:r>
              <w:t>financial reporting periods commencing on or after</w:t>
            </w:r>
            <w:bookmarkEnd w:id="24"/>
            <w:r w:rsidR="00FA3DFC">
              <w:t xml:space="preserve"> </w:t>
            </w:r>
            <w:bookmarkStart w:id="25" w:name="AmendOpDate"/>
            <w:r>
              <w:t>1 January 2014</w:t>
            </w:r>
            <w:bookmarkEnd w:id="25"/>
          </w:p>
        </w:tc>
      </w:tr>
    </w:tbl>
    <w:p w:rsidR="00FA3DFC" w:rsidRDefault="00FA3DFC" w:rsidP="00C86569">
      <w:pPr>
        <w:pStyle w:val="ParaPlain"/>
        <w:spacing w:before="240"/>
        <w:ind w:left="709" w:hanging="709"/>
      </w:pPr>
      <w:r>
        <w:t>[A]</w:t>
      </w:r>
      <w:r>
        <w:tab/>
        <w:t xml:space="preserve">Federal Register of Legislative Instruments – registration number </w:t>
      </w:r>
      <w:r w:rsidR="00824BD6">
        <w:t>F2009L04084</w:t>
      </w:r>
      <w:r>
        <w:t xml:space="preserve">, </w:t>
      </w:r>
      <w:r w:rsidR="00824BD6">
        <w:t>13 November 2009</w:t>
      </w:r>
    </w:p>
    <w:p w:rsidR="00FA3DFC" w:rsidRDefault="00FA3DFC" w:rsidP="00FA3DFC">
      <w:pPr>
        <w:pStyle w:val="ParaPlain"/>
        <w:ind w:left="709" w:hanging="709"/>
      </w:pPr>
      <w:r>
        <w:t>[B]</w:t>
      </w:r>
      <w:r>
        <w:tab/>
        <w:t xml:space="preserve">Federal Register of Legislative Instruments – registration number </w:t>
      </w:r>
      <w:r w:rsidR="00824BD6">
        <w:t>F2011L01379</w:t>
      </w:r>
      <w:proofErr w:type="gramStart"/>
      <w:r w:rsidR="00EF25B6">
        <w:t>,</w:t>
      </w:r>
      <w:proofErr w:type="gramEnd"/>
      <w:r w:rsidR="00EF25B6">
        <w:br/>
      </w:r>
      <w:r w:rsidR="00824BD6">
        <w:t>30 June 2011</w:t>
      </w:r>
    </w:p>
    <w:p w:rsidR="00FA3DFC" w:rsidRDefault="00FA3DFC" w:rsidP="00FA3DFC">
      <w:pPr>
        <w:pStyle w:val="ParaPlain"/>
        <w:ind w:left="709" w:hanging="709"/>
      </w:pPr>
      <w:bookmarkStart w:id="26" w:name="FRLI"/>
      <w:r>
        <w:t>[C]</w:t>
      </w:r>
      <w:r>
        <w:tab/>
        <w:t xml:space="preserve">Federal Register of Legislative Instruments – registration number </w:t>
      </w:r>
      <w:r w:rsidR="005E4FB1">
        <w:t>F2013L01939</w:t>
      </w:r>
      <w:r>
        <w:t xml:space="preserve">, </w:t>
      </w:r>
      <w:r w:rsidR="005E4FB1">
        <w:t>14 November 2013</w:t>
      </w:r>
    </w:p>
    <w:bookmarkEnd w:id="26"/>
    <w:p w:rsidR="00FA3DFC" w:rsidRDefault="00FA3DFC" w:rsidP="00C86569">
      <w:pPr>
        <w:pStyle w:val="Heading5"/>
        <w:spacing w:before="120"/>
      </w:pPr>
      <w:r>
        <w:t>Table of Amendments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FA3DFC" w:rsidRPr="00D75BF4" w:rsidTr="00AD579B">
        <w:trPr>
          <w:cantSplit/>
          <w:tblHeader/>
        </w:trPr>
        <w:tc>
          <w:tcPr>
            <w:tcW w:w="3022" w:type="dxa"/>
            <w:shd w:val="clear" w:color="auto" w:fill="D9D9D9" w:themeFill="background1" w:themeFillShade="D9"/>
          </w:tcPr>
          <w:p w:rsidR="00FA3DFC" w:rsidRPr="00D75BF4" w:rsidRDefault="00FA3DFC" w:rsidP="00AD579B">
            <w:pPr>
              <w:pStyle w:val="ParaPlain"/>
              <w:rPr>
                <w:b/>
              </w:rPr>
            </w:pPr>
            <w:r>
              <w:rPr>
                <w:b/>
              </w:rPr>
              <w:t>Paragraph affected</w:t>
            </w:r>
          </w:p>
        </w:tc>
        <w:tc>
          <w:tcPr>
            <w:tcW w:w="3022" w:type="dxa"/>
            <w:shd w:val="clear" w:color="auto" w:fill="D9D9D9" w:themeFill="background1" w:themeFillShade="D9"/>
          </w:tcPr>
          <w:p w:rsidR="00FA3DFC" w:rsidRPr="00D75BF4" w:rsidRDefault="00FA3DFC" w:rsidP="00AD579B">
            <w:pPr>
              <w:pStyle w:val="ParaPlain"/>
              <w:rPr>
                <w:b/>
              </w:rPr>
            </w:pPr>
            <w:r>
              <w:rPr>
                <w:b/>
              </w:rPr>
              <w:t>How affected</w:t>
            </w:r>
          </w:p>
        </w:tc>
        <w:tc>
          <w:tcPr>
            <w:tcW w:w="3022" w:type="dxa"/>
            <w:shd w:val="clear" w:color="auto" w:fill="D9D9D9" w:themeFill="background1" w:themeFillShade="D9"/>
          </w:tcPr>
          <w:p w:rsidR="00FA3DFC" w:rsidRPr="00D75BF4" w:rsidRDefault="00FA3DFC" w:rsidP="00AD579B">
            <w:pPr>
              <w:pStyle w:val="ParaPlain"/>
              <w:rPr>
                <w:b/>
              </w:rPr>
            </w:pPr>
            <w:r>
              <w:rPr>
                <w:b/>
              </w:rPr>
              <w:t>By … [paragraph]</w:t>
            </w:r>
          </w:p>
        </w:tc>
      </w:tr>
      <w:tr w:rsidR="00FA3DFC" w:rsidTr="00AD579B">
        <w:trPr>
          <w:cantSplit/>
        </w:trPr>
        <w:tc>
          <w:tcPr>
            <w:tcW w:w="3022" w:type="dxa"/>
          </w:tcPr>
          <w:p w:rsidR="00FA3DFC" w:rsidRDefault="00FE6239" w:rsidP="00AD579B">
            <w:pPr>
              <w:tabs>
                <w:tab w:val="right" w:pos="1843"/>
              </w:tabs>
            </w:pPr>
            <w:r>
              <w:t>A51</w:t>
            </w:r>
          </w:p>
        </w:tc>
        <w:tc>
          <w:tcPr>
            <w:tcW w:w="3022" w:type="dxa"/>
          </w:tcPr>
          <w:p w:rsidR="00FA3DFC" w:rsidRDefault="00FE6239" w:rsidP="00AD579B">
            <w:r>
              <w:t>Amended</w:t>
            </w:r>
          </w:p>
        </w:tc>
        <w:tc>
          <w:tcPr>
            <w:tcW w:w="3022" w:type="dxa"/>
          </w:tcPr>
          <w:p w:rsidR="00FA3DFC" w:rsidRDefault="00FE6239" w:rsidP="00AD579B">
            <w:r>
              <w:t>ASA 2013-2 [78]</w:t>
            </w:r>
          </w:p>
        </w:tc>
      </w:tr>
      <w:tr w:rsidR="00FE6239" w:rsidTr="00AD579B">
        <w:trPr>
          <w:cantSplit/>
        </w:trPr>
        <w:tc>
          <w:tcPr>
            <w:tcW w:w="3022" w:type="dxa"/>
          </w:tcPr>
          <w:p w:rsidR="00FE6239" w:rsidRDefault="00FE6239" w:rsidP="00AD579B">
            <w:pPr>
              <w:tabs>
                <w:tab w:val="right" w:pos="1843"/>
              </w:tabs>
            </w:pPr>
            <w:r>
              <w:t>A57</w:t>
            </w:r>
          </w:p>
        </w:tc>
        <w:tc>
          <w:tcPr>
            <w:tcW w:w="3022" w:type="dxa"/>
          </w:tcPr>
          <w:p w:rsidR="00FE6239" w:rsidRDefault="00FE6239" w:rsidP="00AD579B">
            <w:r>
              <w:t>Amended</w:t>
            </w:r>
          </w:p>
        </w:tc>
        <w:tc>
          <w:tcPr>
            <w:tcW w:w="3022" w:type="dxa"/>
          </w:tcPr>
          <w:p w:rsidR="00FE6239" w:rsidRDefault="00FE6239" w:rsidP="00AD579B">
            <w:r>
              <w:t>ASA 2013-2 [79</w:t>
            </w:r>
            <w:r w:rsidRPr="00FE6239">
              <w:t>]</w:t>
            </w:r>
          </w:p>
        </w:tc>
      </w:tr>
    </w:tbl>
    <w:p w:rsidR="00FA3DFC" w:rsidRDefault="00FA3DFC" w:rsidP="00FA3DFC">
      <w:pPr>
        <w:spacing w:line="240" w:lineRule="auto"/>
      </w:pPr>
    </w:p>
    <w:p w:rsidR="006D2111" w:rsidRDefault="006D2111">
      <w:pPr>
        <w:spacing w:line="240" w:lineRule="auto"/>
      </w:pPr>
      <w:r>
        <w:br w:type="page"/>
      </w:r>
    </w:p>
    <w:p w:rsidR="006D2111" w:rsidRDefault="006D2111" w:rsidP="006D2111">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t>AUTHORITY STATEMENT</w:t>
      </w:r>
    </w:p>
    <w:p w:rsidR="00107ECE" w:rsidRDefault="00FD70EA">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fldSimple w:instr=" REF DocTypeLong \* charformat " w:fldLock="1">
        <w:r w:rsidR="00B020E2">
          <w:t>Auditing Standard</w:t>
        </w:r>
      </w:fldSimple>
      <w:r w:rsidR="00107ECE">
        <w:t xml:space="preserve"> </w:t>
      </w:r>
      <w:fldSimple w:instr=" REF DocType \* charformat " w:fldLock="1">
        <w:r w:rsidR="00B020E2">
          <w:t>ASA</w:t>
        </w:r>
      </w:fldSimple>
      <w:r w:rsidR="00107ECE">
        <w:t> </w:t>
      </w:r>
      <w:fldSimple w:instr=" REF DocNo \* charformat " w:fldLock="1">
        <w:r w:rsidR="00B020E2">
          <w:t>500</w:t>
        </w:r>
      </w:fldSimple>
      <w:r w:rsidR="00107ECE">
        <w:t xml:space="preserve"> </w:t>
      </w:r>
      <w:r w:rsidR="00107ECE">
        <w:rPr>
          <w:i/>
          <w:iCs/>
        </w:rPr>
        <w:fldChar w:fldCharType="begin" w:fldLock="1"/>
      </w:r>
      <w:r w:rsidR="00107ECE">
        <w:rPr>
          <w:i/>
          <w:iCs/>
        </w:rPr>
        <w:instrText xml:space="preserve"> REF DocTitle \* charformat </w:instrText>
      </w:r>
      <w:r w:rsidR="00107ECE">
        <w:rPr>
          <w:i/>
          <w:iCs/>
        </w:rPr>
        <w:fldChar w:fldCharType="separate"/>
      </w:r>
      <w:r w:rsidR="00B020E2" w:rsidRPr="00B020E2">
        <w:rPr>
          <w:i/>
          <w:iCs/>
        </w:rPr>
        <w:t>Audit Evidence</w:t>
      </w:r>
      <w:r w:rsidR="00107ECE">
        <w:rPr>
          <w:i/>
          <w:iCs/>
        </w:rPr>
        <w:fldChar w:fldCharType="end"/>
      </w:r>
      <w:r w:rsidR="00107ECE">
        <w:t xml:space="preserve"> (as amended</w:t>
      </w:r>
      <w:r w:rsidR="00FA3513">
        <w:t xml:space="preserve"> to 11 November 2013</w:t>
      </w:r>
      <w:r w:rsidR="00107ECE">
        <w:t xml:space="preserve">) is set out in paragraphs </w:t>
      </w:r>
      <w:proofErr w:type="spellStart"/>
      <w:r w:rsidR="00107ECE">
        <w:t>Aus</w:t>
      </w:r>
      <w:proofErr w:type="spellEnd"/>
      <w:r w:rsidR="00107ECE">
        <w:t> 0.1 to </w:t>
      </w:r>
      <w:r w:rsidR="00B020E2">
        <w:t>A57.</w:t>
      </w:r>
    </w:p>
    <w:p w:rsidR="00107ECE" w:rsidRPr="00782360" w:rsidRDefault="00107ECE">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00B020E2">
          <w:t>Auditing Standard</w:t>
        </w:r>
      </w:fldSimple>
      <w:r>
        <w:t xml:space="preserve"> is to be read in conjunction with ASA 101 </w:t>
      </w:r>
      <w:r>
        <w:rPr>
          <w:i/>
        </w:rPr>
        <w:t>Preamble to Australian Auditing Standards</w:t>
      </w:r>
      <w:r>
        <w:t xml:space="preserve">, which sets out the intentions of the AUASB on how the Australian Auditing Standards, operative for financial reporting periods commencing on or after 1 January 2010, are to be understood, interpreted and applied.  This </w:t>
      </w:r>
      <w:fldSimple w:instr=" REF DocTypeLong \* charformat " w:fldLock="1">
        <w:r w:rsidR="00B020E2">
          <w:t>Auditing Standard</w:t>
        </w:r>
      </w:fldSimple>
      <w:r>
        <w:t xml:space="preserve"> is to be read also in conjunction with ASA 200 </w:t>
      </w:r>
      <w:r>
        <w:rPr>
          <w:i/>
        </w:rPr>
        <w:t>Overall Objectives of the Independent Auditor and the Conduct of an Audit in Accordance with Australian Auditing Standards.</w:t>
      </w:r>
    </w:p>
    <w:p w:rsidR="006D2111" w:rsidRDefault="00107ECE" w:rsidP="00C86569">
      <w:pPr>
        <w:pStyle w:val="ParaPlain"/>
        <w:tabs>
          <w:tab w:val="right" w:pos="9072"/>
        </w:tabs>
        <w:spacing w:before="1800"/>
      </w:pPr>
      <w:r>
        <w:t xml:space="preserve">Dated: </w:t>
      </w:r>
      <w:fldSimple w:instr=" REF PrepDate \* charformat " w:fldLock="1">
        <w:r w:rsidR="00B020E2">
          <w:t>11 November 2013</w:t>
        </w:r>
      </w:fldSimple>
    </w:p>
    <w:p w:rsidR="00FA3DFC" w:rsidRDefault="00FA3DFC" w:rsidP="00FA3DFC">
      <w:pPr>
        <w:pStyle w:val="Heading5"/>
        <w:pageBreakBefore/>
      </w:pPr>
      <w:r>
        <w:t xml:space="preserve">Conformity with International Standards on </w:t>
      </w:r>
      <w:bookmarkStart w:id="27" w:name="DocTypeIntlLong"/>
      <w:r w:rsidR="00107ECE">
        <w:t>Auditing</w:t>
      </w:r>
      <w:bookmarkEnd w:id="27"/>
    </w:p>
    <w:p w:rsidR="00107ECE" w:rsidRDefault="00107ECE" w:rsidP="0000664A">
      <w:pPr>
        <w:pStyle w:val="ParaPlain"/>
      </w:pPr>
      <w:bookmarkStart w:id="28" w:name="AutoTextConform"/>
      <w:bookmarkStart w:id="29" w:name="AddReqN"/>
      <w:bookmarkEnd w:id="28"/>
      <w:r>
        <w:t xml:space="preserve">This </w:t>
      </w:r>
      <w:fldSimple w:instr=" REF DocTypeLong \* charformat " w:fldLock="1">
        <w:r w:rsidR="00B020E2">
          <w:t>Auditing Standard</w:t>
        </w:r>
      </w:fldSimple>
      <w:r>
        <w:t xml:space="preserve"> conforms </w:t>
      </w:r>
      <w:proofErr w:type="gramStart"/>
      <w:r>
        <w:t>with</w:t>
      </w:r>
      <w:proofErr w:type="gramEnd"/>
      <w:r>
        <w:t xml:space="preserve"> International Standard on </w:t>
      </w:r>
      <w:fldSimple w:instr=" REF DocTypeIntlLong \* charformat " w:fldLock="1">
        <w:r w:rsidR="00B020E2">
          <w:t>Auditing</w:t>
        </w:r>
      </w:fldSimple>
      <w:r>
        <w:t xml:space="preserve"> </w:t>
      </w:r>
      <w:bookmarkStart w:id="30" w:name="DocTypeIntl"/>
      <w:r>
        <w:t>ISA</w:t>
      </w:r>
      <w:bookmarkEnd w:id="30"/>
      <w:r>
        <w:t> </w:t>
      </w:r>
      <w:bookmarkStart w:id="31" w:name="DocNoIntl"/>
      <w:r>
        <w:t>500</w:t>
      </w:r>
      <w:bookmarkEnd w:id="31"/>
      <w:r>
        <w:t xml:space="preserve"> </w:t>
      </w:r>
      <w:bookmarkStart w:id="32" w:name="DocTitleIntl"/>
      <w:r w:rsidRPr="00107ECE">
        <w:rPr>
          <w:i/>
        </w:rPr>
        <w:t>Audit Evidence</w:t>
      </w:r>
      <w:bookmarkEnd w:id="32"/>
      <w:r>
        <w:t xml:space="preserve"> issued by the International Auditing and Assurance Standards Board (IAASB), an independent standard</w:t>
      </w:r>
      <w:r>
        <w:noBreakHyphen/>
        <w:t>setting board of the International Federation of Accountants (IFAC).</w:t>
      </w:r>
    </w:p>
    <w:p w:rsidR="00107ECE" w:rsidRDefault="00107ECE" w:rsidP="0000664A">
      <w:pPr>
        <w:pStyle w:val="ParaPlain"/>
      </w:pPr>
      <w:r>
        <w:t xml:space="preserve">Paragraphs that have been added to this </w:t>
      </w:r>
      <w:fldSimple w:instr=" REF DocTypeLong \* charformat " w:fldLock="1">
        <w:r w:rsidR="00B020E2">
          <w:t>Auditing Standard</w:t>
        </w:r>
      </w:fldSimple>
      <w:r>
        <w:t xml:space="preserve"> (and do not appear in the text of the equivalent </w:t>
      </w:r>
      <w:fldSimple w:instr=" REF DocTypeIntl \* charformat " w:fldLock="1">
        <w:r w:rsidR="00B020E2">
          <w:t>ISA</w:t>
        </w:r>
      </w:fldSimple>
      <w:r>
        <w:t>) are identified with the prefix “</w:t>
      </w:r>
      <w:proofErr w:type="spellStart"/>
      <w:r>
        <w:t>Aus</w:t>
      </w:r>
      <w:proofErr w:type="spellEnd"/>
      <w:r>
        <w:t>”.</w:t>
      </w:r>
    </w:p>
    <w:p w:rsidR="006D2111" w:rsidRDefault="00107ECE" w:rsidP="00C86569">
      <w:pPr>
        <w:pStyle w:val="ParaPlain"/>
      </w:pPr>
      <w:r>
        <w:t xml:space="preserve">Compliance with this </w:t>
      </w:r>
      <w:fldSimple w:instr=" REF DocTypeLong \* charformat " w:fldLock="1">
        <w:r w:rsidR="00B020E2">
          <w:t>Auditing Standard</w:t>
        </w:r>
      </w:fldSimple>
      <w:r>
        <w:t xml:space="preserve"> enables compliance with </w:t>
      </w:r>
      <w:fldSimple w:instr=" REF DocTypeIntl \* charformat " w:fldLock="1">
        <w:r w:rsidR="00B020E2">
          <w:t>ISA</w:t>
        </w:r>
      </w:fldSimple>
      <w:r>
        <w:t> </w:t>
      </w:r>
      <w:r>
        <w:fldChar w:fldCharType="begin" w:fldLock="1"/>
      </w:r>
      <w:r>
        <w:instrText xml:space="preserve">REF DocNoIntl \* charformat </w:instrText>
      </w:r>
      <w:r>
        <w:fldChar w:fldCharType="separate"/>
      </w:r>
      <w:r w:rsidR="00B020E2">
        <w:t>500</w:t>
      </w:r>
      <w:r>
        <w:fldChar w:fldCharType="end"/>
      </w:r>
      <w:r>
        <w:t>.</w:t>
      </w:r>
      <w:bookmarkEnd w:id="29"/>
    </w:p>
    <w:p w:rsidR="004D4D03" w:rsidRDefault="004D4D03">
      <w:pPr>
        <w:sectPr w:rsidR="004D4D03" w:rsidSect="006D2111">
          <w:headerReference w:type="default" r:id="rId14"/>
          <w:footerReference w:type="default" r:id="rId15"/>
          <w:headerReference w:type="first" r:id="rId16"/>
          <w:footerReference w:type="first" r:id="rId17"/>
          <w:pgSz w:w="11907" w:h="16840" w:code="9"/>
          <w:pgMar w:top="2268" w:right="1418" w:bottom="1701" w:left="1418" w:header="992" w:footer="992" w:gutter="0"/>
          <w:cols w:space="720"/>
          <w:titlePg/>
        </w:sectPr>
      </w:pPr>
    </w:p>
    <w:p w:rsidR="00293EDF" w:rsidRPr="00293EDF" w:rsidRDefault="00293EDF" w:rsidP="00225B8E">
      <w:pPr>
        <w:pStyle w:val="ParaPlain"/>
        <w:pBdr>
          <w:top w:val="single" w:sz="4" w:space="6" w:color="auto"/>
          <w:left w:val="single" w:sz="4" w:space="4" w:color="auto"/>
          <w:bottom w:val="single" w:sz="4" w:space="6" w:color="auto"/>
          <w:right w:val="single" w:sz="4" w:space="4" w:color="auto"/>
        </w:pBdr>
        <w:jc w:val="center"/>
        <w:rPr>
          <w:caps/>
        </w:rPr>
      </w:pPr>
      <w:r w:rsidRPr="00293EDF">
        <w:rPr>
          <w:caps/>
        </w:rPr>
        <w:fldChar w:fldCharType="begin" w:fldLock="1"/>
      </w:r>
      <w:r w:rsidRPr="00293EDF">
        <w:rPr>
          <w:caps/>
        </w:rPr>
        <w:instrText xml:space="preserve"> REF DocTypeLong \* charformat </w:instrText>
      </w:r>
      <w:r>
        <w:rPr>
          <w:caps/>
        </w:rPr>
        <w:instrText xml:space="preserve"> \* MERGEFORMAT </w:instrText>
      </w:r>
      <w:r w:rsidRPr="00293EDF">
        <w:rPr>
          <w:caps/>
        </w:rPr>
        <w:fldChar w:fldCharType="separate"/>
      </w:r>
      <w:r w:rsidR="00B020E2" w:rsidRPr="00B020E2">
        <w:rPr>
          <w:caps/>
        </w:rPr>
        <w:t>Auditing Standard</w:t>
      </w:r>
      <w:r w:rsidRPr="00293EDF">
        <w:rPr>
          <w:caps/>
        </w:rPr>
        <w:fldChar w:fldCharType="end"/>
      </w:r>
      <w:r w:rsidRPr="00293EDF">
        <w:rPr>
          <w:caps/>
        </w:rPr>
        <w:t xml:space="preserve"> </w:t>
      </w:r>
      <w:r w:rsidRPr="00293EDF">
        <w:rPr>
          <w:caps/>
        </w:rPr>
        <w:fldChar w:fldCharType="begin" w:fldLock="1"/>
      </w:r>
      <w:r w:rsidRPr="00293EDF">
        <w:rPr>
          <w:caps/>
        </w:rPr>
        <w:instrText xml:space="preserve"> REF DocType \* charformat </w:instrText>
      </w:r>
      <w:r>
        <w:rPr>
          <w:caps/>
        </w:rPr>
        <w:instrText xml:space="preserve"> \* MERGEFORMAT </w:instrText>
      </w:r>
      <w:r w:rsidRPr="00293EDF">
        <w:rPr>
          <w:caps/>
        </w:rPr>
        <w:fldChar w:fldCharType="separate"/>
      </w:r>
      <w:r w:rsidR="00B020E2" w:rsidRPr="00B020E2">
        <w:rPr>
          <w:caps/>
        </w:rPr>
        <w:t>ASA</w:t>
      </w:r>
      <w:r w:rsidRPr="00293EDF">
        <w:rPr>
          <w:caps/>
        </w:rPr>
        <w:fldChar w:fldCharType="end"/>
      </w:r>
      <w:r w:rsidR="00EB165B">
        <w:rPr>
          <w:caps/>
        </w:rPr>
        <w:t> </w:t>
      </w:r>
      <w:r w:rsidRPr="00293EDF">
        <w:rPr>
          <w:caps/>
        </w:rPr>
        <w:fldChar w:fldCharType="begin" w:fldLock="1"/>
      </w:r>
      <w:r w:rsidRPr="00293EDF">
        <w:rPr>
          <w:caps/>
        </w:rPr>
        <w:instrText xml:space="preserve"> REF DocNo \* charformat </w:instrText>
      </w:r>
      <w:r>
        <w:rPr>
          <w:caps/>
        </w:rPr>
        <w:instrText xml:space="preserve"> \* MERGEFORMAT </w:instrText>
      </w:r>
      <w:r w:rsidRPr="00293EDF">
        <w:rPr>
          <w:caps/>
        </w:rPr>
        <w:fldChar w:fldCharType="separate"/>
      </w:r>
      <w:r w:rsidR="00B020E2" w:rsidRPr="00B020E2">
        <w:rPr>
          <w:caps/>
        </w:rPr>
        <w:t>500</w:t>
      </w:r>
      <w:r w:rsidRPr="00293EDF">
        <w:rPr>
          <w:caps/>
        </w:rPr>
        <w:fldChar w:fldCharType="end"/>
      </w:r>
    </w:p>
    <w:p w:rsidR="00293EDF" w:rsidRDefault="00293EDF" w:rsidP="00225B8E">
      <w:pPr>
        <w:pStyle w:val="ParaPlain"/>
        <w:pBdr>
          <w:top w:val="single" w:sz="4" w:space="6" w:color="auto"/>
          <w:left w:val="single" w:sz="4" w:space="4" w:color="auto"/>
          <w:bottom w:val="single" w:sz="4" w:space="6" w:color="auto"/>
          <w:right w:val="single" w:sz="4" w:space="4" w:color="auto"/>
        </w:pBdr>
      </w:pPr>
      <w:r>
        <w:t xml:space="preserve">The Auditing and Assurance Standards Board (AUASB) made </w:t>
      </w:r>
      <w:fldSimple w:instr=" REF DocTypeLong \* charformat " w:fldLock="1">
        <w:r w:rsidR="00B020E2">
          <w:t>Auditing Standard</w:t>
        </w:r>
      </w:fldSimple>
      <w:r>
        <w:t xml:space="preserve"> </w:t>
      </w:r>
      <w:fldSimple w:instr=" REF DocType \* charformat " w:fldLock="1">
        <w:r w:rsidR="00B020E2">
          <w:t>ASA</w:t>
        </w:r>
      </w:fldSimple>
      <w:r w:rsidR="006D2111">
        <w:t> </w:t>
      </w:r>
      <w:fldSimple w:instr=" REF DocNo \* charformat " w:fldLock="1">
        <w:r w:rsidR="00B020E2">
          <w:t>500</w:t>
        </w:r>
      </w:fldSimple>
      <w:r>
        <w:t xml:space="preserve"> </w:t>
      </w:r>
      <w:r w:rsidRPr="002D65BC">
        <w:rPr>
          <w:i/>
        </w:rPr>
        <w:fldChar w:fldCharType="begin" w:fldLock="1"/>
      </w:r>
      <w:r w:rsidRPr="002D65BC">
        <w:rPr>
          <w:i/>
        </w:rPr>
        <w:instrText xml:space="preserve"> REF </w:instrText>
      </w:r>
      <w:r w:rsidR="00FA3DFC">
        <w:rPr>
          <w:i/>
        </w:rPr>
        <w:instrText>Base</w:instrText>
      </w:r>
      <w:r w:rsidRPr="002D65BC">
        <w:rPr>
          <w:i/>
        </w:rPr>
        <w:instrText xml:space="preserve">Title \* charformat </w:instrText>
      </w:r>
      <w:r w:rsidRPr="002D65BC">
        <w:rPr>
          <w:i/>
        </w:rPr>
        <w:fldChar w:fldCharType="separate"/>
      </w:r>
      <w:r w:rsidR="00B020E2" w:rsidRPr="00B020E2">
        <w:rPr>
          <w:i/>
        </w:rPr>
        <w:t>Audit Evidence</w:t>
      </w:r>
      <w:r w:rsidRPr="002D65BC">
        <w:rPr>
          <w:i/>
        </w:rPr>
        <w:fldChar w:fldCharType="end"/>
      </w:r>
      <w:bookmarkStart w:id="33" w:name="_GoBack"/>
      <w:bookmarkEnd w:id="33"/>
      <w:r w:rsidR="00EB165B">
        <w:t xml:space="preserve"> pursuant to section </w:t>
      </w:r>
      <w:r>
        <w:t xml:space="preserve">227B of the </w:t>
      </w:r>
      <w:r>
        <w:rPr>
          <w:i/>
        </w:rPr>
        <w:t xml:space="preserve">Australian Securities and Investments </w:t>
      </w:r>
      <w:r w:rsidR="00AD579B">
        <w:rPr>
          <w:i/>
        </w:rPr>
        <w:t>Commission Act 2001</w:t>
      </w:r>
      <w:r>
        <w:t xml:space="preserve"> and section</w:t>
      </w:r>
      <w:r w:rsidR="00EB165B">
        <w:t> </w:t>
      </w:r>
      <w:r>
        <w:t xml:space="preserve">336 of the </w:t>
      </w:r>
      <w:r w:rsidR="00AD579B">
        <w:rPr>
          <w:i/>
        </w:rPr>
        <w:t>Corporations Act 2001</w:t>
      </w:r>
      <w:r>
        <w:t xml:space="preserve">, on </w:t>
      </w:r>
      <w:r>
        <w:fldChar w:fldCharType="begin" w:fldLock="1"/>
      </w:r>
      <w:r>
        <w:instrText xml:space="preserve"> REF </w:instrText>
      </w:r>
      <w:r w:rsidR="00FA3DFC">
        <w:instrText>Base</w:instrText>
      </w:r>
      <w:r>
        <w:instrText xml:space="preserve">DocDate \* charformat </w:instrText>
      </w:r>
      <w:r>
        <w:fldChar w:fldCharType="separate"/>
      </w:r>
      <w:r w:rsidR="00B020E2">
        <w:t>27 October 20</w:t>
      </w:r>
      <w:r>
        <w:fldChar w:fldCharType="end"/>
      </w:r>
      <w:r w:rsidR="000D6B0F">
        <w:t>09</w:t>
      </w:r>
      <w:r>
        <w:t>.</w:t>
      </w:r>
    </w:p>
    <w:p w:rsidR="00225B8E" w:rsidRDefault="00293EDF" w:rsidP="00225B8E">
      <w:pPr>
        <w:pStyle w:val="ParaPlain"/>
        <w:pBdr>
          <w:top w:val="single" w:sz="4" w:space="6" w:color="auto"/>
          <w:left w:val="single" w:sz="4" w:space="4" w:color="auto"/>
          <w:bottom w:val="single" w:sz="4" w:space="6" w:color="auto"/>
          <w:right w:val="single" w:sz="4" w:space="4" w:color="auto"/>
        </w:pBdr>
      </w:pPr>
      <w:proofErr w:type="gramStart"/>
      <w:r>
        <w:t xml:space="preserve">This compiled version of </w:t>
      </w:r>
      <w:fldSimple w:instr=" REF DocType \* charformat " w:fldLock="1">
        <w:r w:rsidR="00B020E2">
          <w:t>ASA</w:t>
        </w:r>
      </w:fldSimple>
      <w:r w:rsidR="006D2111">
        <w:t> </w:t>
      </w:r>
      <w:fldSimple w:instr=" REF DocNo \* charformat " w:fldLock="1">
        <w:r w:rsidR="00B020E2">
          <w:t>500</w:t>
        </w:r>
      </w:fldSimple>
      <w:r>
        <w:t xml:space="preserve"> incorporates subsequent amendments </w:t>
      </w:r>
      <w:r w:rsidR="00FA3DFC">
        <w:t xml:space="preserve">contained in </w:t>
      </w:r>
      <w:bookmarkStart w:id="34" w:name="AmendMult"/>
      <w:r w:rsidR="00FA3DFC">
        <w:t>other Auditing Standards</w:t>
      </w:r>
      <w:bookmarkEnd w:id="34"/>
      <w:r w:rsidR="00FA3DFC">
        <w:t xml:space="preserve"> made by the AUASB</w:t>
      </w:r>
      <w:r>
        <w:t xml:space="preserve"> up to and including </w:t>
      </w:r>
      <w:bookmarkStart w:id="35" w:name="AmendToDate"/>
      <w:r w:rsidR="001E362E">
        <w:t>11</w:t>
      </w:r>
      <w:r w:rsidR="004F2B24">
        <w:t> November</w:t>
      </w:r>
      <w:r w:rsidR="00107ECE">
        <w:t> 2013</w:t>
      </w:r>
      <w:bookmarkEnd w:id="35"/>
      <w:r w:rsidR="00ED64A1">
        <w:t xml:space="preserve"> </w:t>
      </w:r>
      <w:r>
        <w:t>(see</w:t>
      </w:r>
      <w:proofErr w:type="gramEnd"/>
      <w:r>
        <w:t xml:space="preserve"> Compilation Details).</w:t>
      </w:r>
    </w:p>
    <w:p w:rsidR="004D4D03" w:rsidRDefault="00B00722" w:rsidP="00680605">
      <w:pPr>
        <w:pStyle w:val="Heading2"/>
        <w:spacing w:before="240"/>
      </w:pPr>
      <w:r>
        <w:fldChar w:fldCharType="begin" w:fldLock="1"/>
      </w:r>
      <w:r>
        <w:instrText xml:space="preserve"> REF DocTypeLong </w:instrText>
      </w:r>
      <w:r w:rsidR="00701FC3">
        <w:instrText>\</w:instrText>
      </w:r>
      <w:r>
        <w:instrText xml:space="preserve">* charformat </w:instrText>
      </w:r>
      <w:r>
        <w:fldChar w:fldCharType="separate"/>
      </w:r>
      <w:r w:rsidR="00B020E2">
        <w:t>Auditing Standard</w:t>
      </w:r>
      <w:r>
        <w:fldChar w:fldCharType="end"/>
      </w:r>
      <w:r w:rsidR="00880310">
        <w:t xml:space="preserve"> </w:t>
      </w:r>
      <w:fldSimple w:instr=" REF DocType \* charformat " w:fldLock="1">
        <w:r w:rsidR="00B020E2">
          <w:t>ASA</w:t>
        </w:r>
      </w:fldSimple>
      <w:r w:rsidR="00995437">
        <w:t> </w:t>
      </w:r>
      <w:fldSimple w:instr=" REF DocNo \* charformat " w:fldLock="1">
        <w:r w:rsidR="00B020E2">
          <w:t>500</w:t>
        </w:r>
      </w:fldSimple>
    </w:p>
    <w:p w:rsidR="004D4D03" w:rsidRDefault="00FD70EA">
      <w:pPr>
        <w:pStyle w:val="Heading3"/>
      </w:pPr>
      <w:fldSimple w:instr=" REF DocTitle  \* charformat " w:fldLock="1">
        <w:r w:rsidR="00B020E2">
          <w:t>Audit Evidence</w:t>
        </w:r>
      </w:fldSimple>
    </w:p>
    <w:p w:rsidR="004D4D03" w:rsidRDefault="00301C19">
      <w:pPr>
        <w:pStyle w:val="Heading5"/>
      </w:pPr>
      <w:bookmarkStart w:id="36" w:name="TOCStart"/>
      <w:bookmarkEnd w:id="36"/>
      <w:r>
        <w:t>Application</w:t>
      </w:r>
    </w:p>
    <w:p w:rsidR="00107ECE" w:rsidRDefault="00107ECE" w:rsidP="00F0700A">
      <w:pPr>
        <w:pStyle w:val="AusParaLevel1"/>
      </w:pPr>
      <w:proofErr w:type="spellStart"/>
      <w:r>
        <w:t>Aus</w:t>
      </w:r>
      <w:proofErr w:type="spellEnd"/>
      <w:r>
        <w:t xml:space="preserve"> 0.1</w:t>
      </w:r>
      <w:r>
        <w:tab/>
        <w:t>This Auditing Standard applies to:</w:t>
      </w:r>
    </w:p>
    <w:p w:rsidR="00107ECE" w:rsidRDefault="00107ECE" w:rsidP="00F0700A">
      <w:pPr>
        <w:pStyle w:val="AusParaLevel2"/>
      </w:pPr>
      <w:r>
        <w:t>(a)</w:t>
      </w:r>
      <w:r>
        <w:tab/>
        <w:t>an audit of a financial report for a financial year, or an audit of a financial report for a hal</w:t>
      </w:r>
      <w:r w:rsidR="00C261A2">
        <w:t>f</w:t>
      </w:r>
      <w:r w:rsidR="00C261A2">
        <w:noBreakHyphen/>
        <w:t>y</w:t>
      </w:r>
      <w:r>
        <w:t xml:space="preserve">ear, in accordance with the </w:t>
      </w:r>
      <w:r w:rsidR="00AD579B">
        <w:rPr>
          <w:i/>
        </w:rPr>
        <w:t>Corporations Act 2001</w:t>
      </w:r>
      <w:r>
        <w:t>; and</w:t>
      </w:r>
    </w:p>
    <w:p w:rsidR="00107ECE" w:rsidRDefault="00107ECE" w:rsidP="00F0700A">
      <w:pPr>
        <w:pStyle w:val="AusParaLevel2"/>
      </w:pPr>
      <w:r>
        <w:t>(b)</w:t>
      </w:r>
      <w:r>
        <w:tab/>
        <w:t>an audit of a financial report, or a complete set of financial statements, for any other purpose.</w:t>
      </w:r>
    </w:p>
    <w:p w:rsidR="00107ECE" w:rsidRDefault="00107ECE" w:rsidP="00F0700A">
      <w:pPr>
        <w:pStyle w:val="AusParaLevel1"/>
      </w:pPr>
      <w:proofErr w:type="spellStart"/>
      <w:r>
        <w:t>Aus</w:t>
      </w:r>
      <w:proofErr w:type="spellEnd"/>
      <w:r>
        <w:t xml:space="preserve"> 0.2</w:t>
      </w:r>
      <w:r>
        <w:tab/>
        <w:t>This Auditing Standard also applies, as appropriate, to an audit of other historical financial information.</w:t>
      </w:r>
    </w:p>
    <w:p w:rsidR="004D4D03" w:rsidRDefault="0008431E">
      <w:pPr>
        <w:pStyle w:val="Heading5"/>
      </w:pPr>
      <w:r>
        <w:t>Operative</w:t>
      </w:r>
      <w:r w:rsidR="004D4D03">
        <w:t xml:space="preserve"> Date</w:t>
      </w:r>
    </w:p>
    <w:p w:rsidR="00107ECE" w:rsidRDefault="00107ECE" w:rsidP="00F0700A">
      <w:pPr>
        <w:pStyle w:val="AusParaLevel1"/>
      </w:pPr>
      <w:proofErr w:type="spellStart"/>
      <w:r>
        <w:t>Aus</w:t>
      </w:r>
      <w:proofErr w:type="spellEnd"/>
      <w:r>
        <w:t> 0.</w:t>
      </w:r>
      <w:bookmarkStart w:id="37" w:name="OpDateAusNo"/>
      <w:r>
        <w:t>3</w:t>
      </w:r>
      <w:bookmarkEnd w:id="37"/>
      <w:r>
        <w:tab/>
        <w:t xml:space="preserve">This </w:t>
      </w:r>
      <w:r>
        <w:fldChar w:fldCharType="begin" w:fldLock="1"/>
      </w:r>
      <w:r>
        <w:instrText xml:space="preserve"> REF DocTypeLong \* charformat</w:instrText>
      </w:r>
      <w:r>
        <w:fldChar w:fldCharType="separate"/>
      </w:r>
      <w:r w:rsidR="00B020E2">
        <w:t>Auditing Standard</w:t>
      </w:r>
      <w:r>
        <w:fldChar w:fldCharType="end"/>
      </w:r>
      <w:r>
        <w:t xml:space="preserve"> is operative for </w:t>
      </w:r>
      <w:bookmarkStart w:id="38" w:name="OpDateText"/>
      <w:r>
        <w:t>financial reporting periods commencing on or after</w:t>
      </w:r>
      <w:bookmarkEnd w:id="38"/>
      <w:r>
        <w:t xml:space="preserve"> </w:t>
      </w:r>
      <w:bookmarkStart w:id="39" w:name="OpDate"/>
      <w:r>
        <w:t>1 January 201</w:t>
      </w:r>
      <w:bookmarkEnd w:id="39"/>
      <w:r w:rsidR="00EF7D9C">
        <w:t>0</w:t>
      </w:r>
      <w:r>
        <w:t xml:space="preserve">.  </w:t>
      </w:r>
      <w:r>
        <w:rPr>
          <w:rStyle w:val="RefParas"/>
        </w:rPr>
        <w:t xml:space="preserve">[Note: </w:t>
      </w:r>
      <w:r w:rsidRPr="00FD04D4">
        <w:rPr>
          <w:rStyle w:val="RefParas"/>
        </w:rPr>
        <w:t>For operative dates of paragraphs changed or added by an Amending Standard, see Compilation Details.]</w:t>
      </w:r>
    </w:p>
    <w:p w:rsidR="008809E8" w:rsidRPr="0008431E" w:rsidRDefault="008809E8" w:rsidP="0008431E">
      <w:pPr>
        <w:pStyle w:val="Heading5"/>
      </w:pPr>
      <w:r>
        <w:t>Introduction</w:t>
      </w:r>
    </w:p>
    <w:p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B020E2">
        <w:t>Auditing Standard</w:t>
      </w:r>
      <w:r>
        <w:fldChar w:fldCharType="end"/>
      </w:r>
    </w:p>
    <w:p w:rsidR="00C261A2" w:rsidRPr="009E199C" w:rsidRDefault="00C261A2" w:rsidP="00C261A2">
      <w:pPr>
        <w:pStyle w:val="ParaLevel1"/>
      </w:pPr>
      <w:r w:rsidRPr="009E199C">
        <w:t>This Auditing Standard explains what constitutes audit evidence in an audit of a financial report, and deals with the auditor’s responsibility to design and perform audit procedures to obtain sufficient appropriate audit evidence to be able to draw reasonable conclusions on which to base the auditor’s opinion.</w:t>
      </w:r>
    </w:p>
    <w:p w:rsidR="00C261A2" w:rsidRDefault="00C261A2" w:rsidP="00C261A2">
      <w:pPr>
        <w:pStyle w:val="ParaLevel1"/>
      </w:pPr>
      <w:r w:rsidRPr="009E199C">
        <w:t>This Auditing Standard is applicable to all the audit evidence obtained during the course of the audit.</w:t>
      </w:r>
      <w:r>
        <w:t xml:space="preserve">  </w:t>
      </w:r>
      <w:r w:rsidRPr="009E199C">
        <w:t>Other Auditing Standards deal with specific aspects of the audit (for example, ASA</w:t>
      </w:r>
      <w:r>
        <w:t> </w:t>
      </w:r>
      <w:r w:rsidRPr="009E199C">
        <w:t>315</w:t>
      </w:r>
      <w:r w:rsidRPr="00AD579B">
        <w:rPr>
          <w:rStyle w:val="FootnoteReference"/>
        </w:rPr>
        <w:footnoteReference w:id="1"/>
      </w:r>
      <w:r w:rsidRPr="009E199C">
        <w:t>), the audit evidence to be obtained in relation to a particular topic (for example, ASA</w:t>
      </w:r>
      <w:r>
        <w:t> </w:t>
      </w:r>
      <w:r w:rsidRPr="009E199C">
        <w:t>570</w:t>
      </w:r>
      <w:r w:rsidRPr="00AD579B">
        <w:rPr>
          <w:rStyle w:val="FootnoteReference"/>
        </w:rPr>
        <w:footnoteReference w:id="2"/>
      </w:r>
      <w:r w:rsidRPr="009E199C">
        <w:t>), specific procedures to obtain audit evidence (for example, ASA</w:t>
      </w:r>
      <w:r>
        <w:t> </w:t>
      </w:r>
      <w:r w:rsidRPr="009E199C">
        <w:t>520</w:t>
      </w:r>
      <w:r w:rsidRPr="00AD579B">
        <w:rPr>
          <w:rStyle w:val="FootnoteReference"/>
        </w:rPr>
        <w:footnoteReference w:id="3"/>
      </w:r>
      <w:r w:rsidRPr="009E199C">
        <w:t>), and the evaluation of whether sufficient appropriate audit evidence has been obtained (ASA</w:t>
      </w:r>
      <w:r>
        <w:t> </w:t>
      </w:r>
      <w:r w:rsidRPr="009E199C">
        <w:t>200</w:t>
      </w:r>
      <w:r w:rsidRPr="00AD579B">
        <w:rPr>
          <w:rStyle w:val="FootnoteReference"/>
        </w:rPr>
        <w:footnoteReference w:id="4"/>
      </w:r>
      <w:r w:rsidRPr="009E199C">
        <w:t xml:space="preserve"> and ASA</w:t>
      </w:r>
      <w:r>
        <w:t> </w:t>
      </w:r>
      <w:r w:rsidRPr="009E199C">
        <w:t>330</w:t>
      </w:r>
      <w:r w:rsidRPr="00AD579B">
        <w:rPr>
          <w:rStyle w:val="FootnoteReference"/>
        </w:rPr>
        <w:footnoteReference w:id="5"/>
      </w:r>
      <w:r w:rsidRPr="009E199C">
        <w:t>).</w:t>
      </w:r>
      <w:r>
        <w:t xml:space="preserve">  </w:t>
      </w:r>
    </w:p>
    <w:p w:rsidR="0008431E" w:rsidRDefault="0008431E" w:rsidP="0008431E">
      <w:pPr>
        <w:pStyle w:val="Heading6"/>
      </w:pPr>
      <w:r>
        <w:t>Effective Date</w:t>
      </w:r>
    </w:p>
    <w:p w:rsidR="0008431E" w:rsidRDefault="0008431E" w:rsidP="0008431E">
      <w:pPr>
        <w:pStyle w:val="ParaLevel1"/>
      </w:pPr>
      <w:r>
        <w:t>[Del</w:t>
      </w:r>
      <w:r w:rsidR="00824BD6">
        <w:t xml:space="preserve">eted by the AUASB.  Refer </w:t>
      </w:r>
      <w:proofErr w:type="spellStart"/>
      <w:r w:rsidR="00824BD6">
        <w:t>Aus</w:t>
      </w:r>
      <w:proofErr w:type="spellEnd"/>
      <w:r w:rsidR="006D2111">
        <w:t> </w:t>
      </w:r>
      <w:r>
        <w:t>0.3]</w:t>
      </w:r>
    </w:p>
    <w:p w:rsidR="0008431E" w:rsidRDefault="0008431E" w:rsidP="0008431E">
      <w:pPr>
        <w:pStyle w:val="Heading5"/>
      </w:pPr>
      <w:r>
        <w:t>Objective</w:t>
      </w:r>
    </w:p>
    <w:p w:rsidR="0008431E" w:rsidRPr="0008431E" w:rsidRDefault="00A662D5" w:rsidP="0008431E">
      <w:pPr>
        <w:pStyle w:val="ParaLevel1"/>
      </w:pPr>
      <w:r w:rsidRPr="001033B9">
        <w:t>The objective of the auditor is to design and perform audit procedures in such a way as to enable the auditor to obtain sufficient appropriate audit evidence to be able to draw reasonable conclusions on which to base the auditor’s opinion.</w:t>
      </w:r>
    </w:p>
    <w:p w:rsidR="00DD6627" w:rsidRDefault="0008431E" w:rsidP="00DD6627">
      <w:pPr>
        <w:pStyle w:val="Heading5"/>
      </w:pPr>
      <w:r>
        <w:t>Definition</w:t>
      </w:r>
      <w:r w:rsidR="00A662D5">
        <w:t>s</w:t>
      </w:r>
    </w:p>
    <w:p w:rsidR="00DD6627" w:rsidRDefault="00107ECE" w:rsidP="008809E8">
      <w:pPr>
        <w:pStyle w:val="ParaLevel1"/>
      </w:pPr>
      <w:bookmarkStart w:id="40" w:name="AutoTextDefn"/>
      <w:bookmarkEnd w:id="40"/>
      <w:r>
        <w:t xml:space="preserve">For the purposes of this </w:t>
      </w:r>
      <w:fldSimple w:instr=" REF DocTypeLong \* charformat " w:fldLock="1">
        <w:r w:rsidR="00B020E2">
          <w:t>Auditing Standard</w:t>
        </w:r>
      </w:fldSimple>
      <w:r>
        <w:t>, the following term</w:t>
      </w:r>
      <w:r w:rsidR="00A662D5">
        <w:t>s</w:t>
      </w:r>
      <w:r>
        <w:t xml:space="preserve"> </w:t>
      </w:r>
      <w:r w:rsidR="00A662D5">
        <w:t>have</w:t>
      </w:r>
      <w:r>
        <w:t xml:space="preserve"> the meaning</w:t>
      </w:r>
      <w:r w:rsidR="00A662D5">
        <w:t>s</w:t>
      </w:r>
      <w:r>
        <w:t xml:space="preserve"> attributed below:</w:t>
      </w:r>
    </w:p>
    <w:p w:rsidR="00A662D5" w:rsidRPr="00645260" w:rsidRDefault="00A662D5" w:rsidP="00A662D5">
      <w:pPr>
        <w:pStyle w:val="ParaLevel2"/>
      </w:pPr>
      <w:r w:rsidRPr="00645260">
        <w:t>Accounting records means the records of initial accounting entries and supporting records, such as cheques and records of electronic fund transfers; invoices; contracts; the general and subsidiary ledgers, journal entries and other adjustments to the financial report that are not reflected in journal entries; and records such as work sheets and spreadsheets supporting cost allocations, computations, reconciliations and disclosures.</w:t>
      </w:r>
      <w:r>
        <w:t xml:space="preserve">  </w:t>
      </w:r>
    </w:p>
    <w:p w:rsidR="00A662D5" w:rsidRPr="00645260" w:rsidRDefault="00A662D5" w:rsidP="00A662D5">
      <w:pPr>
        <w:pStyle w:val="ParaLevel2"/>
      </w:pPr>
      <w:r w:rsidRPr="00645260">
        <w:t>Appropriateness (of audit evidence) means the measure of the quality of audit evidence; that is, its relevance and its reliability in providing support for the conclusions on which the auditor’s opinion is based.</w:t>
      </w:r>
      <w:r>
        <w:t xml:space="preserve">  </w:t>
      </w:r>
    </w:p>
    <w:p w:rsidR="00A662D5" w:rsidRPr="00645260" w:rsidRDefault="00A662D5" w:rsidP="00A662D5">
      <w:pPr>
        <w:pStyle w:val="ParaLevel2"/>
      </w:pPr>
      <w:r w:rsidRPr="00645260">
        <w:t>Audit evidence means information used by the auditor in arriving at the conclusions on which the auditor’s opinion is based.</w:t>
      </w:r>
      <w:r>
        <w:t xml:space="preserve">  </w:t>
      </w:r>
      <w:r w:rsidRPr="00645260">
        <w:t>Audit evidence includes both information contained in the accounting records underlying the financial report and other information.</w:t>
      </w:r>
      <w:r>
        <w:t xml:space="preserve">  </w:t>
      </w:r>
    </w:p>
    <w:p w:rsidR="00A662D5" w:rsidRPr="00645260" w:rsidRDefault="00A662D5" w:rsidP="00A662D5">
      <w:pPr>
        <w:pStyle w:val="ParaLevel2"/>
      </w:pPr>
      <w:r w:rsidRPr="00645260">
        <w:t>Management’s expert means an individual or organisation possessing expertise in a field other than accounting or auditing, whose work in that field is used by the entity to assist the entity in preparing the financial report.</w:t>
      </w:r>
    </w:p>
    <w:p w:rsidR="00A662D5" w:rsidRDefault="00A662D5" w:rsidP="00A662D5">
      <w:pPr>
        <w:pStyle w:val="ParaLevel2"/>
      </w:pPr>
      <w:r w:rsidRPr="00645260">
        <w:t>Sufficiency</w:t>
      </w:r>
      <w:bookmarkStart w:id="41" w:name="OLE_LINK3"/>
      <w:r w:rsidRPr="00645260">
        <w:t xml:space="preserve"> (of audit evidence)</w:t>
      </w:r>
      <w:bookmarkEnd w:id="41"/>
      <w:r w:rsidRPr="00645260">
        <w:t xml:space="preserve"> means the measure of the quantity of audit evidence.</w:t>
      </w:r>
      <w:r>
        <w:t xml:space="preserve">  </w:t>
      </w:r>
      <w:r w:rsidRPr="00645260">
        <w:t>The quantity of the audit evidence needed is affected by the auditor’s assessment of the risks of material misstatement and also by the quality of such audit evidence.</w:t>
      </w:r>
      <w:r>
        <w:t xml:space="preserve">  </w:t>
      </w:r>
    </w:p>
    <w:p w:rsidR="0000664A" w:rsidRDefault="0000664A" w:rsidP="0000664A">
      <w:pPr>
        <w:pStyle w:val="Heading5"/>
      </w:pPr>
      <w:r>
        <w:t>Requirements</w:t>
      </w:r>
    </w:p>
    <w:p w:rsidR="00A662D5" w:rsidRPr="005A7174" w:rsidRDefault="00A662D5" w:rsidP="00A662D5">
      <w:pPr>
        <w:pStyle w:val="Heading6"/>
      </w:pPr>
      <w:r w:rsidRPr="00A662D5">
        <w:t>Sufficient</w:t>
      </w:r>
      <w:r w:rsidRPr="005A7174">
        <w:t xml:space="preserve"> </w:t>
      </w:r>
      <w:r w:rsidRPr="00A662D5">
        <w:t>Appropriate</w:t>
      </w:r>
      <w:r w:rsidRPr="005A7174">
        <w:t xml:space="preserve"> </w:t>
      </w:r>
      <w:r w:rsidRPr="00A662D5">
        <w:t>Audit</w:t>
      </w:r>
      <w:r w:rsidRPr="005A7174">
        <w:t xml:space="preserve"> </w:t>
      </w:r>
      <w:r w:rsidRPr="00A662D5">
        <w:t>Evidence</w:t>
      </w:r>
      <w:r w:rsidRPr="005A7174">
        <w:t xml:space="preserve"> </w:t>
      </w:r>
    </w:p>
    <w:p w:rsidR="00A662D5" w:rsidRPr="005A7174" w:rsidRDefault="00A662D5" w:rsidP="00A662D5">
      <w:pPr>
        <w:pStyle w:val="ParaLevel1"/>
      </w:pPr>
      <w:r w:rsidRPr="005A7174">
        <w:t>The auditor shall design and perform audit procedures that are appropriate in the circumstances for the purpose of obtaining sufficient appropriate audit evidence.</w:t>
      </w:r>
      <w:r>
        <w:t xml:space="preserve">  </w:t>
      </w:r>
      <w:r w:rsidRPr="00A662D5">
        <w:rPr>
          <w:rStyle w:val="RefParas"/>
        </w:rPr>
        <w:t>(</w:t>
      </w:r>
      <w:r w:rsidR="00AD579B">
        <w:rPr>
          <w:rStyle w:val="RefParas"/>
        </w:rPr>
        <w:t>Ref: Para. </w:t>
      </w:r>
      <w:r w:rsidRPr="00A662D5">
        <w:rPr>
          <w:rStyle w:val="RefParas"/>
        </w:rPr>
        <w:t>A1</w:t>
      </w:r>
      <w:r>
        <w:rPr>
          <w:rStyle w:val="RefParas"/>
        </w:rPr>
        <w:noBreakHyphen/>
      </w:r>
      <w:r w:rsidRPr="00A662D5">
        <w:rPr>
          <w:rStyle w:val="RefParas"/>
        </w:rPr>
        <w:t>A25)</w:t>
      </w:r>
    </w:p>
    <w:p w:rsidR="00A662D5" w:rsidRPr="005A7174" w:rsidRDefault="00A662D5" w:rsidP="00A662D5">
      <w:pPr>
        <w:pStyle w:val="Heading6"/>
      </w:pPr>
      <w:r w:rsidRPr="00A662D5">
        <w:t>Information</w:t>
      </w:r>
      <w:r w:rsidRPr="005A7174">
        <w:t xml:space="preserve"> </w:t>
      </w:r>
      <w:r w:rsidRPr="00A662D5">
        <w:t>to</w:t>
      </w:r>
      <w:r w:rsidRPr="005A7174">
        <w:t xml:space="preserve"> </w:t>
      </w:r>
      <w:r w:rsidRPr="00A662D5">
        <w:t>Be</w:t>
      </w:r>
      <w:r w:rsidRPr="005A7174">
        <w:t xml:space="preserve"> </w:t>
      </w:r>
      <w:r w:rsidRPr="00A662D5">
        <w:t>Used</w:t>
      </w:r>
      <w:r w:rsidRPr="005A7174">
        <w:t xml:space="preserve"> </w:t>
      </w:r>
      <w:r w:rsidRPr="00A662D5">
        <w:t>as</w:t>
      </w:r>
      <w:r w:rsidRPr="005A7174">
        <w:t xml:space="preserve"> </w:t>
      </w:r>
      <w:r w:rsidRPr="00A662D5">
        <w:t>Audit</w:t>
      </w:r>
      <w:r w:rsidRPr="005A7174">
        <w:t xml:space="preserve"> </w:t>
      </w:r>
      <w:r w:rsidRPr="00A662D5">
        <w:t>Evidence</w:t>
      </w:r>
    </w:p>
    <w:p w:rsidR="00A662D5" w:rsidRPr="005A7174" w:rsidRDefault="00A662D5" w:rsidP="00A662D5">
      <w:pPr>
        <w:pStyle w:val="ParaLevel1"/>
      </w:pPr>
      <w:r w:rsidRPr="005A7174">
        <w:t>When designing and performing audit procedures, the auditor shall consider the relevance and reliability of the information to be used as audit evidence.</w:t>
      </w:r>
      <w:r>
        <w:t xml:space="preserve">  </w:t>
      </w:r>
      <w:r w:rsidRPr="00A662D5">
        <w:rPr>
          <w:rStyle w:val="RefParas"/>
        </w:rPr>
        <w:t>(</w:t>
      </w:r>
      <w:r w:rsidR="00AD579B">
        <w:rPr>
          <w:rStyle w:val="RefParas"/>
        </w:rPr>
        <w:t>Ref: Para. </w:t>
      </w:r>
      <w:r w:rsidRPr="00A662D5">
        <w:rPr>
          <w:rStyle w:val="RefParas"/>
        </w:rPr>
        <w:t>A26</w:t>
      </w:r>
      <w:r>
        <w:rPr>
          <w:rStyle w:val="RefParas"/>
        </w:rPr>
        <w:noBreakHyphen/>
      </w:r>
      <w:r w:rsidRPr="00A662D5">
        <w:rPr>
          <w:rStyle w:val="RefParas"/>
        </w:rPr>
        <w:t>A33)</w:t>
      </w:r>
    </w:p>
    <w:p w:rsidR="00A662D5" w:rsidRPr="005A7174" w:rsidRDefault="00A662D5" w:rsidP="00A662D5">
      <w:pPr>
        <w:pStyle w:val="ParaLevel1"/>
      </w:pPr>
      <w:r w:rsidRPr="005A7174">
        <w:t>If information to be used as audit evidence has been prepared using the work of a management’s expert, the auditor shall, to the extent necessary, having regard to the significance of that expert’s work for the auditor’s purposes:</w:t>
      </w:r>
      <w:r>
        <w:t xml:space="preserve"> </w:t>
      </w:r>
      <w:r w:rsidRPr="005A7174">
        <w:t xml:space="preserve"> </w:t>
      </w:r>
      <w:r w:rsidRPr="00A662D5">
        <w:rPr>
          <w:rStyle w:val="RefParas"/>
        </w:rPr>
        <w:t>(</w:t>
      </w:r>
      <w:r w:rsidR="00AD579B">
        <w:rPr>
          <w:rStyle w:val="RefParas"/>
        </w:rPr>
        <w:t>Ref: Para. </w:t>
      </w:r>
      <w:r w:rsidRPr="00A662D5">
        <w:rPr>
          <w:rStyle w:val="RefParas"/>
        </w:rPr>
        <w:t>A34</w:t>
      </w:r>
      <w:r>
        <w:rPr>
          <w:rStyle w:val="RefParas"/>
        </w:rPr>
        <w:noBreakHyphen/>
      </w:r>
      <w:r w:rsidRPr="00A662D5">
        <w:rPr>
          <w:rStyle w:val="RefParas"/>
        </w:rPr>
        <w:t>A36)</w:t>
      </w:r>
    </w:p>
    <w:p w:rsidR="00A662D5" w:rsidRPr="005A7174" w:rsidRDefault="00A662D5" w:rsidP="00A662D5">
      <w:pPr>
        <w:pStyle w:val="ParaLevel2"/>
      </w:pPr>
      <w:r w:rsidRPr="005A7174">
        <w:t>Evaluate the competence, capabilities and objectivity of that expert;</w:t>
      </w:r>
      <w:r>
        <w:t xml:space="preserve"> </w:t>
      </w:r>
      <w:r w:rsidRPr="005A7174">
        <w:t xml:space="preserve"> </w:t>
      </w:r>
      <w:r w:rsidRPr="00A662D5">
        <w:rPr>
          <w:rStyle w:val="RefParas"/>
        </w:rPr>
        <w:t>(</w:t>
      </w:r>
      <w:r w:rsidR="00AD579B">
        <w:rPr>
          <w:rStyle w:val="RefParas"/>
        </w:rPr>
        <w:t>Ref: Para. </w:t>
      </w:r>
      <w:r w:rsidRPr="00A662D5">
        <w:rPr>
          <w:rStyle w:val="RefParas"/>
        </w:rPr>
        <w:t>A37</w:t>
      </w:r>
      <w:r>
        <w:rPr>
          <w:rStyle w:val="RefParas"/>
        </w:rPr>
        <w:noBreakHyphen/>
      </w:r>
      <w:r w:rsidRPr="00A662D5">
        <w:rPr>
          <w:rStyle w:val="RefParas"/>
        </w:rPr>
        <w:t>A43)</w:t>
      </w:r>
      <w:r w:rsidRPr="005A7174">
        <w:t xml:space="preserve"> </w:t>
      </w:r>
    </w:p>
    <w:p w:rsidR="00A662D5" w:rsidRPr="005A7174" w:rsidRDefault="00A662D5" w:rsidP="00A662D5">
      <w:pPr>
        <w:pStyle w:val="ParaLevel2"/>
      </w:pPr>
      <w:r w:rsidRPr="005A7174">
        <w:t xml:space="preserve">Obtain an understanding of the work of that expert; and </w:t>
      </w:r>
      <w:r>
        <w:t xml:space="preserve"> </w:t>
      </w:r>
      <w:r w:rsidRPr="00A662D5">
        <w:rPr>
          <w:rStyle w:val="RefParas"/>
        </w:rPr>
        <w:t>(</w:t>
      </w:r>
      <w:r w:rsidR="00AD579B">
        <w:rPr>
          <w:rStyle w:val="RefParas"/>
        </w:rPr>
        <w:t>Ref: Para. </w:t>
      </w:r>
      <w:r w:rsidRPr="00A662D5">
        <w:rPr>
          <w:rStyle w:val="RefParas"/>
        </w:rPr>
        <w:t>A44</w:t>
      </w:r>
      <w:r>
        <w:rPr>
          <w:rStyle w:val="RefParas"/>
        </w:rPr>
        <w:noBreakHyphen/>
      </w:r>
      <w:r w:rsidRPr="00A662D5">
        <w:rPr>
          <w:rStyle w:val="RefParas"/>
        </w:rPr>
        <w:t>A47)</w:t>
      </w:r>
    </w:p>
    <w:p w:rsidR="00A662D5" w:rsidRPr="005A7174" w:rsidRDefault="00A662D5" w:rsidP="00A662D5">
      <w:pPr>
        <w:pStyle w:val="ParaLevel2"/>
      </w:pPr>
      <w:r w:rsidRPr="005A7174">
        <w:t>Evaluate the appropriateness of that expert’s work as audit evidence for the relevant assertion.</w:t>
      </w:r>
      <w:r>
        <w:t xml:space="preserve">  </w:t>
      </w:r>
      <w:r w:rsidRPr="00A662D5">
        <w:rPr>
          <w:rStyle w:val="RefParas"/>
        </w:rPr>
        <w:t>(</w:t>
      </w:r>
      <w:r w:rsidR="00AD579B">
        <w:rPr>
          <w:rStyle w:val="RefParas"/>
        </w:rPr>
        <w:t>Ref: Para. </w:t>
      </w:r>
      <w:r w:rsidRPr="00A662D5">
        <w:rPr>
          <w:rStyle w:val="RefParas"/>
        </w:rPr>
        <w:t>A48)</w:t>
      </w:r>
    </w:p>
    <w:p w:rsidR="00A662D5" w:rsidRPr="005A7174" w:rsidRDefault="00A662D5" w:rsidP="00A662D5">
      <w:pPr>
        <w:pStyle w:val="ParaLevel1"/>
      </w:pPr>
      <w:r w:rsidRPr="005A7174">
        <w:t xml:space="preserve">When using information produced by the entity, the auditor shall evaluate whether the information is sufficiently reliable for the auditor’s purposes, including as necessary in the circumstances: </w:t>
      </w:r>
    </w:p>
    <w:p w:rsidR="00A662D5" w:rsidRPr="005A7174" w:rsidRDefault="00A662D5" w:rsidP="00A662D5">
      <w:pPr>
        <w:pStyle w:val="ParaLevel2"/>
      </w:pPr>
      <w:r w:rsidRPr="005A7174">
        <w:t xml:space="preserve">Obtaining audit evidence about the accuracy and completeness of the information; and </w:t>
      </w:r>
      <w:r w:rsidRPr="00A662D5">
        <w:rPr>
          <w:rStyle w:val="RefParas"/>
        </w:rPr>
        <w:t>(</w:t>
      </w:r>
      <w:r w:rsidR="00AD579B">
        <w:rPr>
          <w:rStyle w:val="RefParas"/>
        </w:rPr>
        <w:t>Ref: Para. </w:t>
      </w:r>
      <w:r w:rsidRPr="00A662D5">
        <w:rPr>
          <w:rStyle w:val="RefParas"/>
        </w:rPr>
        <w:t>A49</w:t>
      </w:r>
      <w:r>
        <w:rPr>
          <w:rStyle w:val="RefParas"/>
        </w:rPr>
        <w:noBreakHyphen/>
      </w:r>
      <w:r w:rsidRPr="00A662D5">
        <w:rPr>
          <w:rStyle w:val="RefParas"/>
        </w:rPr>
        <w:t>A50)</w:t>
      </w:r>
    </w:p>
    <w:p w:rsidR="00A662D5" w:rsidRPr="005A7174" w:rsidRDefault="00A662D5" w:rsidP="00A662D5">
      <w:pPr>
        <w:pStyle w:val="ParaLevel2"/>
      </w:pPr>
      <w:r w:rsidRPr="005A7174">
        <w:t>Evaluating whether the information is sufficiently precise and detailed for the auditor’s purposes.</w:t>
      </w:r>
      <w:r>
        <w:t xml:space="preserve">  </w:t>
      </w:r>
      <w:r w:rsidRPr="00A662D5">
        <w:rPr>
          <w:rStyle w:val="RefParas"/>
        </w:rPr>
        <w:t>(</w:t>
      </w:r>
      <w:r w:rsidR="00AD579B">
        <w:rPr>
          <w:rStyle w:val="RefParas"/>
        </w:rPr>
        <w:t>Ref: Para. </w:t>
      </w:r>
      <w:r w:rsidRPr="00A662D5">
        <w:rPr>
          <w:rStyle w:val="RefParas"/>
        </w:rPr>
        <w:t>A51)</w:t>
      </w:r>
    </w:p>
    <w:p w:rsidR="00A662D5" w:rsidRPr="005A7174" w:rsidRDefault="00A662D5" w:rsidP="00A662D5">
      <w:pPr>
        <w:pStyle w:val="Heading6"/>
      </w:pPr>
      <w:r w:rsidRPr="00A662D5">
        <w:t>Selecting</w:t>
      </w:r>
      <w:r w:rsidRPr="005A7174">
        <w:t xml:space="preserve"> </w:t>
      </w:r>
      <w:r w:rsidRPr="00A662D5">
        <w:t>Items</w:t>
      </w:r>
      <w:r w:rsidRPr="005A7174">
        <w:t xml:space="preserve"> </w:t>
      </w:r>
      <w:r w:rsidRPr="00A662D5">
        <w:t>for</w:t>
      </w:r>
      <w:r w:rsidRPr="005A7174">
        <w:t xml:space="preserve"> </w:t>
      </w:r>
      <w:r w:rsidRPr="00A662D5">
        <w:t>Testing</w:t>
      </w:r>
      <w:r w:rsidRPr="005A7174">
        <w:t xml:space="preserve"> </w:t>
      </w:r>
      <w:r w:rsidRPr="00A662D5">
        <w:t>to</w:t>
      </w:r>
      <w:r w:rsidRPr="005A7174">
        <w:t xml:space="preserve"> </w:t>
      </w:r>
      <w:r w:rsidRPr="00A662D5">
        <w:t>Obtain</w:t>
      </w:r>
      <w:r w:rsidRPr="005A7174">
        <w:t xml:space="preserve"> </w:t>
      </w:r>
      <w:r w:rsidRPr="00A662D5">
        <w:t>Audit</w:t>
      </w:r>
      <w:r w:rsidRPr="005A7174">
        <w:t xml:space="preserve"> </w:t>
      </w:r>
      <w:r w:rsidRPr="00A662D5">
        <w:t>Evidence</w:t>
      </w:r>
    </w:p>
    <w:p w:rsidR="00A662D5" w:rsidRPr="005A7174" w:rsidRDefault="00A662D5" w:rsidP="00A662D5">
      <w:pPr>
        <w:pStyle w:val="ParaLevel1"/>
      </w:pPr>
      <w:r w:rsidRPr="005A7174">
        <w:t>When designing tests of controls and tests of details, the auditor shall determine means of selecting items for testing that are effective in meeting the purpose of the audit procedure.</w:t>
      </w:r>
      <w:r>
        <w:t xml:space="preserve">  </w:t>
      </w:r>
      <w:r w:rsidRPr="00A662D5">
        <w:rPr>
          <w:rStyle w:val="RefParas"/>
        </w:rPr>
        <w:t>(</w:t>
      </w:r>
      <w:r w:rsidR="00AD579B">
        <w:rPr>
          <w:rStyle w:val="RefParas"/>
        </w:rPr>
        <w:t>Ref: Para. </w:t>
      </w:r>
      <w:r w:rsidRPr="00A662D5">
        <w:rPr>
          <w:rStyle w:val="RefParas"/>
        </w:rPr>
        <w:t>A52</w:t>
      </w:r>
      <w:r>
        <w:rPr>
          <w:rStyle w:val="RefParas"/>
        </w:rPr>
        <w:noBreakHyphen/>
      </w:r>
      <w:r w:rsidRPr="00A662D5">
        <w:rPr>
          <w:rStyle w:val="RefParas"/>
        </w:rPr>
        <w:t>A56)</w:t>
      </w:r>
    </w:p>
    <w:p w:rsidR="00A662D5" w:rsidRPr="005A7174" w:rsidRDefault="00A662D5" w:rsidP="00A662D5">
      <w:pPr>
        <w:pStyle w:val="Heading6"/>
      </w:pPr>
      <w:r w:rsidRPr="00A662D5">
        <w:t>Inconsistency</w:t>
      </w:r>
      <w:r w:rsidRPr="005A7174">
        <w:t xml:space="preserve"> </w:t>
      </w:r>
      <w:r w:rsidRPr="00A662D5">
        <w:t>in</w:t>
      </w:r>
      <w:r w:rsidRPr="005A7174">
        <w:t xml:space="preserve">, </w:t>
      </w:r>
      <w:r w:rsidRPr="00A662D5">
        <w:t>or</w:t>
      </w:r>
      <w:r w:rsidRPr="005A7174">
        <w:t xml:space="preserve"> </w:t>
      </w:r>
      <w:r w:rsidRPr="00A662D5">
        <w:t>Doubts</w:t>
      </w:r>
      <w:r w:rsidRPr="005A7174">
        <w:t xml:space="preserve"> </w:t>
      </w:r>
      <w:r w:rsidRPr="00A662D5">
        <w:t>over</w:t>
      </w:r>
      <w:r w:rsidRPr="005A7174">
        <w:t xml:space="preserve"> </w:t>
      </w:r>
      <w:r w:rsidRPr="00A662D5">
        <w:t>Reliability</w:t>
      </w:r>
      <w:r w:rsidRPr="005A7174">
        <w:t xml:space="preserve"> </w:t>
      </w:r>
      <w:r w:rsidRPr="00A662D5">
        <w:t>of</w:t>
      </w:r>
      <w:r w:rsidRPr="005A7174">
        <w:t xml:space="preserve">, </w:t>
      </w:r>
      <w:r w:rsidRPr="00A662D5">
        <w:t>Audit</w:t>
      </w:r>
      <w:r w:rsidRPr="005A7174">
        <w:t xml:space="preserve"> </w:t>
      </w:r>
      <w:r w:rsidRPr="00A662D5">
        <w:t>Evidence</w:t>
      </w:r>
    </w:p>
    <w:p w:rsidR="00A662D5" w:rsidRPr="005A7174" w:rsidRDefault="00A662D5" w:rsidP="00A662D5">
      <w:pPr>
        <w:pStyle w:val="ParaLevel1"/>
      </w:pPr>
      <w:r w:rsidRPr="005A7174">
        <w:t xml:space="preserve">If: </w:t>
      </w:r>
    </w:p>
    <w:p w:rsidR="00A662D5" w:rsidRPr="005A7174" w:rsidRDefault="00A662D5" w:rsidP="00A662D5">
      <w:pPr>
        <w:pStyle w:val="ParaLevel2"/>
      </w:pPr>
      <w:r w:rsidRPr="005A7174">
        <w:t xml:space="preserve">audit evidence obtained from one source is inconsistent with that obtained from another; or </w:t>
      </w:r>
    </w:p>
    <w:p w:rsidR="00A662D5" w:rsidRPr="005A7174" w:rsidRDefault="00A662D5" w:rsidP="00A662D5">
      <w:pPr>
        <w:pStyle w:val="ParaLevel2"/>
      </w:pPr>
      <w:r w:rsidRPr="005A7174">
        <w:t xml:space="preserve">the auditor has doubts over the reliability of information to be used as audit evidence, </w:t>
      </w:r>
    </w:p>
    <w:p w:rsidR="00A662D5" w:rsidRDefault="00A662D5" w:rsidP="00A662D5">
      <w:pPr>
        <w:ind w:left="709"/>
      </w:pPr>
      <w:r w:rsidRPr="005A7174">
        <w:t>the auditor shall determine what modifications or additions to audit procedures are necessary to resolve the matter, and shall consider the effect of the matter, if any, on other aspects of the audit.</w:t>
      </w:r>
      <w:r>
        <w:t xml:space="preserve">  </w:t>
      </w:r>
      <w:r w:rsidRPr="00A662D5">
        <w:rPr>
          <w:rStyle w:val="RefParas"/>
        </w:rPr>
        <w:t>(</w:t>
      </w:r>
      <w:r w:rsidR="00AD579B">
        <w:rPr>
          <w:rStyle w:val="RefParas"/>
        </w:rPr>
        <w:t>Ref: Para. </w:t>
      </w:r>
      <w:r w:rsidRPr="00A662D5">
        <w:rPr>
          <w:rStyle w:val="RefParas"/>
        </w:rPr>
        <w:t>A57)</w:t>
      </w:r>
    </w:p>
    <w:p w:rsidR="0000664A" w:rsidRDefault="0000664A" w:rsidP="004E4CD8">
      <w:pPr>
        <w:pStyle w:val="Divider"/>
        <w:spacing w:before="480"/>
      </w:pPr>
      <w:r>
        <w:t>* * *</w:t>
      </w:r>
    </w:p>
    <w:p w:rsidR="0000664A" w:rsidRDefault="0000664A" w:rsidP="0000664A">
      <w:pPr>
        <w:pStyle w:val="Heading5"/>
        <w:pageBreakBefore/>
      </w:pPr>
      <w:r>
        <w:t>Application and Other Explanatory Material</w:t>
      </w:r>
    </w:p>
    <w:p w:rsidR="00AD579B" w:rsidRPr="005815E2" w:rsidRDefault="00AD579B" w:rsidP="00AD579B">
      <w:pPr>
        <w:pStyle w:val="Heading6"/>
      </w:pPr>
      <w:r w:rsidRPr="00AD579B">
        <w:t>Sufficient</w:t>
      </w:r>
      <w:r w:rsidRPr="005815E2">
        <w:t xml:space="preserve"> </w:t>
      </w:r>
      <w:r w:rsidRPr="00AD579B">
        <w:t>Appropriate</w:t>
      </w:r>
      <w:r w:rsidRPr="005815E2">
        <w:t xml:space="preserve"> </w:t>
      </w:r>
      <w:r w:rsidRPr="00AD579B">
        <w:t>Audit</w:t>
      </w:r>
      <w:r w:rsidRPr="005815E2">
        <w:t xml:space="preserve"> </w:t>
      </w:r>
      <w:r w:rsidRPr="00AD579B">
        <w:t>Evidence</w:t>
      </w:r>
      <w:r w:rsidRPr="005815E2">
        <w:t xml:space="preserve"> </w:t>
      </w:r>
      <w:r w:rsidRPr="00AD579B">
        <w:rPr>
          <w:rStyle w:val="RefParas"/>
          <w:b w:val="0"/>
        </w:rPr>
        <w:t>(Ref: Para. 6)</w:t>
      </w:r>
    </w:p>
    <w:p w:rsidR="00AD579B" w:rsidRPr="005815E2" w:rsidRDefault="00AD579B" w:rsidP="00AD579B">
      <w:pPr>
        <w:pStyle w:val="AParaLevel1"/>
      </w:pPr>
      <w:r w:rsidRPr="005815E2">
        <w:t>Audit evidence is necessary to support the auditor’s opinion and report.</w:t>
      </w:r>
      <w:r>
        <w:t xml:space="preserve">  </w:t>
      </w:r>
      <w:r w:rsidRPr="005815E2">
        <w:t>It is cumulative in nature and is primarily obtained from audit procedures performed during the course of the audit.</w:t>
      </w:r>
      <w:r>
        <w:t xml:space="preserve">  </w:t>
      </w:r>
      <w:r w:rsidRPr="005815E2">
        <w:t>It may, however, also include information obtained from other sources such as previous audits (provided the auditor has determined whether changes have occurred since the previous audit that may affect its relevance to the current audit)</w:t>
      </w:r>
      <w:r w:rsidRPr="00AD579B">
        <w:rPr>
          <w:rStyle w:val="FootnoteReference"/>
        </w:rPr>
        <w:footnoteReference w:id="6"/>
      </w:r>
      <w:r w:rsidRPr="005815E2">
        <w:t xml:space="preserve"> or a firm’s quality control procedures for client acceptance and continuance.</w:t>
      </w:r>
      <w:r>
        <w:t xml:space="preserve">  </w:t>
      </w:r>
      <w:r w:rsidRPr="005815E2">
        <w:t>In addition to other sources inside and outside the entity, the entity’s accounting records are an important source of audit evidence.</w:t>
      </w:r>
      <w:r>
        <w:t xml:space="preserve">  </w:t>
      </w:r>
      <w:r w:rsidRPr="005815E2">
        <w:t>Also, information that may be used as audit evidence may have been prepared using the work of a management’s expert.</w:t>
      </w:r>
      <w:r>
        <w:t xml:space="preserve">  </w:t>
      </w:r>
      <w:r w:rsidRPr="005815E2">
        <w:t>Audit evidence comprises both information that supports and corroborates management’s assertions, and any information that contradicts such assertions.</w:t>
      </w:r>
      <w:r>
        <w:t xml:space="preserve">  </w:t>
      </w:r>
      <w:r w:rsidRPr="005815E2">
        <w:t>In addition, in some cases the absence of information (for example, management’s refusal to provide a requested representation) is used by the auditor, and therefore, also constitutes audit evidence.</w:t>
      </w:r>
    </w:p>
    <w:p w:rsidR="00AD579B" w:rsidRPr="005815E2" w:rsidRDefault="00AD579B" w:rsidP="00AD579B">
      <w:pPr>
        <w:pStyle w:val="AParaLevel1"/>
      </w:pPr>
      <w:r w:rsidRPr="005815E2">
        <w:t>Most of the auditor’s work in forming the auditor’s opinion consists of obtaining and evaluating audit evidence.</w:t>
      </w:r>
      <w:r>
        <w:t xml:space="preserve">  </w:t>
      </w:r>
      <w:r w:rsidRPr="005815E2">
        <w:t>Audit procedures to obtain audit evidence can include inspection, observation, confirmation, re</w:t>
      </w:r>
      <w:r>
        <w:noBreakHyphen/>
      </w:r>
      <w:r w:rsidRPr="005815E2">
        <w:t>calculation, re</w:t>
      </w:r>
      <w:r>
        <w:noBreakHyphen/>
      </w:r>
      <w:r w:rsidRPr="005815E2">
        <w:t>performance and analytical procedures, often in some combination, in addition to enquiry.</w:t>
      </w:r>
      <w:r>
        <w:t xml:space="preserve">  </w:t>
      </w:r>
      <w:r w:rsidRPr="005815E2">
        <w:t>Although enquiry may provide important audit evidence, and may even produce evidence of a misstatement, enquiry alone ordinarily does not provide sufficient audit evidence of the absence of a material misstatement at the assertion level, nor of the operating effectiveness of controls.</w:t>
      </w:r>
      <w:r>
        <w:t xml:space="preserve">  </w:t>
      </w:r>
    </w:p>
    <w:p w:rsidR="00AD579B" w:rsidRPr="005815E2" w:rsidRDefault="00AD579B" w:rsidP="00AD579B">
      <w:pPr>
        <w:pStyle w:val="AParaLevel1"/>
      </w:pPr>
      <w:r w:rsidRPr="005815E2">
        <w:t>As explained in ASA</w:t>
      </w:r>
      <w:r>
        <w:t> </w:t>
      </w:r>
      <w:r w:rsidRPr="005815E2">
        <w:t>200,</w:t>
      </w:r>
      <w:r w:rsidRPr="00AD579B">
        <w:rPr>
          <w:rStyle w:val="FootnoteReference"/>
        </w:rPr>
        <w:footnoteReference w:id="7"/>
      </w:r>
      <w:r w:rsidRPr="005815E2">
        <w:t xml:space="preserve"> reasonable assurance is obtained when the auditor has obtained sufficient appropriate audit evidence to reduce audit risk (that is, the risk that the auditor expresses an inappropriate opinion when the financial report is materially misstated) to an acceptably low level.</w:t>
      </w:r>
      <w:r>
        <w:t xml:space="preserve">  </w:t>
      </w:r>
    </w:p>
    <w:p w:rsidR="00AD579B" w:rsidRPr="005815E2" w:rsidRDefault="00AD579B" w:rsidP="00AD579B">
      <w:pPr>
        <w:pStyle w:val="AParaLevel1"/>
      </w:pPr>
      <w:r w:rsidRPr="005815E2">
        <w:t>The sufficiency and appropriateness of audit evidence are interrelated.</w:t>
      </w:r>
      <w:r>
        <w:t xml:space="preserve">  </w:t>
      </w:r>
      <w:r w:rsidRPr="005815E2">
        <w:t>Sufficiency is the measure of the quantity of audit evidence.</w:t>
      </w:r>
      <w:r>
        <w:t xml:space="preserve">  </w:t>
      </w:r>
      <w:r w:rsidRPr="005815E2">
        <w:t>The quantity of audit evidence needed is affected by the auditor’s assessment of the risks of misstatement (the higher the assessed risks, the more audit evidence is likely to be required) and also by the quality of such audit evidence (the higher the quality, the less may be required).</w:t>
      </w:r>
      <w:r>
        <w:t xml:space="preserve">  </w:t>
      </w:r>
      <w:r w:rsidRPr="005815E2">
        <w:t>Obtaining more audit evidence, however, may not compensate for its poor quality.</w:t>
      </w:r>
    </w:p>
    <w:p w:rsidR="00AD579B" w:rsidRPr="005815E2" w:rsidRDefault="00AD579B" w:rsidP="00AD579B">
      <w:pPr>
        <w:pStyle w:val="AParaLevel1"/>
      </w:pPr>
      <w:r w:rsidRPr="005815E2">
        <w:t>Appropriateness is the measure of the quality of audit evidence; that is, its relevance and its reliability in providing support for the conclusions on which the auditor’s opinion is based.</w:t>
      </w:r>
      <w:r>
        <w:t xml:space="preserve">  </w:t>
      </w:r>
      <w:r w:rsidRPr="005815E2">
        <w:t>The reliability of evidence is influenced by its source and by its nature, and is dependent on the individual circumstances under which it is obtained.</w:t>
      </w:r>
    </w:p>
    <w:p w:rsidR="00AD579B" w:rsidRPr="005815E2" w:rsidRDefault="00AD579B" w:rsidP="00AD579B">
      <w:pPr>
        <w:pStyle w:val="AParaLevel1"/>
      </w:pPr>
      <w:r w:rsidRPr="005815E2">
        <w:t>ASA</w:t>
      </w:r>
      <w:r>
        <w:t> </w:t>
      </w:r>
      <w:r w:rsidRPr="005815E2">
        <w:t>330 requires the auditor to conclude whether sufficient appropriate audit evidence has been obtained.</w:t>
      </w:r>
      <w:r w:rsidRPr="00AD579B">
        <w:rPr>
          <w:rStyle w:val="FootnoteReference"/>
        </w:rPr>
        <w:footnoteReference w:id="8"/>
      </w:r>
      <w:r w:rsidRPr="005815E2">
        <w:t xml:space="preserve">  Whether sufficient appropriate audit evidence has been obtained to reduce audit risk to an acceptably low level, and thereby enable the auditor to draw reasonable conclusions on which to base the auditor’s opinion, is a matter of professional judgement.</w:t>
      </w:r>
      <w:r>
        <w:t xml:space="preserve">  </w:t>
      </w:r>
      <w:r w:rsidRPr="005815E2">
        <w:t>ASA</w:t>
      </w:r>
      <w:r>
        <w:t> </w:t>
      </w:r>
      <w:r w:rsidRPr="005815E2">
        <w:t>200 contains discussion of such matters as the nature of audit procedures, the timeliness of financial reporting, and the balance between benefit and cost, which are relevant factors when the auditor exercises professional judgement regarding whether sufficient appropriate audit evidence has been obtained.</w:t>
      </w:r>
      <w:r>
        <w:t xml:space="preserve">  </w:t>
      </w:r>
    </w:p>
    <w:p w:rsidR="00AD579B" w:rsidRPr="005815E2" w:rsidRDefault="00AD579B" w:rsidP="00AD579B">
      <w:pPr>
        <w:pStyle w:val="Heading7"/>
      </w:pPr>
      <w:r w:rsidRPr="00AD579B">
        <w:t>Sources</w:t>
      </w:r>
      <w:r w:rsidRPr="005815E2">
        <w:t xml:space="preserve"> </w:t>
      </w:r>
      <w:r w:rsidRPr="00AD579B">
        <w:t>of</w:t>
      </w:r>
      <w:r w:rsidRPr="005815E2">
        <w:t xml:space="preserve"> </w:t>
      </w:r>
      <w:r w:rsidRPr="00AD579B">
        <w:t>Audit</w:t>
      </w:r>
      <w:r w:rsidRPr="005815E2">
        <w:t xml:space="preserve"> </w:t>
      </w:r>
      <w:r w:rsidRPr="00AD579B">
        <w:t>Evidence</w:t>
      </w:r>
      <w:r w:rsidRPr="005815E2">
        <w:t xml:space="preserve"> </w:t>
      </w:r>
    </w:p>
    <w:p w:rsidR="00AD579B" w:rsidRPr="005815E2" w:rsidRDefault="00AD579B" w:rsidP="00AD579B">
      <w:pPr>
        <w:pStyle w:val="AParaLevel1"/>
      </w:pPr>
      <w:r w:rsidRPr="005815E2">
        <w:t>Some audit evidence is obtained by performing audit procedures to test the accounting records, for example, through analysis and review, reperforming procedures followed in the financial reporting process, and reconciling related types and applications of the same information.</w:t>
      </w:r>
      <w:r>
        <w:t xml:space="preserve">  </w:t>
      </w:r>
      <w:r w:rsidRPr="005815E2">
        <w:t>Through the performance of such audit procedures, the auditor may determine that the accounting records are internally consistent and agree to the financial report.</w:t>
      </w:r>
      <w:r>
        <w:t xml:space="preserve">  </w:t>
      </w:r>
    </w:p>
    <w:p w:rsidR="00AD579B" w:rsidRPr="005815E2" w:rsidRDefault="00AD579B" w:rsidP="00AD579B">
      <w:pPr>
        <w:pStyle w:val="AParaLevel1"/>
      </w:pPr>
      <w:r w:rsidRPr="005815E2">
        <w:t>More assurance is ordinarily obtained from consistent audit evidence obtained from different sources or of a different nature than from items of audit evidence considered individually.</w:t>
      </w:r>
      <w:r>
        <w:t xml:space="preserve">  </w:t>
      </w:r>
      <w:r w:rsidRPr="005815E2">
        <w:t>For example, corroborating information obtained from a source independent of the entity may increase the assurance the auditor obtains from audit evidence that is generated internally, such as evidence existing within the accounting records, minutes of meetings, or a management representation.</w:t>
      </w:r>
      <w:r>
        <w:t xml:space="preserve">  </w:t>
      </w:r>
    </w:p>
    <w:p w:rsidR="00AD579B" w:rsidRPr="005815E2" w:rsidRDefault="00AD579B" w:rsidP="00AD579B">
      <w:pPr>
        <w:pStyle w:val="AParaLevel1"/>
      </w:pPr>
      <w:r w:rsidRPr="005815E2">
        <w:t>Information from sources independent of the entity that the auditor may use as audit evidence may include confirmations from third parties, analysts’ reports, and comparable data about competitors (benchmarking data).</w:t>
      </w:r>
      <w:r>
        <w:t xml:space="preserve">  </w:t>
      </w:r>
    </w:p>
    <w:p w:rsidR="00AD579B" w:rsidRPr="005815E2" w:rsidRDefault="00AD579B" w:rsidP="00AD579B">
      <w:pPr>
        <w:pStyle w:val="Heading7"/>
      </w:pPr>
      <w:r w:rsidRPr="00AD579B">
        <w:t>Audit</w:t>
      </w:r>
      <w:r w:rsidRPr="005815E2">
        <w:t xml:space="preserve"> </w:t>
      </w:r>
      <w:r w:rsidRPr="00AD579B">
        <w:t>Procedures</w:t>
      </w:r>
      <w:r w:rsidRPr="005815E2">
        <w:t xml:space="preserve"> </w:t>
      </w:r>
      <w:r w:rsidRPr="00AD579B">
        <w:t>for</w:t>
      </w:r>
      <w:r w:rsidRPr="005815E2">
        <w:t xml:space="preserve"> </w:t>
      </w:r>
      <w:r w:rsidRPr="00AD579B">
        <w:t>Obtaining</w:t>
      </w:r>
      <w:r w:rsidRPr="005815E2">
        <w:t xml:space="preserve"> </w:t>
      </w:r>
      <w:r w:rsidRPr="00AD579B">
        <w:t>Audit</w:t>
      </w:r>
      <w:r w:rsidRPr="005815E2">
        <w:t xml:space="preserve"> </w:t>
      </w:r>
      <w:r w:rsidRPr="00AD579B">
        <w:t>Evidence</w:t>
      </w:r>
      <w:r w:rsidRPr="005815E2">
        <w:t xml:space="preserve"> </w:t>
      </w:r>
    </w:p>
    <w:p w:rsidR="00AD579B" w:rsidRPr="005815E2" w:rsidRDefault="00AD579B" w:rsidP="00AD579B">
      <w:pPr>
        <w:pStyle w:val="AParaLevel1"/>
      </w:pPr>
      <w:r w:rsidRPr="005815E2">
        <w:t>As required by, and explained further in, ASA</w:t>
      </w:r>
      <w:r>
        <w:t> </w:t>
      </w:r>
      <w:r w:rsidRPr="005815E2">
        <w:t>315 and ASA</w:t>
      </w:r>
      <w:r>
        <w:t> </w:t>
      </w:r>
      <w:r w:rsidRPr="005815E2">
        <w:t>330, audit evidence to draw reasonable conclusions on which to base the auditor’s opinion is obtained by performing:</w:t>
      </w:r>
    </w:p>
    <w:p w:rsidR="00AD579B" w:rsidRPr="005815E2" w:rsidRDefault="00AD579B" w:rsidP="00AD579B">
      <w:pPr>
        <w:pStyle w:val="AParaLevel2"/>
      </w:pPr>
      <w:r w:rsidRPr="005815E2">
        <w:t>Risk assessment procedures; and</w:t>
      </w:r>
    </w:p>
    <w:p w:rsidR="00AD579B" w:rsidRPr="005815E2" w:rsidRDefault="00AD579B" w:rsidP="00AD579B">
      <w:pPr>
        <w:pStyle w:val="AParaLevel2"/>
      </w:pPr>
      <w:r w:rsidRPr="005815E2">
        <w:t>Further audit procedures, which comprise:</w:t>
      </w:r>
    </w:p>
    <w:p w:rsidR="00AD579B" w:rsidRPr="005815E2" w:rsidRDefault="00AD579B" w:rsidP="00AD579B">
      <w:pPr>
        <w:pStyle w:val="AParaLevel3"/>
      </w:pPr>
      <w:r w:rsidRPr="005815E2">
        <w:t>Tests of controls, when required by the Australian Auditing Standards or when the auditor has chosen to do so; and</w:t>
      </w:r>
    </w:p>
    <w:p w:rsidR="00AD579B" w:rsidRPr="005815E2" w:rsidRDefault="00AD579B" w:rsidP="00AD579B">
      <w:pPr>
        <w:pStyle w:val="AParaLevel3"/>
      </w:pPr>
      <w:r w:rsidRPr="005815E2">
        <w:t>Substantive procedures, including tests of details and substantive analytical procedures.</w:t>
      </w:r>
    </w:p>
    <w:p w:rsidR="00AD579B" w:rsidRPr="005815E2" w:rsidRDefault="00AD579B" w:rsidP="00AD579B">
      <w:pPr>
        <w:pStyle w:val="AParaLevel1"/>
      </w:pPr>
      <w:r w:rsidRPr="005815E2">
        <w:t>The audit procedures de</w:t>
      </w:r>
      <w:r w:rsidR="000F6118">
        <w:t>scribed in paragraphs </w:t>
      </w:r>
      <w:r w:rsidRPr="005815E2">
        <w:t>A14</w:t>
      </w:r>
      <w:r>
        <w:noBreakHyphen/>
      </w:r>
      <w:r w:rsidRPr="005815E2">
        <w:t>A25 below may be used as risk assessment procedures, tests of controls or substantive procedures, depending on the context in which they are applied by the auditor.</w:t>
      </w:r>
      <w:r>
        <w:t xml:space="preserve">  </w:t>
      </w:r>
      <w:r w:rsidRPr="005815E2">
        <w:t>As explained in ASA</w:t>
      </w:r>
      <w:r>
        <w:t> </w:t>
      </w:r>
      <w:r w:rsidRPr="005815E2">
        <w:t>330, audit evidence obtained from previous audits may, in certain circumstances, provide appropriate audit evidence where the auditor performs audit procedures to establish its continuing relevance.</w:t>
      </w:r>
      <w:r w:rsidRPr="00AD579B">
        <w:rPr>
          <w:rStyle w:val="FootnoteReference"/>
        </w:rPr>
        <w:footnoteReference w:id="9"/>
      </w:r>
      <w:r w:rsidRPr="005815E2">
        <w:t xml:space="preserve"> </w:t>
      </w:r>
    </w:p>
    <w:p w:rsidR="00AD579B" w:rsidRPr="005815E2" w:rsidRDefault="00AD579B" w:rsidP="00AD579B">
      <w:pPr>
        <w:pStyle w:val="AParaLevel1"/>
      </w:pPr>
      <w:r w:rsidRPr="005815E2">
        <w:t>The nature and timing of the audit procedures to be used may be affected by the fact that some of the accounting data and other information may be available only in electronic form or only at certain points or periods in time.</w:t>
      </w:r>
      <w:r>
        <w:t xml:space="preserve">  </w:t>
      </w:r>
      <w:r w:rsidRPr="005815E2">
        <w:t>For example, source documents, such as purchase orders and invoices, may exist only in electronic form when an entity uses electronic commerce, or may be discarded after scanning when an entity uses image processing systems to facilitate storage and reference.</w:t>
      </w:r>
      <w:r>
        <w:t xml:space="preserve">  </w:t>
      </w:r>
    </w:p>
    <w:p w:rsidR="00AD579B" w:rsidRPr="005815E2" w:rsidRDefault="00AD579B" w:rsidP="00AD579B">
      <w:pPr>
        <w:pStyle w:val="AParaLevel1"/>
      </w:pPr>
      <w:r w:rsidRPr="005815E2">
        <w:t>Certain electronic information may not be retrievable after a specified period of time, for example, if files are changed and if backup files do not exist.</w:t>
      </w:r>
      <w:r>
        <w:t xml:space="preserve">  </w:t>
      </w:r>
      <w:r w:rsidRPr="005815E2">
        <w:t>Accordingly, the auditor may find it necessary as a result of an entity’s data retention policies to request retention of some information for the auditor’s review or to perform audit procedures at a time when the information is available.</w:t>
      </w:r>
    </w:p>
    <w:p w:rsidR="00AD579B" w:rsidRPr="005815E2" w:rsidRDefault="00AD579B" w:rsidP="00AD579B">
      <w:pPr>
        <w:pStyle w:val="Heading8"/>
      </w:pPr>
      <w:r w:rsidRPr="005815E2">
        <w:t>Inspection</w:t>
      </w:r>
    </w:p>
    <w:p w:rsidR="00AD579B" w:rsidRPr="005815E2" w:rsidRDefault="00AD579B" w:rsidP="00AD579B">
      <w:pPr>
        <w:pStyle w:val="AParaLevel1"/>
      </w:pPr>
      <w:r w:rsidRPr="005815E2">
        <w:t>Inspection involves examining records or documents, whether internal or external, in paper form, electronic form, or other media, or a physical examination of an asset.</w:t>
      </w:r>
      <w:r>
        <w:t xml:space="preserve">  </w:t>
      </w:r>
      <w:r w:rsidRPr="005815E2">
        <w:t>Inspection of records and documents provides audit evidence of varying degrees of reliability, depending on their nature and source and, in the case of internal records and documents, on the effectiveness of the controls over their production.</w:t>
      </w:r>
      <w:r>
        <w:t xml:space="preserve">  </w:t>
      </w:r>
      <w:r w:rsidRPr="005815E2">
        <w:t>An example of inspection used as a test of controls is inspection of records for evidence of authorisation.</w:t>
      </w:r>
      <w:r>
        <w:t xml:space="preserve">  </w:t>
      </w:r>
    </w:p>
    <w:p w:rsidR="00AD579B" w:rsidRPr="005815E2" w:rsidRDefault="00AD579B" w:rsidP="00AD579B">
      <w:pPr>
        <w:pStyle w:val="AParaLevel1"/>
      </w:pPr>
      <w:r w:rsidRPr="005815E2">
        <w:t>Some documents represent direct audit evidence of the existence of an asset, for example, a document constituting a financial instrument such as a share or bond.</w:t>
      </w:r>
      <w:r>
        <w:t xml:space="preserve">  </w:t>
      </w:r>
      <w:r w:rsidRPr="005815E2">
        <w:t>Inspection of such documents may not necessarily provide audit evidence about ownership or value.</w:t>
      </w:r>
      <w:r>
        <w:t xml:space="preserve">  </w:t>
      </w:r>
      <w:r w:rsidRPr="005815E2">
        <w:t>In addition, inspecting an executed contract may provide audit evidence relevant to the entity’s application of accounting policies, such as revenue recognition.</w:t>
      </w:r>
    </w:p>
    <w:p w:rsidR="00AD579B" w:rsidRPr="005815E2" w:rsidRDefault="00AD579B" w:rsidP="00AD579B">
      <w:pPr>
        <w:pStyle w:val="AParaLevel1"/>
      </w:pPr>
      <w:r w:rsidRPr="005815E2">
        <w:t>Inspection of tangible assets may provide reliable audit evidence with respect to their existence, but not necessarily about the entity’s rights and obligations or the valuation of the assets.</w:t>
      </w:r>
      <w:r>
        <w:t xml:space="preserve">  </w:t>
      </w:r>
      <w:r w:rsidRPr="005815E2">
        <w:t>Inspection of individual inventory items may accompany the observation of inventory counting.</w:t>
      </w:r>
    </w:p>
    <w:p w:rsidR="00AD579B" w:rsidRPr="005815E2" w:rsidRDefault="00AD579B" w:rsidP="00AD579B">
      <w:pPr>
        <w:pStyle w:val="Heading8"/>
      </w:pPr>
      <w:r w:rsidRPr="005815E2">
        <w:t>Observation</w:t>
      </w:r>
    </w:p>
    <w:p w:rsidR="00AD579B" w:rsidRPr="005815E2" w:rsidRDefault="00AD579B" w:rsidP="00AD579B">
      <w:pPr>
        <w:pStyle w:val="AParaLevel1"/>
      </w:pPr>
      <w:r w:rsidRPr="005815E2">
        <w:t>Observation consists of looking at a process or procedure being performed by others, for example, the auditor’s observation of inventory counting by the entity’s personnel, or of the performance of control activities.</w:t>
      </w:r>
      <w:r>
        <w:t xml:space="preserve">  </w:t>
      </w:r>
      <w:r w:rsidRPr="005815E2">
        <w:t>Observation provides audit evidence about the performance of a process or procedure, but is limited to the point in time at which the observation takes place, and by the fact that the act of being observed may affect how the process or procedure is performed.</w:t>
      </w:r>
      <w:r>
        <w:t xml:space="preserve">  </w:t>
      </w:r>
      <w:r w:rsidRPr="005815E2">
        <w:t>See ASA</w:t>
      </w:r>
      <w:r>
        <w:t> </w:t>
      </w:r>
      <w:r w:rsidRPr="005815E2">
        <w:t>501 for further guidance on observation of the counting of inventory.</w:t>
      </w:r>
      <w:r w:rsidRPr="00AD579B">
        <w:rPr>
          <w:rStyle w:val="FootnoteReference"/>
        </w:rPr>
        <w:footnoteReference w:id="10"/>
      </w:r>
    </w:p>
    <w:p w:rsidR="00AD579B" w:rsidRPr="005815E2" w:rsidRDefault="00AD579B" w:rsidP="00AD579B">
      <w:pPr>
        <w:pStyle w:val="Heading8"/>
      </w:pPr>
      <w:r w:rsidRPr="005815E2">
        <w:t>External Confirmation</w:t>
      </w:r>
    </w:p>
    <w:p w:rsidR="00AD579B" w:rsidRPr="005815E2" w:rsidRDefault="00AD579B" w:rsidP="00AD579B">
      <w:pPr>
        <w:pStyle w:val="AParaLevel1"/>
      </w:pPr>
      <w:r w:rsidRPr="005815E2">
        <w:t>An external confirmation represents audit evidence obtained by the auditor as a direct written response to the auditor from a third party (the confirming party), in paper form, or by electronic or other medium.</w:t>
      </w:r>
      <w:r>
        <w:t xml:space="preserve">  </w:t>
      </w:r>
      <w:r w:rsidRPr="005815E2">
        <w:t>External confirmation procedures frequently are relevant when addressing assertions associated with certain account balances and their elements.</w:t>
      </w:r>
      <w:r>
        <w:t xml:space="preserve">  </w:t>
      </w:r>
      <w:r w:rsidRPr="005815E2">
        <w:t>However, external confirmations need not be restricted to account balances only.</w:t>
      </w:r>
      <w:r>
        <w:t xml:space="preserve">  </w:t>
      </w:r>
      <w:r w:rsidRPr="005815E2">
        <w:t>For example, the auditor may request confirmation of the terms of agreements or transactions an entity has with third parties; the confirmation request may be designed to ask if any modifications have been made to the agreement and, if so, what the relevant details are.</w:t>
      </w:r>
      <w:r>
        <w:t xml:space="preserve">  </w:t>
      </w:r>
      <w:r w:rsidRPr="005815E2">
        <w:t>External confirmation procedures also are used to obtain audit evidence about the absence of certain conditions, for example, the absence of a “side agreement” that may influence revenue recognition.</w:t>
      </w:r>
      <w:r>
        <w:t xml:space="preserve">  </w:t>
      </w:r>
      <w:r w:rsidRPr="005815E2">
        <w:t>See ASA</w:t>
      </w:r>
      <w:r>
        <w:t> </w:t>
      </w:r>
      <w:r w:rsidRPr="005815E2">
        <w:t>505 for further guidance.</w:t>
      </w:r>
      <w:r w:rsidRPr="00AD579B">
        <w:rPr>
          <w:rStyle w:val="FootnoteReference"/>
        </w:rPr>
        <w:footnoteReference w:id="11"/>
      </w:r>
    </w:p>
    <w:p w:rsidR="00AD579B" w:rsidRPr="005815E2" w:rsidRDefault="00AD579B" w:rsidP="00AD579B">
      <w:pPr>
        <w:pStyle w:val="Heading8"/>
      </w:pPr>
      <w:r w:rsidRPr="005815E2">
        <w:t>Re</w:t>
      </w:r>
      <w:r>
        <w:noBreakHyphen/>
      </w:r>
      <w:r w:rsidRPr="005815E2">
        <w:t>calculation</w:t>
      </w:r>
    </w:p>
    <w:p w:rsidR="00AD579B" w:rsidRPr="005815E2" w:rsidRDefault="00AD579B" w:rsidP="00AD579B">
      <w:pPr>
        <w:pStyle w:val="AParaLevel1"/>
      </w:pPr>
      <w:r w:rsidRPr="005815E2">
        <w:t>Re</w:t>
      </w:r>
      <w:r>
        <w:noBreakHyphen/>
      </w:r>
      <w:r w:rsidRPr="005815E2">
        <w:t>calculation consists of checking the mathematical accuracy of documents or records.</w:t>
      </w:r>
      <w:r>
        <w:t xml:space="preserve">  </w:t>
      </w:r>
      <w:r w:rsidRPr="005815E2">
        <w:t>Re</w:t>
      </w:r>
      <w:r>
        <w:noBreakHyphen/>
      </w:r>
      <w:r w:rsidRPr="005815E2">
        <w:t>calculation may be performed manually or electronically.</w:t>
      </w:r>
      <w:r>
        <w:t xml:space="preserve">  </w:t>
      </w:r>
    </w:p>
    <w:p w:rsidR="00AD579B" w:rsidRPr="005815E2" w:rsidRDefault="00AD579B" w:rsidP="00AD579B">
      <w:pPr>
        <w:pStyle w:val="Heading8"/>
      </w:pPr>
      <w:r w:rsidRPr="005815E2">
        <w:t>Re</w:t>
      </w:r>
      <w:r>
        <w:noBreakHyphen/>
      </w:r>
      <w:r w:rsidRPr="005815E2">
        <w:t>performance</w:t>
      </w:r>
    </w:p>
    <w:p w:rsidR="00AD579B" w:rsidRPr="005815E2" w:rsidRDefault="00AD579B" w:rsidP="00AD579B">
      <w:pPr>
        <w:pStyle w:val="AParaLevel1"/>
      </w:pPr>
      <w:r w:rsidRPr="005815E2">
        <w:t>Re</w:t>
      </w:r>
      <w:r>
        <w:noBreakHyphen/>
      </w:r>
      <w:r w:rsidRPr="005815E2">
        <w:t>performance involves the auditor’s independent execution of procedures or controls that were originally performed as part of the entity’s internal control.</w:t>
      </w:r>
      <w:r>
        <w:t xml:space="preserve">  </w:t>
      </w:r>
    </w:p>
    <w:p w:rsidR="00AD579B" w:rsidRPr="005815E2" w:rsidRDefault="00AD579B" w:rsidP="00AD579B">
      <w:pPr>
        <w:pStyle w:val="Heading8"/>
      </w:pPr>
      <w:r w:rsidRPr="005815E2">
        <w:t>Analytical Procedures</w:t>
      </w:r>
    </w:p>
    <w:p w:rsidR="00AD579B" w:rsidRPr="005815E2" w:rsidRDefault="00AD579B" w:rsidP="00AD579B">
      <w:pPr>
        <w:pStyle w:val="AParaLevel1"/>
      </w:pPr>
      <w:r w:rsidRPr="005815E2">
        <w:t>Analytical procedures consist of evaluations of financial information through analysis of plausible relationships among both financial and non</w:t>
      </w:r>
      <w:r>
        <w:noBreakHyphen/>
      </w:r>
      <w:r w:rsidRPr="005815E2">
        <w:t>financial data.</w:t>
      </w:r>
      <w:r>
        <w:t xml:space="preserve">  </w:t>
      </w:r>
      <w:r w:rsidRPr="005815E2">
        <w:t>Analytical procedures also encompass such investigation as is necessary of identified fluctuations or relationships that are inconsistent with other relevant information or that differ from expected values by a significant amount.</w:t>
      </w:r>
      <w:r>
        <w:t xml:space="preserve">  </w:t>
      </w:r>
      <w:r w:rsidRPr="005815E2">
        <w:t>See ASA 520 for further guidance.</w:t>
      </w:r>
    </w:p>
    <w:p w:rsidR="00AD579B" w:rsidRPr="005815E2" w:rsidRDefault="00AD579B" w:rsidP="00AD579B">
      <w:pPr>
        <w:pStyle w:val="Heading8"/>
      </w:pPr>
      <w:r w:rsidRPr="005815E2">
        <w:t>Enquiry</w:t>
      </w:r>
    </w:p>
    <w:p w:rsidR="00AD579B" w:rsidRPr="005815E2" w:rsidRDefault="00AD579B" w:rsidP="00AD579B">
      <w:pPr>
        <w:pStyle w:val="AParaLevel1"/>
      </w:pPr>
      <w:r w:rsidRPr="005815E2">
        <w:t>Enquiry consists of seeking information of knowledgeable persons, both financial and non</w:t>
      </w:r>
      <w:r>
        <w:noBreakHyphen/>
      </w:r>
      <w:r w:rsidRPr="005815E2">
        <w:t>financial, within the entity or outside the entity.</w:t>
      </w:r>
      <w:r>
        <w:t xml:space="preserve">  </w:t>
      </w:r>
      <w:r w:rsidRPr="005815E2">
        <w:t>Enquiry is used extensively throughout the audit in addition to other audit procedures.</w:t>
      </w:r>
      <w:r>
        <w:t xml:space="preserve">  </w:t>
      </w:r>
      <w:r w:rsidRPr="005815E2">
        <w:t>Enquiries may range from formal written enquiries to informal oral enquiries.</w:t>
      </w:r>
      <w:r>
        <w:t xml:space="preserve">  </w:t>
      </w:r>
      <w:r w:rsidRPr="005815E2">
        <w:t>Evaluating responses to enquiries is an integral part of the enquiry process.</w:t>
      </w:r>
    </w:p>
    <w:p w:rsidR="00AD579B" w:rsidRPr="005815E2" w:rsidRDefault="00AD579B" w:rsidP="00AD579B">
      <w:pPr>
        <w:pStyle w:val="AParaLevel1"/>
      </w:pPr>
      <w:r w:rsidRPr="005815E2">
        <w:t>Responses to enquiries may provide the auditor with information not previously possessed or with corroborative audit evidence.</w:t>
      </w:r>
      <w:r>
        <w:t xml:space="preserve">  </w:t>
      </w:r>
      <w:r w:rsidRPr="005815E2">
        <w:t>Alternatively, responses might provide information that differs significantly from other information that the auditor has obtained, for example, information regarding the possibility of management override of controls.</w:t>
      </w:r>
      <w:r>
        <w:t xml:space="preserve">  </w:t>
      </w:r>
      <w:r w:rsidRPr="005815E2">
        <w:t>In some cases, responses to enquiries provide a basis for the auditor to modify or perform additional audit procedures.</w:t>
      </w:r>
    </w:p>
    <w:p w:rsidR="00AD579B" w:rsidRPr="005815E2" w:rsidRDefault="00AD579B" w:rsidP="00AD579B">
      <w:pPr>
        <w:pStyle w:val="AParaLevel1"/>
      </w:pPr>
      <w:r w:rsidRPr="005815E2">
        <w:t>Although corroboration of evidence obtained through enquiry is often of particular importance, in the case of enquiries about management intent, the information available to support management’s intent may be limited.</w:t>
      </w:r>
      <w:r>
        <w:t xml:space="preserve">  </w:t>
      </w:r>
      <w:r w:rsidRPr="005815E2">
        <w:t>In these cases, understanding management’s past history of carrying out its stated intentions, management’s stated reasons for choosing a particular course of action, and management’s ability to pursue a specific course of action may provide relevant information to corroborate the evidence obtained through enquiry.</w:t>
      </w:r>
      <w:r>
        <w:t xml:space="preserve">  </w:t>
      </w:r>
    </w:p>
    <w:p w:rsidR="00AD579B" w:rsidRPr="005815E2" w:rsidRDefault="00AD579B" w:rsidP="00AD579B">
      <w:pPr>
        <w:pStyle w:val="AParaLevel1"/>
      </w:pPr>
      <w:r w:rsidRPr="005815E2">
        <w:t>In respect of some matters, the auditor may consider it necessary to obtain written representations from management and, where appropriate, those charged with governance to confirm responses to oral enquiries.</w:t>
      </w:r>
      <w:r>
        <w:t xml:space="preserve">  </w:t>
      </w:r>
      <w:r w:rsidRPr="005815E2">
        <w:t>See ASA</w:t>
      </w:r>
      <w:r>
        <w:t> </w:t>
      </w:r>
      <w:r w:rsidRPr="005815E2">
        <w:t>580 for further guidance.</w:t>
      </w:r>
      <w:r w:rsidRPr="00AD579B">
        <w:rPr>
          <w:rStyle w:val="FootnoteReference"/>
        </w:rPr>
        <w:footnoteReference w:id="12"/>
      </w:r>
      <w:r w:rsidRPr="005815E2">
        <w:t xml:space="preserve"> </w:t>
      </w:r>
    </w:p>
    <w:p w:rsidR="00AD579B" w:rsidRPr="005815E2" w:rsidRDefault="00AD579B" w:rsidP="00AD579B">
      <w:pPr>
        <w:pStyle w:val="Heading6"/>
      </w:pPr>
      <w:r w:rsidRPr="00AD579B">
        <w:t>Information</w:t>
      </w:r>
      <w:r w:rsidRPr="005815E2">
        <w:t xml:space="preserve"> </w:t>
      </w:r>
      <w:r w:rsidRPr="00AD579B">
        <w:t>to</w:t>
      </w:r>
      <w:r w:rsidRPr="005815E2">
        <w:t xml:space="preserve"> </w:t>
      </w:r>
      <w:r w:rsidRPr="00AD579B">
        <w:t>Be</w:t>
      </w:r>
      <w:r w:rsidRPr="005815E2">
        <w:t xml:space="preserve"> </w:t>
      </w:r>
      <w:r w:rsidRPr="00AD579B">
        <w:t>Used</w:t>
      </w:r>
      <w:r w:rsidRPr="005815E2">
        <w:t xml:space="preserve"> </w:t>
      </w:r>
      <w:r w:rsidRPr="00AD579B">
        <w:t>as</w:t>
      </w:r>
      <w:r w:rsidRPr="005815E2">
        <w:t xml:space="preserve"> </w:t>
      </w:r>
      <w:r w:rsidRPr="00AD579B">
        <w:t>Audit</w:t>
      </w:r>
      <w:r w:rsidRPr="005815E2">
        <w:t xml:space="preserve"> </w:t>
      </w:r>
      <w:r w:rsidRPr="00AD579B">
        <w:t>Evidence</w:t>
      </w:r>
    </w:p>
    <w:p w:rsidR="00AD579B" w:rsidRPr="005815E2" w:rsidRDefault="00AD579B" w:rsidP="00AD579B">
      <w:pPr>
        <w:pStyle w:val="Heading7"/>
      </w:pPr>
      <w:r w:rsidRPr="00AD579B">
        <w:t>Relevance</w:t>
      </w:r>
      <w:r w:rsidRPr="005815E2">
        <w:t xml:space="preserve"> </w:t>
      </w:r>
      <w:r w:rsidRPr="00AD579B">
        <w:t>and</w:t>
      </w:r>
      <w:r w:rsidRPr="005815E2">
        <w:t xml:space="preserve"> </w:t>
      </w:r>
      <w:r w:rsidRPr="00AD579B">
        <w:t>Reliability</w:t>
      </w:r>
      <w:r w:rsidRPr="005815E2">
        <w:t xml:space="preserve"> </w:t>
      </w:r>
      <w:r w:rsidRPr="00AD579B">
        <w:rPr>
          <w:rStyle w:val="RefParas"/>
          <w:i w:val="0"/>
        </w:rPr>
        <w:t>(Ref: Para. 7)</w:t>
      </w:r>
    </w:p>
    <w:p w:rsidR="00AD579B" w:rsidRPr="005815E2" w:rsidRDefault="00AD579B" w:rsidP="00AD579B">
      <w:pPr>
        <w:pStyle w:val="AParaLevel1"/>
      </w:pPr>
      <w:r w:rsidRPr="005815E2">
        <w:t>As noted in paragraph</w:t>
      </w:r>
      <w:r>
        <w:t> </w:t>
      </w:r>
      <w:r w:rsidRPr="005815E2">
        <w:t>A1, while audit evidence is primarily obtained from audit procedures performed during the course of the audit, it may also include information obtained from other sources such as, for example, previous audits, in certain circumstances, and a firm’s quality control procedures for client acceptance and continuance.</w:t>
      </w:r>
      <w:r>
        <w:t xml:space="preserve">  </w:t>
      </w:r>
      <w:r w:rsidRPr="005815E2">
        <w:t>The quality of all audit evidence is affected by the relevance and reliability of the information upon which it is based.</w:t>
      </w:r>
      <w:r>
        <w:t xml:space="preserve">  </w:t>
      </w:r>
    </w:p>
    <w:p w:rsidR="00AD579B" w:rsidRPr="005815E2" w:rsidRDefault="00AD579B" w:rsidP="00AD579B">
      <w:pPr>
        <w:pStyle w:val="Heading8"/>
      </w:pPr>
      <w:r w:rsidRPr="005815E2">
        <w:t>Relevance</w:t>
      </w:r>
    </w:p>
    <w:p w:rsidR="00AD579B" w:rsidRPr="005815E2" w:rsidRDefault="00AD579B" w:rsidP="00AD579B">
      <w:pPr>
        <w:pStyle w:val="AParaLevel1"/>
      </w:pPr>
      <w:r w:rsidRPr="005815E2">
        <w:t>Relevance deals with the logical connection with, or bearing upon, the purpose of the audit procedure and, where appropriate, the assertion under consideration.</w:t>
      </w:r>
      <w:r>
        <w:t xml:space="preserve">  </w:t>
      </w:r>
      <w:r w:rsidRPr="005815E2">
        <w:t>The relevance of information to be used as audit evidence may be affected by the direction of testing.</w:t>
      </w:r>
      <w:r>
        <w:t xml:space="preserve">  </w:t>
      </w:r>
      <w:r w:rsidRPr="005815E2">
        <w:t>For example, if the purpose of an audit procedure is to test for overstatement in the existence or valuation of accounts payable, testing the recorded accounts payable may be a relevant audit procedure.</w:t>
      </w:r>
      <w:r>
        <w:t xml:space="preserve">  </w:t>
      </w:r>
      <w:r w:rsidRPr="005815E2">
        <w:t>On the other hand, when testing for understatement in the existence or valuation of accounts payable, testing the recorded accounts payable would not be relevant, but testing such information as subsequent disbursements, unpaid invoices, suppliers’ statements, and unmatched receiving reports may be relevant.</w:t>
      </w:r>
    </w:p>
    <w:p w:rsidR="00AD579B" w:rsidRPr="005815E2" w:rsidRDefault="00AD579B" w:rsidP="00AD579B">
      <w:pPr>
        <w:pStyle w:val="AParaLevel1"/>
      </w:pPr>
      <w:r w:rsidRPr="005815E2">
        <w:t>A given set of audit procedures may provide audit evidence that is relevant to certain assertions, but not others.</w:t>
      </w:r>
      <w:r>
        <w:t xml:space="preserve">  </w:t>
      </w:r>
      <w:r w:rsidRPr="005815E2">
        <w:t>For example, inspection of documents related to the collection of receivables after the period end may provide audit evidence regarding existence and valuation, but not necessarily cut</w:t>
      </w:r>
      <w:r>
        <w:noBreakHyphen/>
      </w:r>
      <w:r w:rsidRPr="005815E2">
        <w:t>off.</w:t>
      </w:r>
      <w:r>
        <w:t xml:space="preserve">  </w:t>
      </w:r>
      <w:r w:rsidRPr="005815E2">
        <w:t>Similarly, obtaining audit evidence regarding a particular assertion, for example, the existence of inventory, is not a substitute for obtaining audit evidence regarding another assertion, for example, the valuation of that inventory.</w:t>
      </w:r>
      <w:r>
        <w:t xml:space="preserve">  </w:t>
      </w:r>
      <w:r w:rsidRPr="005815E2">
        <w:t>On the other hand, audit evidence from different sources or of a different nature may often be relevant to the same assertion.</w:t>
      </w:r>
      <w:r>
        <w:t xml:space="preserve">  </w:t>
      </w:r>
    </w:p>
    <w:p w:rsidR="00AD579B" w:rsidRPr="005815E2" w:rsidRDefault="00AD579B" w:rsidP="00AD579B">
      <w:pPr>
        <w:pStyle w:val="AParaLevel1"/>
      </w:pPr>
      <w:r w:rsidRPr="005815E2">
        <w:t>Tests of controls are designed to evaluate the operating effectiveness of controls in preventing, or detecting and correcting, material misstatements at the assertion level.</w:t>
      </w:r>
      <w:r>
        <w:t xml:space="preserve">  </w:t>
      </w:r>
      <w:r w:rsidRPr="005815E2">
        <w:t>Designing tests of controls to obtain relevant audit evidence includes identifying conditions (characteristics or attributes) that indicate performance of a control, and deviation conditions which indicate departures from adequate performance.</w:t>
      </w:r>
      <w:r>
        <w:t xml:space="preserve">  </w:t>
      </w:r>
      <w:r w:rsidRPr="005815E2">
        <w:t>The presence or absence of those conditions can then be tested by the auditor.</w:t>
      </w:r>
      <w:r>
        <w:t xml:space="preserve">  </w:t>
      </w:r>
    </w:p>
    <w:p w:rsidR="00AD579B" w:rsidRPr="005815E2" w:rsidRDefault="00AD579B" w:rsidP="00AD579B">
      <w:pPr>
        <w:pStyle w:val="AParaLevel1"/>
      </w:pPr>
      <w:r w:rsidRPr="005815E2">
        <w:t>Substantive procedures are designed to detect material misstatements at the assertion level.</w:t>
      </w:r>
      <w:r>
        <w:t xml:space="preserve">  </w:t>
      </w:r>
      <w:r w:rsidRPr="005815E2">
        <w:t>They comprise tests of details and substantive analytical procedures.</w:t>
      </w:r>
      <w:r>
        <w:t xml:space="preserve">  </w:t>
      </w:r>
      <w:r w:rsidRPr="005815E2">
        <w:t>Designing substantive procedures includes identifying conditions relevant to the purpose of the test that constitute a misstatement in the relevant assertion.</w:t>
      </w:r>
    </w:p>
    <w:p w:rsidR="00AD579B" w:rsidRPr="005815E2" w:rsidRDefault="00AD579B" w:rsidP="00AD579B">
      <w:pPr>
        <w:pStyle w:val="Heading8"/>
      </w:pPr>
      <w:r w:rsidRPr="005815E2">
        <w:t>Reliability</w:t>
      </w:r>
    </w:p>
    <w:p w:rsidR="00AD579B" w:rsidRPr="005815E2" w:rsidRDefault="00AD579B" w:rsidP="00AD579B">
      <w:pPr>
        <w:pStyle w:val="AParaLevel1"/>
      </w:pPr>
      <w:r w:rsidRPr="005815E2">
        <w:t>The reliability of information to be used as audit evidence, and therefore of the audit evidence itself, is influenced by its source and its nature, and the circumstances under which it is obtained, including the controls over its preparation and maintenance where relevant.</w:t>
      </w:r>
      <w:r>
        <w:t xml:space="preserve">  </w:t>
      </w:r>
      <w:r w:rsidRPr="005815E2">
        <w:t>Therefore, generalisations about the reliability of various kinds of audit evidence are subject to important exceptions.</w:t>
      </w:r>
      <w:r>
        <w:t xml:space="preserve">  </w:t>
      </w:r>
      <w:r w:rsidRPr="005815E2">
        <w:t>Even when information to be used as audit evidence is obtained from sources external to the entity, circumstances may exist that could affect its reliability.</w:t>
      </w:r>
      <w:r>
        <w:t xml:space="preserve">  </w:t>
      </w:r>
      <w:r w:rsidRPr="005815E2">
        <w:t>For example, information obtained from an independent external source may not be reliable if the source is not knowledgeable, or a management’s expert may lack objectivity.</w:t>
      </w:r>
      <w:r>
        <w:t xml:space="preserve">  </w:t>
      </w:r>
      <w:r w:rsidRPr="005815E2">
        <w:t>While recognising that exceptions may exist, the following generalisations about the reliability of audit evidence may be useful:</w:t>
      </w:r>
    </w:p>
    <w:p w:rsidR="00AD579B" w:rsidRPr="005815E2" w:rsidRDefault="00AD579B" w:rsidP="00AD579B">
      <w:pPr>
        <w:pStyle w:val="ListBullet"/>
      </w:pPr>
      <w:r w:rsidRPr="005815E2">
        <w:t>The reliability of audit evidence is increased when it is obtained from independent sources outside the entity.</w:t>
      </w:r>
    </w:p>
    <w:p w:rsidR="00AD579B" w:rsidRPr="005815E2" w:rsidRDefault="00AD579B" w:rsidP="00AD579B">
      <w:pPr>
        <w:pStyle w:val="ListBullet"/>
      </w:pPr>
      <w:r w:rsidRPr="005815E2">
        <w:t>The reliability of audit evidence that is generated internally is increased when the related controls, including those over its preparation and maintenance, imposed by the entity are effective.</w:t>
      </w:r>
    </w:p>
    <w:p w:rsidR="00AD579B" w:rsidRPr="005815E2" w:rsidRDefault="00AD579B" w:rsidP="00AD579B">
      <w:pPr>
        <w:pStyle w:val="ListBullet"/>
      </w:pPr>
      <w:r w:rsidRPr="005815E2">
        <w:t>Audit evidence obtained directly by the auditor (for example, observation of the application of a control) is more reliable than audit evidence obtained indirectly or by inference (for example, enquiry about the application of a control).</w:t>
      </w:r>
    </w:p>
    <w:p w:rsidR="00AD579B" w:rsidRPr="005815E2" w:rsidRDefault="00AD579B" w:rsidP="00AD579B">
      <w:pPr>
        <w:pStyle w:val="ListBullet"/>
      </w:pPr>
      <w:r w:rsidRPr="005815E2">
        <w:t>Audit evidence in documentary form, whether paper, electronic, or other medium, is more reliable than evidence obtained orally (for example, a contemporaneously written record of a meeting is more reliable than a subsequent oral representation of the matters discussed).</w:t>
      </w:r>
    </w:p>
    <w:p w:rsidR="00AD579B" w:rsidRPr="005815E2" w:rsidRDefault="00AD579B" w:rsidP="00AD579B">
      <w:pPr>
        <w:pStyle w:val="ListBullet"/>
      </w:pPr>
      <w:r w:rsidRPr="005815E2">
        <w:t>Audit evidence provided by original documents is more reliable than audit evidence provided by photocopies or facsimiles, or documents that have been filmed, digitised or otherwise transformed into electronic form, the reliability of which may depend on the controls over their preparation and maintenance.</w:t>
      </w:r>
    </w:p>
    <w:p w:rsidR="00AD579B" w:rsidRPr="005815E2" w:rsidRDefault="00AD579B" w:rsidP="00AD579B">
      <w:pPr>
        <w:pStyle w:val="AParaLevel1"/>
      </w:pPr>
      <w:r w:rsidRPr="005815E2">
        <w:t>ASA</w:t>
      </w:r>
      <w:r>
        <w:t> </w:t>
      </w:r>
      <w:r w:rsidRPr="005815E2">
        <w:t>520 provides further guidance regarding the reliability of data used for purposes of designing analytical procedures as substantive procedures.</w:t>
      </w:r>
      <w:r w:rsidRPr="00AD579B">
        <w:rPr>
          <w:rStyle w:val="FootnoteReference"/>
        </w:rPr>
        <w:footnoteReference w:id="13"/>
      </w:r>
    </w:p>
    <w:p w:rsidR="00AD579B" w:rsidRPr="005815E2" w:rsidRDefault="00AD579B" w:rsidP="00AD579B">
      <w:pPr>
        <w:pStyle w:val="AParaLevel1"/>
      </w:pPr>
      <w:r w:rsidRPr="005815E2">
        <w:t>ASA</w:t>
      </w:r>
      <w:r>
        <w:t> </w:t>
      </w:r>
      <w:r w:rsidRPr="005815E2">
        <w:t>240 deals with circumstances where the auditor has reason to believe that a document may not be authentic, or may have been modified without that modification having been disclosed to the auditor.</w:t>
      </w:r>
      <w:r w:rsidRPr="00AD579B">
        <w:rPr>
          <w:rStyle w:val="FootnoteReference"/>
        </w:rPr>
        <w:footnoteReference w:id="14"/>
      </w:r>
    </w:p>
    <w:p w:rsidR="00AD579B" w:rsidRPr="005815E2" w:rsidRDefault="00AD579B" w:rsidP="00AD579B">
      <w:pPr>
        <w:pStyle w:val="Heading7"/>
      </w:pPr>
      <w:r w:rsidRPr="00AD579B">
        <w:t>Reliability</w:t>
      </w:r>
      <w:r w:rsidRPr="005815E2">
        <w:t xml:space="preserve"> </w:t>
      </w:r>
      <w:r w:rsidRPr="00AD579B">
        <w:t>of</w:t>
      </w:r>
      <w:r w:rsidRPr="005815E2">
        <w:t xml:space="preserve"> </w:t>
      </w:r>
      <w:r w:rsidRPr="00AD579B">
        <w:t>Information</w:t>
      </w:r>
      <w:r w:rsidRPr="005815E2">
        <w:t xml:space="preserve"> </w:t>
      </w:r>
      <w:r w:rsidRPr="00AD579B">
        <w:t>Produced</w:t>
      </w:r>
      <w:r w:rsidRPr="005815E2">
        <w:t xml:space="preserve"> </w:t>
      </w:r>
      <w:r w:rsidRPr="00AD579B">
        <w:t>by</w:t>
      </w:r>
      <w:r w:rsidRPr="005815E2">
        <w:t xml:space="preserve"> </w:t>
      </w:r>
      <w:r w:rsidRPr="00AD579B">
        <w:t>a</w:t>
      </w:r>
      <w:r w:rsidRPr="005815E2">
        <w:t xml:space="preserve"> </w:t>
      </w:r>
      <w:r w:rsidRPr="00AD579B">
        <w:t>Management’s</w:t>
      </w:r>
      <w:r w:rsidRPr="005815E2">
        <w:t xml:space="preserve"> </w:t>
      </w:r>
      <w:r w:rsidRPr="00AD579B">
        <w:t>Expert</w:t>
      </w:r>
      <w:r w:rsidRPr="005815E2">
        <w:t xml:space="preserve"> </w:t>
      </w:r>
      <w:r w:rsidRPr="00AD579B">
        <w:rPr>
          <w:rStyle w:val="RefParas"/>
          <w:i w:val="0"/>
        </w:rPr>
        <w:t>(Ref: Para. 8)</w:t>
      </w:r>
    </w:p>
    <w:p w:rsidR="00AD579B" w:rsidRPr="005815E2" w:rsidRDefault="00AD579B" w:rsidP="00AD579B">
      <w:pPr>
        <w:pStyle w:val="AParaLevel1"/>
      </w:pPr>
      <w:r w:rsidRPr="005815E2">
        <w:t>The preparation of an entity’s financial report may require expertise in a field other than accounting or auditing, such as actuarial calculations, valuations, or engineering data.</w:t>
      </w:r>
      <w:r>
        <w:t xml:space="preserve">  </w:t>
      </w:r>
      <w:r w:rsidRPr="005815E2">
        <w:t>The entity may employ or engage experts in these fields to obtain the needed expertise to prepare the financial report.</w:t>
      </w:r>
      <w:r>
        <w:t xml:space="preserve">  </w:t>
      </w:r>
      <w:r w:rsidRPr="005815E2">
        <w:t>Failure to do so when such expertise is necessary increases the risks of material misstatement.</w:t>
      </w:r>
      <w:r>
        <w:t xml:space="preserve">  </w:t>
      </w:r>
    </w:p>
    <w:p w:rsidR="00AD579B" w:rsidRPr="005815E2" w:rsidRDefault="00AD579B" w:rsidP="00AD579B">
      <w:pPr>
        <w:pStyle w:val="AParaLevel1"/>
      </w:pPr>
      <w:r w:rsidRPr="005815E2">
        <w:t>When information to be used as audit evidence has been prepared using the work of a management’s expert, the requirement in paragraph</w:t>
      </w:r>
      <w:r>
        <w:t> </w:t>
      </w:r>
      <w:r w:rsidRPr="005815E2">
        <w:t>8 of this Auditing Standard applies.</w:t>
      </w:r>
      <w:r>
        <w:t xml:space="preserve">  </w:t>
      </w:r>
      <w:r w:rsidRPr="005815E2">
        <w:t>For example, an individual or organisation may possess expertise in the application of models to estimate the fair value of securities for which there is no observable market.</w:t>
      </w:r>
      <w:r>
        <w:t xml:space="preserve">  </w:t>
      </w:r>
      <w:r w:rsidRPr="005815E2">
        <w:t>If the individual or organisation applies that expertise in making an estimate which the entity uses in preparing its financial report, the individual or organisation is a management’s expert and paragraph</w:t>
      </w:r>
      <w:r>
        <w:t> </w:t>
      </w:r>
      <w:r w:rsidRPr="005815E2">
        <w:t>8 applies.</w:t>
      </w:r>
      <w:r>
        <w:t xml:space="preserve">  </w:t>
      </w:r>
      <w:r w:rsidRPr="005815E2">
        <w:t>If, on the other hand, that individual or organisation merely provides price data regarding private transactions not otherwise available to the entity which the entity uses in its own estimation methods, such information, if used as audit evidence, is subject to paragraph</w:t>
      </w:r>
      <w:r>
        <w:t> </w:t>
      </w:r>
      <w:r w:rsidRPr="005815E2">
        <w:t>7 of this Auditing Standard, but is not the use of a management’s expert by the entity.</w:t>
      </w:r>
    </w:p>
    <w:p w:rsidR="00AD579B" w:rsidRPr="005815E2" w:rsidRDefault="00AD579B" w:rsidP="00AD579B">
      <w:pPr>
        <w:pStyle w:val="AParaLevel1"/>
      </w:pPr>
      <w:r w:rsidRPr="005815E2">
        <w:t>The nature, timing and extent of audit procedures in relation to the requirement in paragraph</w:t>
      </w:r>
      <w:r>
        <w:t> </w:t>
      </w:r>
      <w:r w:rsidRPr="005815E2">
        <w:t>8 of this Auditing Standard, may be affected by such matters as:</w:t>
      </w:r>
    </w:p>
    <w:p w:rsidR="00AD579B" w:rsidRPr="005815E2" w:rsidRDefault="00AD579B" w:rsidP="00AD579B">
      <w:pPr>
        <w:pStyle w:val="ListBullet"/>
      </w:pPr>
      <w:r w:rsidRPr="005815E2">
        <w:t>The nature and complexity of the matter to which the management’s expert relates.</w:t>
      </w:r>
    </w:p>
    <w:p w:rsidR="00AD579B" w:rsidRPr="005815E2" w:rsidRDefault="00AD579B" w:rsidP="00AD579B">
      <w:pPr>
        <w:pStyle w:val="ListBullet"/>
      </w:pPr>
      <w:r w:rsidRPr="005815E2">
        <w:t>The risks of material misstatement in the matter.</w:t>
      </w:r>
    </w:p>
    <w:p w:rsidR="00AD579B" w:rsidRPr="005815E2" w:rsidRDefault="00AD579B" w:rsidP="00AD579B">
      <w:pPr>
        <w:pStyle w:val="ListBullet"/>
      </w:pPr>
      <w:r w:rsidRPr="005815E2">
        <w:t>The availability of alternative sources of audit evidence.</w:t>
      </w:r>
    </w:p>
    <w:p w:rsidR="00AD579B" w:rsidRPr="005815E2" w:rsidRDefault="00AD579B" w:rsidP="00AD579B">
      <w:pPr>
        <w:pStyle w:val="ListBullet"/>
      </w:pPr>
      <w:r w:rsidRPr="005815E2">
        <w:t>The nature, scope and objectives of the management’s expert’s work.</w:t>
      </w:r>
      <w:r>
        <w:t xml:space="preserve">  </w:t>
      </w:r>
    </w:p>
    <w:p w:rsidR="00AD579B" w:rsidRPr="005815E2" w:rsidRDefault="00AD579B" w:rsidP="00AD579B">
      <w:pPr>
        <w:pStyle w:val="ListBullet"/>
      </w:pPr>
      <w:r w:rsidRPr="005815E2">
        <w:t>Whether the management’s expert is employed by the entity, or is a party engaged by it to provide relevant services.</w:t>
      </w:r>
    </w:p>
    <w:p w:rsidR="00AD579B" w:rsidRPr="005815E2" w:rsidRDefault="00AD579B" w:rsidP="00AD579B">
      <w:pPr>
        <w:pStyle w:val="ListBullet"/>
      </w:pPr>
      <w:r w:rsidRPr="005815E2">
        <w:t>The extent to which management can exercise control or influence over the work of the management’s expert.</w:t>
      </w:r>
    </w:p>
    <w:p w:rsidR="00AD579B" w:rsidRPr="005815E2" w:rsidRDefault="00AD579B" w:rsidP="00AD579B">
      <w:pPr>
        <w:pStyle w:val="ListBullet"/>
      </w:pPr>
      <w:r w:rsidRPr="005815E2">
        <w:t>Whether the management’s expert is subject to technical performance standards or other professional or industry requirements.</w:t>
      </w:r>
    </w:p>
    <w:p w:rsidR="00AD579B" w:rsidRPr="005815E2" w:rsidRDefault="00AD579B" w:rsidP="00AD579B">
      <w:pPr>
        <w:pStyle w:val="ListBullet"/>
      </w:pPr>
      <w:r w:rsidRPr="005815E2">
        <w:t>The nature and extent of any controls within the entity over the management’s expert’s work.</w:t>
      </w:r>
    </w:p>
    <w:p w:rsidR="00AD579B" w:rsidRPr="005815E2" w:rsidRDefault="00AD579B" w:rsidP="00AD579B">
      <w:pPr>
        <w:pStyle w:val="ListBullet"/>
      </w:pPr>
      <w:r w:rsidRPr="005815E2">
        <w:t>The auditor’s knowledge and experience of the management’s expert’s field of expertise.</w:t>
      </w:r>
    </w:p>
    <w:p w:rsidR="00AD579B" w:rsidRPr="005815E2" w:rsidRDefault="00AD579B" w:rsidP="00AD579B">
      <w:pPr>
        <w:pStyle w:val="ListBullet"/>
      </w:pPr>
      <w:r w:rsidRPr="005815E2">
        <w:t>The auditor’s previous experience of the work of that expert.</w:t>
      </w:r>
    </w:p>
    <w:p w:rsidR="00AD579B" w:rsidRPr="005815E2" w:rsidRDefault="00AD579B" w:rsidP="00AD579B">
      <w:pPr>
        <w:pStyle w:val="Heading8"/>
      </w:pPr>
      <w:r w:rsidRPr="005815E2">
        <w:t xml:space="preserve">The Competence, Capabilities and Objectivity of a Management’s Expert </w:t>
      </w:r>
      <w:r w:rsidRPr="00AD579B">
        <w:rPr>
          <w:rStyle w:val="RefParas"/>
        </w:rPr>
        <w:t>(Ref: Para. 8(a))</w:t>
      </w:r>
    </w:p>
    <w:p w:rsidR="00AD579B" w:rsidRPr="005815E2" w:rsidRDefault="00AD579B" w:rsidP="00AD579B">
      <w:pPr>
        <w:pStyle w:val="AParaLevel1"/>
      </w:pPr>
      <w:r w:rsidRPr="005815E2">
        <w:t>Competence relates to the nature and level of expertise of the management’s expert.</w:t>
      </w:r>
      <w:r>
        <w:t xml:space="preserve">  </w:t>
      </w:r>
      <w:r w:rsidRPr="005815E2">
        <w:t>Capability relates to the ability of the management’s expert to exercise that competence in the circumstances.</w:t>
      </w:r>
      <w:r>
        <w:t xml:space="preserve">  </w:t>
      </w:r>
      <w:r w:rsidRPr="005815E2">
        <w:t>Factors that influence capability may include, for example, geographic location, and the availability of time and resources.</w:t>
      </w:r>
      <w:r>
        <w:t xml:space="preserve">  </w:t>
      </w:r>
      <w:r w:rsidRPr="005815E2">
        <w:t>Objectivity relates to the possible effects that bias, conflict of interest or the influence of others may have on the professional or business judgement of the management’s expert.</w:t>
      </w:r>
      <w:r>
        <w:t xml:space="preserve">  </w:t>
      </w:r>
      <w:r w:rsidRPr="005815E2">
        <w:t>The competence, capabilities and objectivity of a management’s expert, and any controls within the entity over that expert’s work, are important factors in relation to the reliability of any information produced by a management’s expert.</w:t>
      </w:r>
      <w:r>
        <w:t xml:space="preserve">  </w:t>
      </w:r>
    </w:p>
    <w:p w:rsidR="00AD579B" w:rsidRPr="005815E2" w:rsidRDefault="00AD579B" w:rsidP="00AD579B">
      <w:pPr>
        <w:pStyle w:val="AParaLevel1"/>
      </w:pPr>
      <w:r w:rsidRPr="005815E2">
        <w:t xml:space="preserve">Information regarding the competence, capabilities and objectivity of a management’s expert may come from a variety of sources, such as: </w:t>
      </w:r>
    </w:p>
    <w:p w:rsidR="00AD579B" w:rsidRPr="005815E2" w:rsidRDefault="00AD579B" w:rsidP="00AD579B">
      <w:pPr>
        <w:pStyle w:val="ListBullet"/>
      </w:pPr>
      <w:r w:rsidRPr="005815E2">
        <w:t>Personal experience with previous work of that expert.</w:t>
      </w:r>
    </w:p>
    <w:p w:rsidR="00AD579B" w:rsidRPr="005815E2" w:rsidRDefault="00AD579B" w:rsidP="00AD579B">
      <w:pPr>
        <w:pStyle w:val="ListBullet"/>
      </w:pPr>
      <w:r w:rsidRPr="005815E2">
        <w:t>Discussions with that expert.</w:t>
      </w:r>
    </w:p>
    <w:p w:rsidR="00AD579B" w:rsidRPr="005815E2" w:rsidRDefault="00AD579B" w:rsidP="00AD579B">
      <w:pPr>
        <w:pStyle w:val="ListBullet"/>
      </w:pPr>
      <w:r w:rsidRPr="005815E2">
        <w:t>Discussions with others who are familiar with that expert’s work.</w:t>
      </w:r>
    </w:p>
    <w:p w:rsidR="00AD579B" w:rsidRPr="005815E2" w:rsidRDefault="00AD579B" w:rsidP="00AD579B">
      <w:pPr>
        <w:pStyle w:val="ListBullet"/>
      </w:pPr>
      <w:r w:rsidRPr="005815E2">
        <w:t>Knowledge of that expert’s qualifications, membership of a professional body or industry association, license to practice, or other forms of external recognition.</w:t>
      </w:r>
    </w:p>
    <w:p w:rsidR="00AD579B" w:rsidRPr="005815E2" w:rsidRDefault="00AD579B" w:rsidP="00AD579B">
      <w:pPr>
        <w:pStyle w:val="ListBullet"/>
      </w:pPr>
      <w:r w:rsidRPr="005815E2">
        <w:t>Published papers or books written by that expert.</w:t>
      </w:r>
    </w:p>
    <w:p w:rsidR="00AD579B" w:rsidRPr="005815E2" w:rsidRDefault="00AD579B" w:rsidP="00AD579B">
      <w:pPr>
        <w:pStyle w:val="ListBullet"/>
      </w:pPr>
      <w:r w:rsidRPr="005815E2">
        <w:t>An auditor’s expert, if any, who assists the auditor in obtaining sufficient appropriate audit evidence with respect to information produced by the management’s expert.</w:t>
      </w:r>
    </w:p>
    <w:p w:rsidR="00AD579B" w:rsidRPr="005815E2" w:rsidRDefault="00AD579B" w:rsidP="00AD579B">
      <w:pPr>
        <w:pStyle w:val="AParaLevel1"/>
      </w:pPr>
      <w:r w:rsidRPr="005815E2">
        <w:t>Matters relevant to evaluating the competence, capabilities and objectivity of a management’s expert include whether that expert’s work is subject to technical performance standards or other professional or industry requirements, for example, ethical standards and other membership requirements of a professional body or industry association, accreditation standards of a licensing body, or requirements imposed by law or regulation.</w:t>
      </w:r>
    </w:p>
    <w:p w:rsidR="00AD579B" w:rsidRPr="005815E2" w:rsidRDefault="00AD579B" w:rsidP="00AD579B">
      <w:pPr>
        <w:pStyle w:val="AParaLevel1"/>
      </w:pPr>
      <w:r w:rsidRPr="005815E2">
        <w:t>Other matters that may be relevant include:</w:t>
      </w:r>
    </w:p>
    <w:p w:rsidR="00AD579B" w:rsidRPr="005815E2" w:rsidRDefault="00AD579B" w:rsidP="009E274C">
      <w:pPr>
        <w:pStyle w:val="ListBullet"/>
      </w:pPr>
      <w:r w:rsidRPr="005815E2">
        <w:t>The relevance of the management’s expert’s competence to the matter for which that expert’s work will be used, including any areas of specialty within that expert’s field.</w:t>
      </w:r>
      <w:r>
        <w:t xml:space="preserve">  </w:t>
      </w:r>
      <w:r w:rsidRPr="005815E2">
        <w:t>For example, a particular actuary may specialise in property and casualty insurance, but have limited expertise regarding pension calculations.</w:t>
      </w:r>
    </w:p>
    <w:p w:rsidR="00AD579B" w:rsidRPr="005815E2" w:rsidRDefault="00AD579B" w:rsidP="009E274C">
      <w:pPr>
        <w:pStyle w:val="ListBullet"/>
      </w:pPr>
      <w:r w:rsidRPr="005815E2">
        <w:t>The management’s expert’s competence with respect to relevant accounting requirements, for example, knowledge of assumptions and methods, including models where applicable, that are consistent with the applicable financial reporting framework.</w:t>
      </w:r>
      <w:r>
        <w:t xml:space="preserve">  </w:t>
      </w:r>
    </w:p>
    <w:p w:rsidR="00AD579B" w:rsidRPr="005815E2" w:rsidRDefault="00AD579B" w:rsidP="009E274C">
      <w:pPr>
        <w:pStyle w:val="ListBullet"/>
      </w:pPr>
      <w:r w:rsidRPr="005815E2">
        <w:t>Whether unexpected events, changes in conditions, or the audit evidence obtained from the results of audit procedures indicate that it may be necessary to reconsider the initial evaluation of the competence, capabilities and objectivity of the management’s expert as the audit progresses.</w:t>
      </w:r>
      <w:r>
        <w:t xml:space="preserve">  </w:t>
      </w:r>
    </w:p>
    <w:p w:rsidR="00AD579B" w:rsidRPr="005815E2" w:rsidRDefault="00AD579B" w:rsidP="00AD579B">
      <w:pPr>
        <w:pStyle w:val="AParaLevel1"/>
      </w:pPr>
      <w:r w:rsidRPr="005815E2">
        <w:t>A broad range of circumstances may threaten objectivity, for example, self</w:t>
      </w:r>
      <w:r>
        <w:noBreakHyphen/>
      </w:r>
      <w:r w:rsidRPr="005815E2">
        <w:t>interest threats, advocacy threats, familiarity threats, self</w:t>
      </w:r>
      <w:r>
        <w:noBreakHyphen/>
      </w:r>
      <w:r w:rsidRPr="005815E2">
        <w:t>review threats and intimidation threats.</w:t>
      </w:r>
      <w:r>
        <w:t xml:space="preserve">  </w:t>
      </w:r>
      <w:r w:rsidRPr="005815E2">
        <w:t>Safeguards may reduce such threats, and may be created either by external structures (for example, the management’s expert’s profession, legislation or regulation), or by the management’s expert’s work environment (for example, quality control policies and procedures).</w:t>
      </w:r>
    </w:p>
    <w:p w:rsidR="00AD579B" w:rsidRPr="005815E2" w:rsidRDefault="00AD579B" w:rsidP="00AD579B">
      <w:pPr>
        <w:pStyle w:val="AParaLevel1"/>
      </w:pPr>
      <w:r w:rsidRPr="005815E2">
        <w:t>Although safeguards cannot eliminate all threats to a management’s expert’s objectivity, threats such as intimidation threats may be of less significance to an expert engaged by the entity than to an expert employed by the entity, and the effectiveness of safeguards such as quality control policies and procedures may be greater.</w:t>
      </w:r>
      <w:r>
        <w:t xml:space="preserve">  </w:t>
      </w:r>
      <w:r w:rsidRPr="005815E2">
        <w:t>Because the threat to objectivity created by being an employee of the entity will always be present, an expert employed by the entity cannot ordinarily be regarded as being more likely to be objective than other employees of the entity.</w:t>
      </w:r>
    </w:p>
    <w:p w:rsidR="00AD579B" w:rsidRPr="005815E2" w:rsidRDefault="00AD579B" w:rsidP="00AD579B">
      <w:pPr>
        <w:pStyle w:val="AParaLevel1"/>
      </w:pPr>
      <w:r w:rsidRPr="005815E2">
        <w:t>When evaluating the objectivity of an expert engaged by the entity, it may be relevant to discuss with management and that expert any interests and relationships that may create threats to the expert’s objectivity, and any applicable safeguards, including any professional requirements that apply to the expert; and to evaluate whether the safeguards are adequate.</w:t>
      </w:r>
      <w:r>
        <w:t xml:space="preserve">  </w:t>
      </w:r>
      <w:r w:rsidRPr="005815E2">
        <w:t>Interests and relationships creating threats may include:</w:t>
      </w:r>
    </w:p>
    <w:p w:rsidR="00AD579B" w:rsidRPr="005815E2" w:rsidRDefault="00AD579B" w:rsidP="009E274C">
      <w:pPr>
        <w:pStyle w:val="ListBullet"/>
      </w:pPr>
      <w:r w:rsidRPr="005815E2">
        <w:t>Financial interests.</w:t>
      </w:r>
      <w:r>
        <w:t xml:space="preserve">  </w:t>
      </w:r>
    </w:p>
    <w:p w:rsidR="00AD579B" w:rsidRPr="005815E2" w:rsidRDefault="00AD579B" w:rsidP="009E274C">
      <w:pPr>
        <w:pStyle w:val="ListBullet"/>
      </w:pPr>
      <w:r w:rsidRPr="005815E2">
        <w:t>Business and personal relationships.</w:t>
      </w:r>
    </w:p>
    <w:p w:rsidR="00AD579B" w:rsidRPr="005815E2" w:rsidRDefault="00AD579B" w:rsidP="009E274C">
      <w:pPr>
        <w:pStyle w:val="ListBullet"/>
      </w:pPr>
      <w:r w:rsidRPr="005815E2">
        <w:t>Provision of other services.</w:t>
      </w:r>
    </w:p>
    <w:p w:rsidR="00AD579B" w:rsidRPr="005815E2" w:rsidRDefault="00AD579B" w:rsidP="009E274C">
      <w:pPr>
        <w:pStyle w:val="Heading8"/>
      </w:pPr>
      <w:r w:rsidRPr="005815E2">
        <w:t xml:space="preserve">Obtaining an Understanding of the Work of the Management’s Expert </w:t>
      </w:r>
      <w:r w:rsidRPr="009E274C">
        <w:rPr>
          <w:rStyle w:val="RefParas"/>
        </w:rPr>
        <w:t>(Ref: Para. 8(b))</w:t>
      </w:r>
    </w:p>
    <w:p w:rsidR="00AD579B" w:rsidRPr="005815E2" w:rsidRDefault="00AD579B" w:rsidP="00AD579B">
      <w:pPr>
        <w:pStyle w:val="AParaLevel1"/>
      </w:pPr>
      <w:r w:rsidRPr="005815E2">
        <w:t>An understanding of the work of the management’s expert includes an understanding of the relevant field of expertise.</w:t>
      </w:r>
      <w:r>
        <w:t xml:space="preserve">  </w:t>
      </w:r>
      <w:r w:rsidRPr="005815E2">
        <w:t>An understanding of the relevant field of expertise may be obtained in conjunction with the auditor’s determination of whether the auditor has the expertise to evaluate the work of the management’s expert, or whether the auditor needs an auditor’s expert for this purpose.</w:t>
      </w:r>
      <w:r w:rsidRPr="00AD579B">
        <w:rPr>
          <w:rStyle w:val="FootnoteReference"/>
        </w:rPr>
        <w:footnoteReference w:id="15"/>
      </w:r>
      <w:r w:rsidRPr="005815E2">
        <w:t xml:space="preserve"> </w:t>
      </w:r>
    </w:p>
    <w:p w:rsidR="00AD579B" w:rsidRPr="005815E2" w:rsidRDefault="00AD579B" w:rsidP="00AD579B">
      <w:pPr>
        <w:pStyle w:val="AParaLevel1"/>
      </w:pPr>
      <w:r w:rsidRPr="005815E2">
        <w:t xml:space="preserve">Aspects of the management’s expert’s field relevant to the auditor’s understanding may include: </w:t>
      </w:r>
    </w:p>
    <w:p w:rsidR="00AD579B" w:rsidRPr="005815E2" w:rsidRDefault="00AD579B" w:rsidP="009E274C">
      <w:pPr>
        <w:pStyle w:val="ListBullet"/>
      </w:pPr>
      <w:r w:rsidRPr="005815E2">
        <w:t>Whether that expert’s field has areas of specialty within it that are relevant to the audit.</w:t>
      </w:r>
    </w:p>
    <w:p w:rsidR="00AD579B" w:rsidRPr="005815E2" w:rsidRDefault="00AD579B" w:rsidP="009E274C">
      <w:pPr>
        <w:pStyle w:val="ListBullet"/>
      </w:pPr>
      <w:r w:rsidRPr="005815E2">
        <w:t>Whether any professional or other standards, and regulatory or legal requirements apply.</w:t>
      </w:r>
      <w:r>
        <w:t xml:space="preserve">  </w:t>
      </w:r>
    </w:p>
    <w:p w:rsidR="00AD579B" w:rsidRPr="005815E2" w:rsidRDefault="00AD579B" w:rsidP="009E274C">
      <w:pPr>
        <w:pStyle w:val="ListBullet"/>
      </w:pPr>
      <w:r w:rsidRPr="005815E2">
        <w:t>What assumptions and methods are used by the management’s expert, and whether they are generally accepted within that expert’s field and appropriate for financial reporting purposes.</w:t>
      </w:r>
      <w:r>
        <w:t xml:space="preserve">  </w:t>
      </w:r>
    </w:p>
    <w:p w:rsidR="00AD579B" w:rsidRPr="005815E2" w:rsidRDefault="00AD579B" w:rsidP="009E274C">
      <w:pPr>
        <w:pStyle w:val="ListBullet"/>
      </w:pPr>
      <w:r w:rsidRPr="005815E2">
        <w:t>The nature of internal and external data or information the management’s expert uses.</w:t>
      </w:r>
    </w:p>
    <w:p w:rsidR="00AD579B" w:rsidRPr="005815E2" w:rsidRDefault="00AD579B" w:rsidP="00AD579B">
      <w:pPr>
        <w:pStyle w:val="AParaLevel1"/>
      </w:pPr>
      <w:r w:rsidRPr="005815E2">
        <w:t>In the case of a management’s expert engaged by the entity, there will ordinarily be an engagement letter or other written form of agreement between the entity and that expert.</w:t>
      </w:r>
      <w:r>
        <w:t xml:space="preserve">  </w:t>
      </w:r>
      <w:r w:rsidRPr="005815E2">
        <w:t>Evaluating that agreement when obtaining an understanding of the work of the management’s expert may assist the auditor in determining the appropriateness of the following for the auditor’s purposes:</w:t>
      </w:r>
    </w:p>
    <w:p w:rsidR="00AD579B" w:rsidRPr="005815E2" w:rsidRDefault="00AD579B" w:rsidP="009E274C">
      <w:pPr>
        <w:pStyle w:val="ListBullet"/>
      </w:pPr>
      <w:r w:rsidRPr="005815E2">
        <w:t xml:space="preserve">The nature, scope and objectives of that expert’s work; </w:t>
      </w:r>
    </w:p>
    <w:p w:rsidR="00AD579B" w:rsidRPr="005815E2" w:rsidRDefault="00AD579B" w:rsidP="009E274C">
      <w:pPr>
        <w:pStyle w:val="ListBullet"/>
      </w:pPr>
      <w:r w:rsidRPr="005815E2">
        <w:t>The respective roles and responsibilities of management and that expert; and</w:t>
      </w:r>
    </w:p>
    <w:p w:rsidR="00AD579B" w:rsidRPr="005815E2" w:rsidRDefault="00AD579B" w:rsidP="009E274C">
      <w:pPr>
        <w:pStyle w:val="ListBullet"/>
      </w:pPr>
      <w:r w:rsidRPr="005815E2">
        <w:t>The nature, timing and extent of communication between management and that expert, including the form of any report to be provided by that expert.</w:t>
      </w:r>
      <w:r>
        <w:t xml:space="preserve">  </w:t>
      </w:r>
    </w:p>
    <w:p w:rsidR="00AD579B" w:rsidRPr="005815E2" w:rsidRDefault="00AD579B" w:rsidP="00AD579B">
      <w:pPr>
        <w:pStyle w:val="AParaLevel1"/>
      </w:pPr>
      <w:r w:rsidRPr="005815E2">
        <w:t>In the case of a management’s expert employed by the entity, it is less likely there will be a written agreement of this kind.</w:t>
      </w:r>
      <w:r>
        <w:t xml:space="preserve">  </w:t>
      </w:r>
      <w:r w:rsidRPr="005815E2">
        <w:t>Enquiry of the expert and other members of management may be the most appropriate way for the auditor to obtain the necessary understanding.</w:t>
      </w:r>
      <w:r>
        <w:t xml:space="preserve">  </w:t>
      </w:r>
    </w:p>
    <w:p w:rsidR="00AD579B" w:rsidRPr="005815E2" w:rsidRDefault="00AD579B" w:rsidP="009E274C">
      <w:pPr>
        <w:pStyle w:val="Heading8"/>
      </w:pPr>
      <w:r w:rsidRPr="005815E2">
        <w:t xml:space="preserve">Evaluating the Appropriateness of the Management’s Expert’s Work </w:t>
      </w:r>
      <w:r w:rsidRPr="009E274C">
        <w:rPr>
          <w:rStyle w:val="RefParas"/>
        </w:rPr>
        <w:t>(Ref: Para. 8(c))</w:t>
      </w:r>
    </w:p>
    <w:p w:rsidR="00AD579B" w:rsidRPr="005815E2" w:rsidRDefault="00AD579B" w:rsidP="00AD579B">
      <w:pPr>
        <w:pStyle w:val="AParaLevel1"/>
      </w:pPr>
      <w:r w:rsidRPr="005815E2">
        <w:t xml:space="preserve">Considerations when evaluating the appropriateness of the management’s expert’s work as audit evidence for the relevant assertion may include: </w:t>
      </w:r>
    </w:p>
    <w:p w:rsidR="00AD579B" w:rsidRPr="005815E2" w:rsidRDefault="00AD579B" w:rsidP="009E274C">
      <w:pPr>
        <w:pStyle w:val="ListBullet"/>
      </w:pPr>
      <w:r w:rsidRPr="005815E2">
        <w:t>The relevance and reasonableness of that expert’s findings or conclusions, their consistency with other audit evidence, and whether they have been appropriately reflected in the financial report;</w:t>
      </w:r>
    </w:p>
    <w:p w:rsidR="00AD579B" w:rsidRPr="005815E2" w:rsidRDefault="00AD579B" w:rsidP="009E274C">
      <w:pPr>
        <w:pStyle w:val="ListBullet"/>
      </w:pPr>
      <w:r w:rsidRPr="005815E2">
        <w:t xml:space="preserve">If that expert’s work involves use of significant assumptions and methods, the relevance and reasonableness of those assumptions and methods; and </w:t>
      </w:r>
    </w:p>
    <w:p w:rsidR="00AD579B" w:rsidRPr="005815E2" w:rsidRDefault="00AD579B" w:rsidP="009E274C">
      <w:pPr>
        <w:pStyle w:val="ListBullet"/>
      </w:pPr>
      <w:r w:rsidRPr="005815E2">
        <w:t>If that expert’s work involves significant use of source data, the relevance, completeness, and accuracy of that source data.</w:t>
      </w:r>
      <w:r>
        <w:t xml:space="preserve">  </w:t>
      </w:r>
    </w:p>
    <w:p w:rsidR="00AD579B" w:rsidRPr="005815E2" w:rsidRDefault="00AD579B" w:rsidP="00AD579B">
      <w:pPr>
        <w:pStyle w:val="Heading7"/>
      </w:pPr>
      <w:r w:rsidRPr="00AD579B">
        <w:t>Information</w:t>
      </w:r>
      <w:r w:rsidRPr="005815E2">
        <w:t xml:space="preserve"> </w:t>
      </w:r>
      <w:r w:rsidRPr="00AD579B">
        <w:t>Produced</w:t>
      </w:r>
      <w:r w:rsidRPr="005815E2">
        <w:t xml:space="preserve"> </w:t>
      </w:r>
      <w:r w:rsidRPr="00AD579B">
        <w:t>by</w:t>
      </w:r>
      <w:r w:rsidRPr="005815E2">
        <w:t xml:space="preserve"> </w:t>
      </w:r>
      <w:r w:rsidRPr="00AD579B">
        <w:t>the</w:t>
      </w:r>
      <w:r w:rsidRPr="005815E2">
        <w:t xml:space="preserve"> </w:t>
      </w:r>
      <w:r w:rsidRPr="00AD579B">
        <w:t>Entity</w:t>
      </w:r>
      <w:r w:rsidRPr="005815E2">
        <w:t xml:space="preserve"> </w:t>
      </w:r>
      <w:r w:rsidRPr="00AD579B">
        <w:t>and</w:t>
      </w:r>
      <w:r w:rsidRPr="005815E2">
        <w:t xml:space="preserve"> </w:t>
      </w:r>
      <w:r w:rsidRPr="00AD579B">
        <w:t>Used</w:t>
      </w:r>
      <w:r w:rsidRPr="005815E2">
        <w:t xml:space="preserve"> </w:t>
      </w:r>
      <w:r w:rsidRPr="00AD579B">
        <w:t>for</w:t>
      </w:r>
      <w:r w:rsidRPr="005815E2">
        <w:t xml:space="preserve"> </w:t>
      </w:r>
      <w:r w:rsidRPr="00AD579B">
        <w:t>the</w:t>
      </w:r>
      <w:r w:rsidRPr="005815E2">
        <w:t xml:space="preserve"> </w:t>
      </w:r>
      <w:r w:rsidRPr="00AD579B">
        <w:t>Auditor’s</w:t>
      </w:r>
      <w:r w:rsidRPr="005815E2">
        <w:t xml:space="preserve"> </w:t>
      </w:r>
      <w:r w:rsidRPr="00AD579B">
        <w:t>Purposes</w:t>
      </w:r>
      <w:r w:rsidRPr="005815E2">
        <w:t xml:space="preserve"> </w:t>
      </w:r>
      <w:r w:rsidRPr="009E274C">
        <w:rPr>
          <w:rStyle w:val="RefParas"/>
          <w:i w:val="0"/>
        </w:rPr>
        <w:t>(Ref: Para. </w:t>
      </w:r>
      <w:bookmarkStart w:id="42" w:name="OLE_LINK4"/>
      <w:bookmarkStart w:id="43" w:name="OLE_LINK5"/>
      <w:r w:rsidRPr="009E274C">
        <w:rPr>
          <w:rStyle w:val="RefParas"/>
          <w:i w:val="0"/>
        </w:rPr>
        <w:t>9(a)</w:t>
      </w:r>
      <w:r w:rsidRPr="009E274C">
        <w:rPr>
          <w:rStyle w:val="RefParas"/>
          <w:i w:val="0"/>
        </w:rPr>
        <w:noBreakHyphen/>
        <w:t>(b))</w:t>
      </w:r>
    </w:p>
    <w:bookmarkEnd w:id="42"/>
    <w:bookmarkEnd w:id="43"/>
    <w:p w:rsidR="00AD579B" w:rsidRPr="005815E2" w:rsidRDefault="00AD579B" w:rsidP="00AD579B">
      <w:pPr>
        <w:pStyle w:val="AParaLevel1"/>
      </w:pPr>
      <w:r w:rsidRPr="005815E2">
        <w:t>In order for the auditor to obtain reliable audit evidence, information produced by the entity that is used for performing audit procedures needs to be sufficiently complete and accurate.</w:t>
      </w:r>
      <w:r>
        <w:t xml:space="preserve">  </w:t>
      </w:r>
      <w:r w:rsidRPr="005815E2">
        <w:t>For example, the effectiveness of auditing revenue by applying standard prices to records of sales volume is affected by the accuracy of the price information and the completeness and accuracy of the sales volume data.</w:t>
      </w:r>
      <w:r>
        <w:t xml:space="preserve">  </w:t>
      </w:r>
      <w:r w:rsidRPr="005815E2">
        <w:t>Similarly, if the auditor intends to test a population (for example, payments) for a certain characteristic (for example, authorisation), the results of the test will be less reliable if the population from which items are selected for testing is not complete.</w:t>
      </w:r>
      <w:r>
        <w:t xml:space="preserve">  </w:t>
      </w:r>
    </w:p>
    <w:p w:rsidR="00AD579B" w:rsidRPr="005815E2" w:rsidRDefault="00AD579B" w:rsidP="00AD579B">
      <w:pPr>
        <w:pStyle w:val="AParaLevel1"/>
      </w:pPr>
      <w:r w:rsidRPr="005815E2">
        <w:t>Obtaining audit evidence about the accuracy and completeness of such information may be performed concurrently with the actual audit procedure applied to the information when obtaining such audit evidence is an integral part of the audit procedure itself.</w:t>
      </w:r>
      <w:r>
        <w:t xml:space="preserve">  </w:t>
      </w:r>
      <w:r w:rsidRPr="005815E2">
        <w:t>In other situations, the auditor may have obtained audit evidence of the accuracy and completeness of such information by testing controls over the preparation and maintenance of the information.</w:t>
      </w:r>
      <w:r>
        <w:t xml:space="preserve">  </w:t>
      </w:r>
      <w:r w:rsidRPr="005815E2">
        <w:t>In some situations, however, the auditor may determine that additional audit procedures are needed.</w:t>
      </w:r>
    </w:p>
    <w:p w:rsidR="00AD579B" w:rsidRPr="005815E2" w:rsidRDefault="00AD579B" w:rsidP="00AD579B">
      <w:pPr>
        <w:pStyle w:val="AParaLevel1"/>
      </w:pPr>
      <w:r w:rsidRPr="005815E2">
        <w:t>In some cases, the auditor may intend to use information produced by the entity for other audit purposes.</w:t>
      </w:r>
      <w:r>
        <w:t xml:space="preserve">  </w:t>
      </w:r>
      <w:r w:rsidRPr="005815E2">
        <w:t>For example, the auditor may intend to make use of the entity’s performance measures for the purpose of analytical procedures, or to make use of the entity’s information produced for monitoring activities, such as reports</w:t>
      </w:r>
      <w:r w:rsidR="00836113">
        <w:t xml:space="preserve"> of the internal audit function</w:t>
      </w:r>
      <w:r w:rsidRPr="005815E2">
        <w:t>.</w:t>
      </w:r>
      <w:r>
        <w:t xml:space="preserve">  </w:t>
      </w:r>
      <w:r w:rsidRPr="005815E2">
        <w:t>In such cases, the appropriateness of the audit evidence obtained is affected by whether the information is sufficiently precise or detailed for the auditor’s purposes.</w:t>
      </w:r>
      <w:r>
        <w:t xml:space="preserve">  </w:t>
      </w:r>
      <w:r w:rsidRPr="005815E2">
        <w:t>For example, performance measures used by management may not be precise enough to detect material misstatements.</w:t>
      </w:r>
      <w:r>
        <w:t xml:space="preserve">  </w:t>
      </w:r>
    </w:p>
    <w:p w:rsidR="00AD579B" w:rsidRPr="005815E2" w:rsidRDefault="00AD579B" w:rsidP="00AD579B">
      <w:pPr>
        <w:pStyle w:val="Heading6"/>
      </w:pPr>
      <w:r w:rsidRPr="00AD579B">
        <w:t>Selecting</w:t>
      </w:r>
      <w:r w:rsidRPr="005815E2">
        <w:t xml:space="preserve"> </w:t>
      </w:r>
      <w:r w:rsidRPr="00AD579B">
        <w:t>Items</w:t>
      </w:r>
      <w:r w:rsidRPr="005815E2">
        <w:t xml:space="preserve"> </w:t>
      </w:r>
      <w:r w:rsidRPr="00AD579B">
        <w:t>for</w:t>
      </w:r>
      <w:r w:rsidRPr="005815E2">
        <w:t xml:space="preserve"> </w:t>
      </w:r>
      <w:r w:rsidRPr="00AD579B">
        <w:t>Testing</w:t>
      </w:r>
      <w:r w:rsidRPr="005815E2">
        <w:t xml:space="preserve"> </w:t>
      </w:r>
      <w:r w:rsidRPr="00AD579B">
        <w:t>to</w:t>
      </w:r>
      <w:r w:rsidRPr="005815E2">
        <w:t xml:space="preserve"> </w:t>
      </w:r>
      <w:r w:rsidRPr="00AD579B">
        <w:t>Obtain</w:t>
      </w:r>
      <w:r w:rsidRPr="005815E2">
        <w:t xml:space="preserve"> </w:t>
      </w:r>
      <w:r w:rsidRPr="00AD579B">
        <w:t>Audit</w:t>
      </w:r>
      <w:r w:rsidRPr="005815E2">
        <w:t xml:space="preserve"> </w:t>
      </w:r>
      <w:r w:rsidRPr="00AD579B">
        <w:t>Evidence</w:t>
      </w:r>
      <w:r w:rsidRPr="005815E2">
        <w:t xml:space="preserve"> </w:t>
      </w:r>
      <w:r w:rsidRPr="009E274C">
        <w:rPr>
          <w:rStyle w:val="RefParas"/>
          <w:b w:val="0"/>
        </w:rPr>
        <w:t>(Ref: Para. 10)</w:t>
      </w:r>
    </w:p>
    <w:p w:rsidR="00AD579B" w:rsidRPr="005815E2" w:rsidRDefault="00AD579B" w:rsidP="00AD579B">
      <w:pPr>
        <w:pStyle w:val="AParaLevel1"/>
      </w:pPr>
      <w:r w:rsidRPr="005815E2">
        <w:t>An effective test provides appropriate audit evidence to an extent that, taken with other audit evidence obtained or to be obtained, will be sufficient for the auditor’s purposes.</w:t>
      </w:r>
      <w:r>
        <w:t xml:space="preserve">  </w:t>
      </w:r>
      <w:r w:rsidRPr="005815E2">
        <w:t>In selecting items for testing, the auditor is required by paragraph</w:t>
      </w:r>
      <w:r>
        <w:t> </w:t>
      </w:r>
      <w:r w:rsidRPr="005815E2">
        <w:t>7 to determine the relevance and reliability of information to be used as audit evidence; the other aspect of effectiveness (sufficiency) is an important consideration in selecting items to test.</w:t>
      </w:r>
      <w:r>
        <w:t xml:space="preserve">  </w:t>
      </w:r>
      <w:r w:rsidRPr="005815E2">
        <w:t xml:space="preserve">The means available to the auditor for selecting items for testing are: </w:t>
      </w:r>
    </w:p>
    <w:p w:rsidR="00AD579B" w:rsidRPr="005815E2" w:rsidRDefault="00AD579B" w:rsidP="00AD579B">
      <w:pPr>
        <w:pStyle w:val="AParaLevel2"/>
      </w:pPr>
      <w:r w:rsidRPr="005815E2">
        <w:t xml:space="preserve">Selecting all items (100% examination); </w:t>
      </w:r>
    </w:p>
    <w:p w:rsidR="00AD579B" w:rsidRPr="005815E2" w:rsidRDefault="00AD579B" w:rsidP="00AD579B">
      <w:pPr>
        <w:pStyle w:val="AParaLevel2"/>
      </w:pPr>
      <w:r w:rsidRPr="005815E2">
        <w:t>Selecting specific items; and</w:t>
      </w:r>
    </w:p>
    <w:p w:rsidR="00AD579B" w:rsidRPr="005815E2" w:rsidRDefault="00AD579B" w:rsidP="00AD579B">
      <w:pPr>
        <w:pStyle w:val="AParaLevel2"/>
      </w:pPr>
      <w:r w:rsidRPr="005815E2">
        <w:t>Audit sampling.</w:t>
      </w:r>
    </w:p>
    <w:p w:rsidR="00AD579B" w:rsidRPr="005815E2" w:rsidRDefault="00AD579B" w:rsidP="009E274C">
      <w:pPr>
        <w:spacing w:after="200"/>
        <w:ind w:left="709"/>
      </w:pPr>
      <w:r w:rsidRPr="005815E2">
        <w:t>The application of any one or combination of these means may be appropriate depending on the particular circumstances, for example, the risks of material misstatement related to the assertion being tested, and the practicality and efficiency of the different means.</w:t>
      </w:r>
      <w:r>
        <w:t xml:space="preserve">  </w:t>
      </w:r>
    </w:p>
    <w:p w:rsidR="00AD579B" w:rsidRPr="005815E2" w:rsidRDefault="00AD579B" w:rsidP="00AD579B">
      <w:pPr>
        <w:pStyle w:val="Heading7"/>
      </w:pPr>
      <w:r w:rsidRPr="00AD579B">
        <w:t>Selecting</w:t>
      </w:r>
      <w:r w:rsidRPr="005815E2">
        <w:t xml:space="preserve"> </w:t>
      </w:r>
      <w:r w:rsidRPr="00AD579B">
        <w:t>All</w:t>
      </w:r>
      <w:r w:rsidRPr="005815E2">
        <w:t xml:space="preserve"> </w:t>
      </w:r>
      <w:r w:rsidRPr="00AD579B">
        <w:t>Items</w:t>
      </w:r>
    </w:p>
    <w:p w:rsidR="00AD579B" w:rsidRPr="005815E2" w:rsidRDefault="00AD579B" w:rsidP="00AD579B">
      <w:pPr>
        <w:pStyle w:val="AParaLevel1"/>
      </w:pPr>
      <w:r w:rsidRPr="005815E2">
        <w:t>The auditor may decide that it will be most appropriate to examine the entire population of items that make up a class of transactions or account balance (or a stratum within that population).</w:t>
      </w:r>
      <w:r>
        <w:t xml:space="preserve">  </w:t>
      </w:r>
      <w:r w:rsidRPr="005815E2">
        <w:t>100% examination is unlikely in the case of tests of controls; however, it is more common for tests of details.</w:t>
      </w:r>
      <w:r>
        <w:t xml:space="preserve">  </w:t>
      </w:r>
      <w:r w:rsidRPr="005815E2">
        <w:t>100% examination may be appropriate when, for example:</w:t>
      </w:r>
    </w:p>
    <w:p w:rsidR="00AD579B" w:rsidRPr="005815E2" w:rsidRDefault="00AD579B" w:rsidP="009E274C">
      <w:pPr>
        <w:pStyle w:val="ListBullet"/>
      </w:pPr>
      <w:r w:rsidRPr="005815E2">
        <w:t xml:space="preserve">The population constitutes a small number of large value items; </w:t>
      </w:r>
    </w:p>
    <w:p w:rsidR="00AD579B" w:rsidRPr="005815E2" w:rsidRDefault="00AD579B" w:rsidP="009E274C">
      <w:pPr>
        <w:pStyle w:val="ListBullet"/>
      </w:pPr>
      <w:r w:rsidRPr="005815E2">
        <w:t xml:space="preserve">There is a significant risk and other means do not provide sufficient appropriate audit evidence; or </w:t>
      </w:r>
    </w:p>
    <w:p w:rsidR="00AD579B" w:rsidRPr="005815E2" w:rsidRDefault="00AD579B" w:rsidP="009E274C">
      <w:pPr>
        <w:pStyle w:val="ListBullet"/>
      </w:pPr>
      <w:r w:rsidRPr="005815E2">
        <w:t>The repetitive nature of a calculation or other process performed automatically by an information system makes a 100% examination cost effective.</w:t>
      </w:r>
    </w:p>
    <w:p w:rsidR="00AD579B" w:rsidRPr="005815E2" w:rsidRDefault="00AD579B" w:rsidP="00AD579B">
      <w:pPr>
        <w:pStyle w:val="Heading7"/>
      </w:pPr>
      <w:r w:rsidRPr="00AD579B">
        <w:t>Selecting</w:t>
      </w:r>
      <w:r w:rsidRPr="005815E2">
        <w:t xml:space="preserve"> </w:t>
      </w:r>
      <w:r w:rsidRPr="00AD579B">
        <w:t>Specific</w:t>
      </w:r>
      <w:r w:rsidRPr="005815E2">
        <w:t xml:space="preserve"> </w:t>
      </w:r>
      <w:r w:rsidRPr="00AD579B">
        <w:t>Items</w:t>
      </w:r>
    </w:p>
    <w:p w:rsidR="00AD579B" w:rsidRPr="005815E2" w:rsidRDefault="00AD579B" w:rsidP="00AD579B">
      <w:pPr>
        <w:pStyle w:val="AParaLevel1"/>
      </w:pPr>
      <w:r w:rsidRPr="005815E2">
        <w:t>The auditor may decide to select specific items from a population.</w:t>
      </w:r>
      <w:r>
        <w:t xml:space="preserve">  </w:t>
      </w:r>
      <w:r w:rsidRPr="005815E2">
        <w:t>In making this decision, factors that may be relevant include the auditor’s understanding of the entity, the assessed risks of material misstatement and the characteristics of the population being tested.</w:t>
      </w:r>
      <w:r>
        <w:t xml:space="preserve">  </w:t>
      </w:r>
      <w:r w:rsidRPr="005815E2">
        <w:t>The judgemental selection of specific items is subject to non</w:t>
      </w:r>
      <w:r>
        <w:noBreakHyphen/>
      </w:r>
      <w:r w:rsidRPr="005815E2">
        <w:t>sampling risk.</w:t>
      </w:r>
      <w:r>
        <w:t xml:space="preserve">  </w:t>
      </w:r>
      <w:r w:rsidRPr="005815E2">
        <w:t>Specific items selected may include:</w:t>
      </w:r>
    </w:p>
    <w:p w:rsidR="00AD579B" w:rsidRPr="005815E2" w:rsidRDefault="00AD579B" w:rsidP="009E274C">
      <w:pPr>
        <w:pStyle w:val="ListBullet"/>
      </w:pPr>
      <w:r w:rsidRPr="00AD579B">
        <w:rPr>
          <w:i/>
        </w:rPr>
        <w:t>High</w:t>
      </w:r>
      <w:r w:rsidRPr="005815E2">
        <w:t xml:space="preserve"> </w:t>
      </w:r>
      <w:r w:rsidRPr="00AD579B">
        <w:rPr>
          <w:i/>
        </w:rPr>
        <w:t>value</w:t>
      </w:r>
      <w:r w:rsidRPr="005815E2">
        <w:t xml:space="preserve"> </w:t>
      </w:r>
      <w:r w:rsidRPr="00AD579B">
        <w:rPr>
          <w:i/>
        </w:rPr>
        <w:t>or</w:t>
      </w:r>
      <w:r w:rsidRPr="005815E2">
        <w:t xml:space="preserve"> </w:t>
      </w:r>
      <w:r w:rsidRPr="00AD579B">
        <w:rPr>
          <w:i/>
        </w:rPr>
        <w:t>key</w:t>
      </w:r>
      <w:r w:rsidRPr="005815E2">
        <w:t xml:space="preserve"> </w:t>
      </w:r>
      <w:r w:rsidRPr="00AD579B">
        <w:rPr>
          <w:i/>
        </w:rPr>
        <w:t>items</w:t>
      </w:r>
      <w:r w:rsidRPr="005815E2">
        <w:t>.</w:t>
      </w:r>
      <w:r>
        <w:t xml:space="preserve">  </w:t>
      </w:r>
      <w:r w:rsidRPr="005815E2">
        <w:t>The auditor may decide to select specific items within a population because they are of high value, or exhibit some other characteristic, for example, items that are suspicious, unusual, particularly risk</w:t>
      </w:r>
      <w:r>
        <w:noBreakHyphen/>
      </w:r>
      <w:r w:rsidRPr="005815E2">
        <w:t>prone or that have a history of error.</w:t>
      </w:r>
    </w:p>
    <w:p w:rsidR="00AD579B" w:rsidRPr="005815E2" w:rsidRDefault="00AD579B" w:rsidP="009E274C">
      <w:pPr>
        <w:pStyle w:val="ListBullet"/>
      </w:pPr>
      <w:r w:rsidRPr="00AD579B">
        <w:rPr>
          <w:i/>
        </w:rPr>
        <w:t>All</w:t>
      </w:r>
      <w:r w:rsidRPr="005815E2">
        <w:t xml:space="preserve"> </w:t>
      </w:r>
      <w:r w:rsidRPr="00AD579B">
        <w:rPr>
          <w:i/>
        </w:rPr>
        <w:t>items</w:t>
      </w:r>
      <w:r w:rsidRPr="005815E2">
        <w:t xml:space="preserve"> </w:t>
      </w:r>
      <w:r w:rsidRPr="00AD579B">
        <w:rPr>
          <w:i/>
        </w:rPr>
        <w:t>over</w:t>
      </w:r>
      <w:r w:rsidRPr="005815E2">
        <w:t xml:space="preserve"> </w:t>
      </w:r>
      <w:r w:rsidRPr="00AD579B">
        <w:rPr>
          <w:i/>
        </w:rPr>
        <w:t>a</w:t>
      </w:r>
      <w:r w:rsidRPr="005815E2">
        <w:t xml:space="preserve"> </w:t>
      </w:r>
      <w:r w:rsidRPr="00AD579B">
        <w:rPr>
          <w:i/>
        </w:rPr>
        <w:t>certain</w:t>
      </w:r>
      <w:r w:rsidRPr="005815E2">
        <w:t xml:space="preserve"> </w:t>
      </w:r>
      <w:r w:rsidRPr="00AD579B">
        <w:rPr>
          <w:i/>
        </w:rPr>
        <w:t>amount</w:t>
      </w:r>
      <w:r w:rsidRPr="005815E2">
        <w:t>.</w:t>
      </w:r>
      <w:r>
        <w:t xml:space="preserve">  </w:t>
      </w:r>
      <w:r w:rsidRPr="005815E2">
        <w:t>The auditor may decide to examine items whose recorded values exceed a certain amount so as to verify a large proportion of the total amount of a class of transactions or account balance.</w:t>
      </w:r>
    </w:p>
    <w:p w:rsidR="00AD579B" w:rsidRPr="005815E2" w:rsidRDefault="00AD579B" w:rsidP="009E274C">
      <w:pPr>
        <w:pStyle w:val="ListBullet"/>
      </w:pPr>
      <w:r w:rsidRPr="00AD579B">
        <w:rPr>
          <w:i/>
        </w:rPr>
        <w:t>Items</w:t>
      </w:r>
      <w:r w:rsidRPr="005815E2">
        <w:t xml:space="preserve"> </w:t>
      </w:r>
      <w:r w:rsidRPr="00AD579B">
        <w:rPr>
          <w:i/>
        </w:rPr>
        <w:t>to</w:t>
      </w:r>
      <w:r w:rsidRPr="005815E2">
        <w:t xml:space="preserve"> </w:t>
      </w:r>
      <w:r w:rsidRPr="00AD579B">
        <w:rPr>
          <w:i/>
        </w:rPr>
        <w:t>obtain</w:t>
      </w:r>
      <w:r w:rsidRPr="005815E2">
        <w:t xml:space="preserve"> </w:t>
      </w:r>
      <w:r w:rsidRPr="00AD579B">
        <w:rPr>
          <w:i/>
        </w:rPr>
        <w:t>information</w:t>
      </w:r>
      <w:r w:rsidRPr="005815E2">
        <w:t>.</w:t>
      </w:r>
      <w:r>
        <w:t xml:space="preserve">  </w:t>
      </w:r>
      <w:r w:rsidRPr="005815E2">
        <w:t>The auditor may examine items to obtain information about matters such as the nature of the entity or the nature of transactions.</w:t>
      </w:r>
    </w:p>
    <w:p w:rsidR="00AD579B" w:rsidRPr="005815E2" w:rsidRDefault="00AD579B" w:rsidP="00AD579B">
      <w:pPr>
        <w:pStyle w:val="AParaLevel1"/>
      </w:pPr>
      <w:r w:rsidRPr="005815E2">
        <w:t>While selective examination of specific items from a class of transactions or account balance will often be an efficient means of obtaining audit evidence, it does not constitute audit sampling.</w:t>
      </w:r>
      <w:r>
        <w:t xml:space="preserve">  </w:t>
      </w:r>
      <w:r w:rsidRPr="005815E2">
        <w:t>The results of audit procedures applied to items selected in this way cannot be projected to the entire population; accordingly, selective examination of specific items does not provide audit evidence concerning the remainder of the population.</w:t>
      </w:r>
      <w:r>
        <w:t xml:space="preserve">  </w:t>
      </w:r>
    </w:p>
    <w:p w:rsidR="00AD579B" w:rsidRPr="005815E2" w:rsidRDefault="00AD579B" w:rsidP="00AD579B">
      <w:pPr>
        <w:pStyle w:val="Heading7"/>
      </w:pPr>
      <w:r w:rsidRPr="00AD579B">
        <w:t>Audit</w:t>
      </w:r>
      <w:r w:rsidRPr="005815E2">
        <w:t xml:space="preserve"> </w:t>
      </w:r>
      <w:r w:rsidRPr="00AD579B">
        <w:t>Sampling</w:t>
      </w:r>
    </w:p>
    <w:p w:rsidR="00AD579B" w:rsidRPr="005815E2" w:rsidRDefault="00AD579B" w:rsidP="00AD579B">
      <w:pPr>
        <w:pStyle w:val="AParaLevel1"/>
      </w:pPr>
      <w:r w:rsidRPr="005815E2">
        <w:t>Audit sampling is designed to enable conclusions to be drawn about an entire population on the basis of testing a sample drawn from it.</w:t>
      </w:r>
      <w:r>
        <w:t xml:space="preserve">  </w:t>
      </w:r>
      <w:r w:rsidRPr="005815E2">
        <w:t>Audit sampling is discussed in ASA</w:t>
      </w:r>
      <w:r>
        <w:t> </w:t>
      </w:r>
      <w:r w:rsidRPr="005815E2">
        <w:t>530.</w:t>
      </w:r>
      <w:r w:rsidRPr="00AD579B">
        <w:rPr>
          <w:rStyle w:val="FootnoteReference"/>
        </w:rPr>
        <w:footnoteReference w:id="16"/>
      </w:r>
    </w:p>
    <w:p w:rsidR="00AD579B" w:rsidRPr="005815E2" w:rsidRDefault="00AD579B" w:rsidP="00AD579B">
      <w:pPr>
        <w:pStyle w:val="Heading6"/>
      </w:pPr>
      <w:r w:rsidRPr="00AD579B">
        <w:t>Inconsistency</w:t>
      </w:r>
      <w:r w:rsidRPr="005815E2">
        <w:t xml:space="preserve"> </w:t>
      </w:r>
      <w:r w:rsidRPr="00AD579B">
        <w:t>in</w:t>
      </w:r>
      <w:r w:rsidRPr="005815E2">
        <w:t xml:space="preserve">, </w:t>
      </w:r>
      <w:r w:rsidRPr="00AD579B">
        <w:t>or</w:t>
      </w:r>
      <w:r w:rsidRPr="005815E2">
        <w:t xml:space="preserve"> </w:t>
      </w:r>
      <w:r w:rsidRPr="00AD579B">
        <w:t>Doubts</w:t>
      </w:r>
      <w:r w:rsidRPr="005815E2">
        <w:t xml:space="preserve"> </w:t>
      </w:r>
      <w:r w:rsidRPr="00AD579B">
        <w:t>over</w:t>
      </w:r>
      <w:r w:rsidRPr="005815E2">
        <w:t xml:space="preserve"> </w:t>
      </w:r>
      <w:r w:rsidRPr="00AD579B">
        <w:t>Reliability</w:t>
      </w:r>
      <w:r w:rsidRPr="005815E2">
        <w:t xml:space="preserve"> </w:t>
      </w:r>
      <w:r w:rsidRPr="00AD579B">
        <w:t>of</w:t>
      </w:r>
      <w:r w:rsidRPr="005815E2">
        <w:t xml:space="preserve">, </w:t>
      </w:r>
      <w:r w:rsidRPr="00AD579B">
        <w:t>Audit</w:t>
      </w:r>
      <w:r w:rsidRPr="005815E2">
        <w:t xml:space="preserve"> </w:t>
      </w:r>
      <w:r w:rsidRPr="00AD579B">
        <w:t>Evidence</w:t>
      </w:r>
      <w:r w:rsidRPr="005815E2">
        <w:t xml:space="preserve"> </w:t>
      </w:r>
      <w:r w:rsidRPr="009E274C">
        <w:rPr>
          <w:rStyle w:val="RefParas"/>
          <w:b w:val="0"/>
        </w:rPr>
        <w:t xml:space="preserve">(Ref: Para. 11) </w:t>
      </w:r>
    </w:p>
    <w:p w:rsidR="0000664A" w:rsidRPr="0000664A" w:rsidRDefault="00AD579B" w:rsidP="0000664A">
      <w:pPr>
        <w:pStyle w:val="AParaLevel1"/>
      </w:pPr>
      <w:r w:rsidRPr="005815E2">
        <w:t>Obtaining audit evidence from different sources or of a different nature may indicate that an individual item of audit evidence is not reliable, such as when audit evidence obtained from one source is inconsistent with that obtained from another.</w:t>
      </w:r>
      <w:r>
        <w:t xml:space="preserve">  </w:t>
      </w:r>
      <w:r w:rsidRPr="005815E2">
        <w:t>This may be the case when, for example, responses to enquiries of management, internal audit</w:t>
      </w:r>
      <w:r w:rsidR="00836113">
        <w:t>ors</w:t>
      </w:r>
      <w:r w:rsidRPr="005815E2">
        <w:t>, and others are inconsistent, or when responses to enquiries of those charged with governance made to corroborate the responses to enquiries of management are inconsistent with the response by management.</w:t>
      </w:r>
      <w:r>
        <w:t xml:space="preserve">  </w:t>
      </w:r>
      <w:r w:rsidRPr="005815E2">
        <w:t>ASA</w:t>
      </w:r>
      <w:r>
        <w:t> </w:t>
      </w:r>
      <w:r w:rsidRPr="005815E2">
        <w:t>230 includes a specific documentation requirement if the auditor identified information that is inconsistent with the auditor’s final conclusion regarding a significant matter.</w:t>
      </w:r>
      <w:r w:rsidRPr="00AD579B">
        <w:rPr>
          <w:rStyle w:val="FootnoteReference"/>
        </w:rPr>
        <w:footnoteReference w:id="17"/>
      </w:r>
      <w:bookmarkStart w:id="44" w:name="TOCEnd"/>
      <w:bookmarkEnd w:id="44"/>
    </w:p>
    <w:sectPr w:rsidR="0000664A" w:rsidRPr="0000664A" w:rsidSect="006D2111">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9B" w:rsidRDefault="00AD579B">
      <w:r>
        <w:separator/>
      </w:r>
    </w:p>
  </w:endnote>
  <w:endnote w:type="continuationSeparator" w:id="0">
    <w:p w:rsidR="00AD579B" w:rsidRDefault="00AD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9B" w:rsidRDefault="00FD70EA" w:rsidP="00A13EDD">
    <w:pPr>
      <w:pStyle w:val="Footer"/>
      <w:spacing w:before="200"/>
      <w:rPr>
        <w:rStyle w:val="PageNumber"/>
      </w:rPr>
    </w:pPr>
    <w:fldSimple w:instr=" REF DocType \* charformat " w:fldLock="1">
      <w:r w:rsidR="00B020E2">
        <w:t>ASA</w:t>
      </w:r>
    </w:fldSimple>
    <w:r w:rsidR="00AD579B">
      <w:t xml:space="preserve"> </w:t>
    </w:r>
    <w:fldSimple w:instr=" REF DocNo \* charformat " w:fldLock="1">
      <w:r w:rsidR="00B020E2">
        <w:t>500</w:t>
      </w:r>
    </w:fldSimple>
    <w:r w:rsidR="00AD579B">
      <w:t xml:space="preserve"> - compiled</w:t>
    </w:r>
    <w:r w:rsidR="00AD579B">
      <w:rPr>
        <w:rStyle w:val="PageNumber"/>
      </w:rPr>
      <w:tab/>
    </w:r>
    <w:r w:rsidR="00AD579B">
      <w:rPr>
        <w:b w:val="0"/>
        <w:bCs/>
      </w:rPr>
      <w:t xml:space="preserve">- </w:t>
    </w:r>
    <w:r w:rsidR="00AD579B">
      <w:rPr>
        <w:rStyle w:val="PageNumber"/>
        <w:b w:val="0"/>
        <w:bCs/>
      </w:rPr>
      <w:fldChar w:fldCharType="begin"/>
    </w:r>
    <w:r w:rsidR="00AD579B">
      <w:rPr>
        <w:rStyle w:val="PageNumber"/>
        <w:b w:val="0"/>
        <w:bCs/>
      </w:rPr>
      <w:instrText xml:space="preserve"> PAGE </w:instrText>
    </w:r>
    <w:r w:rsidR="00AD579B">
      <w:rPr>
        <w:rStyle w:val="PageNumber"/>
        <w:b w:val="0"/>
        <w:bCs/>
      </w:rPr>
      <w:fldChar w:fldCharType="separate"/>
    </w:r>
    <w:r w:rsidR="006C4F9C">
      <w:rPr>
        <w:rStyle w:val="PageNumber"/>
        <w:b w:val="0"/>
        <w:bCs/>
        <w:noProof/>
      </w:rPr>
      <w:t>6</w:t>
    </w:r>
    <w:r w:rsidR="00AD579B">
      <w:rPr>
        <w:rStyle w:val="PageNumber"/>
        <w:b w:val="0"/>
        <w:bCs/>
      </w:rPr>
      <w:fldChar w:fldCharType="end"/>
    </w:r>
    <w:r w:rsidR="00AD579B">
      <w:rPr>
        <w:rStyle w:val="PageNumber"/>
        <w:b w:val="0"/>
        <w:bCs/>
      </w:rPr>
      <w:t xml:space="preserve"> -</w:t>
    </w:r>
    <w:r w:rsidR="00AD579B">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9B" w:rsidRDefault="00FD70EA" w:rsidP="00A13EDD">
    <w:pPr>
      <w:pStyle w:val="Footer"/>
      <w:spacing w:before="200"/>
      <w:rPr>
        <w:rStyle w:val="PageNumber"/>
      </w:rPr>
    </w:pPr>
    <w:fldSimple w:instr=" REF DocType \* charformat " w:fldLock="1">
      <w:r w:rsidR="00B020E2">
        <w:t>ASA</w:t>
      </w:r>
    </w:fldSimple>
    <w:r w:rsidR="00AD579B">
      <w:t xml:space="preserve"> </w:t>
    </w:r>
    <w:fldSimple w:instr=" REF DocNo \* charformat " w:fldLock="1">
      <w:r w:rsidR="00B020E2">
        <w:t>500</w:t>
      </w:r>
    </w:fldSimple>
    <w:r w:rsidR="00AD579B">
      <w:t xml:space="preserve"> - compiled</w:t>
    </w:r>
    <w:r w:rsidR="00AD579B">
      <w:rPr>
        <w:rStyle w:val="PageNumber"/>
      </w:rPr>
      <w:tab/>
    </w:r>
    <w:r w:rsidR="00AD579B">
      <w:rPr>
        <w:b w:val="0"/>
        <w:bCs/>
      </w:rPr>
      <w:t xml:space="preserve">- </w:t>
    </w:r>
    <w:r w:rsidR="00AD579B">
      <w:rPr>
        <w:rStyle w:val="PageNumber"/>
        <w:b w:val="0"/>
        <w:bCs/>
      </w:rPr>
      <w:fldChar w:fldCharType="begin"/>
    </w:r>
    <w:r w:rsidR="00AD579B">
      <w:rPr>
        <w:rStyle w:val="PageNumber"/>
        <w:b w:val="0"/>
        <w:bCs/>
      </w:rPr>
      <w:instrText xml:space="preserve"> PAGE </w:instrText>
    </w:r>
    <w:r w:rsidR="00AD579B">
      <w:rPr>
        <w:rStyle w:val="PageNumber"/>
        <w:b w:val="0"/>
        <w:bCs/>
      </w:rPr>
      <w:fldChar w:fldCharType="separate"/>
    </w:r>
    <w:r w:rsidR="006C4F9C">
      <w:rPr>
        <w:rStyle w:val="PageNumber"/>
        <w:b w:val="0"/>
        <w:bCs/>
        <w:noProof/>
      </w:rPr>
      <w:t>7</w:t>
    </w:r>
    <w:r w:rsidR="00AD579B">
      <w:rPr>
        <w:rStyle w:val="PageNumber"/>
        <w:b w:val="0"/>
        <w:bCs/>
      </w:rPr>
      <w:fldChar w:fldCharType="end"/>
    </w:r>
    <w:r w:rsidR="00AD579B">
      <w:rPr>
        <w:rStyle w:val="PageNumber"/>
        <w:b w:val="0"/>
        <w:bCs/>
      </w:rPr>
      <w:t xml:space="preserve"> -</w:t>
    </w:r>
    <w:r w:rsidR="00AD579B">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9B" w:rsidRDefault="00AD579B" w:rsidP="006D2111">
      <w:pPr>
        <w:spacing w:before="240"/>
      </w:pPr>
      <w:r>
        <w:separator/>
      </w:r>
    </w:p>
  </w:footnote>
  <w:footnote w:type="continuationSeparator" w:id="0">
    <w:p w:rsidR="00AD579B" w:rsidRDefault="00AD579B" w:rsidP="006D2111">
      <w:pPr>
        <w:spacing w:before="240"/>
      </w:pPr>
      <w:r>
        <w:continuationSeparator/>
      </w:r>
    </w:p>
  </w:footnote>
  <w:footnote w:id="1">
    <w:p w:rsidR="00AD579B" w:rsidRDefault="00AD579B" w:rsidP="00AD579B">
      <w:pPr>
        <w:pStyle w:val="FootnoteText"/>
      </w:pPr>
      <w:r w:rsidRPr="00AD579B">
        <w:rPr>
          <w:rStyle w:val="FootnoteReference"/>
          <w:sz w:val="16"/>
        </w:rPr>
        <w:footnoteRef/>
      </w:r>
      <w:r>
        <w:t xml:space="preserve"> </w:t>
      </w:r>
      <w:r>
        <w:tab/>
      </w:r>
      <w:proofErr w:type="gramStart"/>
      <w:r>
        <w:t xml:space="preserve">See ASA 315 </w:t>
      </w:r>
      <w:r w:rsidRPr="00EB0D5D">
        <w:rPr>
          <w:i/>
        </w:rPr>
        <w:t>Identifying and Assessing the Risks of Material Misstatement through Understanding the Entity and Its Environment</w:t>
      </w:r>
      <w:r>
        <w:t>.</w:t>
      </w:r>
      <w:proofErr w:type="gramEnd"/>
    </w:p>
  </w:footnote>
  <w:footnote w:id="2">
    <w:p w:rsidR="00AD579B" w:rsidRDefault="00AD579B" w:rsidP="00AD579B">
      <w:pPr>
        <w:pStyle w:val="FootnoteText"/>
      </w:pPr>
      <w:r w:rsidRPr="00AD579B">
        <w:rPr>
          <w:rStyle w:val="FootnoteReference"/>
          <w:sz w:val="16"/>
        </w:rPr>
        <w:footnoteRef/>
      </w:r>
      <w:r>
        <w:t xml:space="preserve"> </w:t>
      </w:r>
      <w:r>
        <w:tab/>
        <w:t>See ASA</w:t>
      </w:r>
      <w:r w:rsidRPr="00E81D12">
        <w:t xml:space="preserve"> 570 </w:t>
      </w:r>
      <w:r w:rsidRPr="00F76E76">
        <w:rPr>
          <w:i/>
        </w:rPr>
        <w:t>Going Concern</w:t>
      </w:r>
      <w:r>
        <w:t>.</w:t>
      </w:r>
    </w:p>
  </w:footnote>
  <w:footnote w:id="3">
    <w:p w:rsidR="00AD579B" w:rsidRDefault="00AD579B" w:rsidP="00AD579B">
      <w:pPr>
        <w:pStyle w:val="FootnoteText"/>
      </w:pPr>
      <w:r w:rsidRPr="00AD579B">
        <w:rPr>
          <w:rStyle w:val="FootnoteReference"/>
          <w:sz w:val="16"/>
        </w:rPr>
        <w:footnoteRef/>
      </w:r>
      <w:r>
        <w:t xml:space="preserve"> </w:t>
      </w:r>
      <w:r>
        <w:tab/>
        <w:t>See ASA</w:t>
      </w:r>
      <w:r w:rsidRPr="00E81D12">
        <w:t xml:space="preserve"> 520 </w:t>
      </w:r>
      <w:r w:rsidRPr="00EB0D5D">
        <w:rPr>
          <w:i/>
        </w:rPr>
        <w:t>Analytical Procedures</w:t>
      </w:r>
      <w:r>
        <w:t>.</w:t>
      </w:r>
    </w:p>
  </w:footnote>
  <w:footnote w:id="4">
    <w:p w:rsidR="00AD579B" w:rsidRDefault="00AD579B" w:rsidP="00AD579B">
      <w:pPr>
        <w:pStyle w:val="FootnoteText"/>
      </w:pPr>
      <w:r w:rsidRPr="00AD579B">
        <w:rPr>
          <w:rStyle w:val="FootnoteReference"/>
          <w:sz w:val="16"/>
        </w:rPr>
        <w:footnoteRef/>
      </w:r>
      <w:r>
        <w:t xml:space="preserve"> </w:t>
      </w:r>
      <w:r>
        <w:tab/>
        <w:t>See ASA</w:t>
      </w:r>
      <w:r w:rsidRPr="00E81D12">
        <w:t xml:space="preserve"> 200 </w:t>
      </w:r>
      <w:r w:rsidRPr="00EB0D5D">
        <w:rPr>
          <w:i/>
        </w:rPr>
        <w:t>Overall Objectives of the Independent Auditor and the Conduct of an Audit in Accordance with Australian Auditing Standards</w:t>
      </w:r>
      <w:r>
        <w:t>.</w:t>
      </w:r>
    </w:p>
  </w:footnote>
  <w:footnote w:id="5">
    <w:p w:rsidR="00AD579B" w:rsidRPr="00236052" w:rsidRDefault="00AD579B" w:rsidP="00AD579B">
      <w:pPr>
        <w:pStyle w:val="FootnoteText"/>
      </w:pPr>
      <w:r w:rsidRPr="00AD579B">
        <w:rPr>
          <w:rStyle w:val="FootnoteReference"/>
          <w:sz w:val="16"/>
        </w:rPr>
        <w:footnoteRef/>
      </w:r>
      <w:r>
        <w:t xml:space="preserve"> </w:t>
      </w:r>
      <w:r>
        <w:tab/>
        <w:t>See ASA</w:t>
      </w:r>
      <w:r w:rsidRPr="00E81D12">
        <w:t xml:space="preserve"> 330 </w:t>
      </w:r>
      <w:proofErr w:type="gramStart"/>
      <w:r w:rsidRPr="00EB0D5D">
        <w:rPr>
          <w:i/>
        </w:rPr>
        <w:t>The</w:t>
      </w:r>
      <w:proofErr w:type="gramEnd"/>
      <w:r w:rsidRPr="00EB0D5D">
        <w:rPr>
          <w:i/>
        </w:rPr>
        <w:t xml:space="preserve"> Auditor’s Responses to Assessed Risks</w:t>
      </w:r>
      <w:r w:rsidRPr="00E81D12">
        <w:t>.</w:t>
      </w:r>
    </w:p>
  </w:footnote>
  <w:footnote w:id="6">
    <w:p w:rsidR="00AD579B" w:rsidRPr="00E737D9" w:rsidRDefault="00AD579B" w:rsidP="00AD579B">
      <w:pPr>
        <w:pStyle w:val="FootnoteText"/>
      </w:pPr>
      <w:r w:rsidRPr="00AD579B">
        <w:rPr>
          <w:rStyle w:val="FootnoteReference"/>
          <w:sz w:val="16"/>
        </w:rPr>
        <w:footnoteRef/>
      </w:r>
      <w:r w:rsidRPr="00E737D9">
        <w:t xml:space="preserve"> </w:t>
      </w:r>
      <w:r w:rsidRPr="00E737D9">
        <w:tab/>
      </w:r>
      <w:r>
        <w:t>See ASA</w:t>
      </w:r>
      <w:r w:rsidRPr="00E737D9">
        <w:t xml:space="preserve"> 315</w:t>
      </w:r>
      <w:r>
        <w:t>,</w:t>
      </w:r>
      <w:r w:rsidRPr="00E737D9">
        <w:t xml:space="preserve"> paragraph 9.</w:t>
      </w:r>
    </w:p>
  </w:footnote>
  <w:footnote w:id="7">
    <w:p w:rsidR="00AD579B" w:rsidRPr="00CE3580" w:rsidRDefault="00AD579B" w:rsidP="00AD579B">
      <w:pPr>
        <w:pStyle w:val="FootnoteText"/>
      </w:pPr>
      <w:r w:rsidRPr="00AD579B">
        <w:rPr>
          <w:rStyle w:val="FootnoteReference"/>
          <w:sz w:val="16"/>
        </w:rPr>
        <w:footnoteRef/>
      </w:r>
      <w:r w:rsidRPr="00E737D9">
        <w:t xml:space="preserve"> </w:t>
      </w:r>
      <w:r w:rsidRPr="00E737D9">
        <w:tab/>
      </w:r>
      <w:r>
        <w:t>See ASA 200,</w:t>
      </w:r>
      <w:r w:rsidRPr="00E737D9">
        <w:t xml:space="preserve"> paragraph 5.</w:t>
      </w:r>
    </w:p>
  </w:footnote>
  <w:footnote w:id="8">
    <w:p w:rsidR="00AD579B" w:rsidRPr="00D15D4F" w:rsidRDefault="00AD579B" w:rsidP="00AD579B">
      <w:pPr>
        <w:pStyle w:val="FootnoteText"/>
      </w:pPr>
      <w:r w:rsidRPr="00AD579B">
        <w:rPr>
          <w:rStyle w:val="FootnoteReference"/>
          <w:sz w:val="16"/>
        </w:rPr>
        <w:footnoteRef/>
      </w:r>
      <w:r>
        <w:t xml:space="preserve"> </w:t>
      </w:r>
      <w:r>
        <w:tab/>
        <w:t>See ASA 330, paragraph 26.</w:t>
      </w:r>
    </w:p>
  </w:footnote>
  <w:footnote w:id="9">
    <w:p w:rsidR="00AD579B" w:rsidRPr="00021D5B" w:rsidRDefault="00AD579B" w:rsidP="00AD579B">
      <w:pPr>
        <w:pStyle w:val="FootnoteText"/>
      </w:pPr>
      <w:r w:rsidRPr="00AD579B">
        <w:rPr>
          <w:rStyle w:val="FootnoteReference"/>
          <w:sz w:val="16"/>
        </w:rPr>
        <w:footnoteRef/>
      </w:r>
      <w:r w:rsidRPr="00E737D9">
        <w:t xml:space="preserve"> </w:t>
      </w:r>
      <w:r w:rsidRPr="00E737D9">
        <w:tab/>
      </w:r>
      <w:r>
        <w:t>See ASA</w:t>
      </w:r>
      <w:r w:rsidRPr="00E737D9">
        <w:t xml:space="preserve"> 330</w:t>
      </w:r>
      <w:r>
        <w:t>,</w:t>
      </w:r>
      <w:r w:rsidRPr="00E737D9">
        <w:t xml:space="preserve"> paragraph A35.</w:t>
      </w:r>
    </w:p>
  </w:footnote>
  <w:footnote w:id="10">
    <w:p w:rsidR="00AD579B" w:rsidRPr="0067189F" w:rsidRDefault="00AD579B" w:rsidP="00AD579B">
      <w:pPr>
        <w:pStyle w:val="FootnoteText"/>
      </w:pPr>
      <w:r w:rsidRPr="00AD579B">
        <w:rPr>
          <w:rStyle w:val="FootnoteReference"/>
          <w:sz w:val="16"/>
        </w:rPr>
        <w:footnoteRef/>
      </w:r>
      <w:r>
        <w:t xml:space="preserve"> </w:t>
      </w:r>
      <w:r>
        <w:tab/>
        <w:t>See ASA 501</w:t>
      </w:r>
      <w:r w:rsidRPr="002147A4">
        <w:t xml:space="preserve"> </w:t>
      </w:r>
      <w:r w:rsidRPr="00AD579B">
        <w:rPr>
          <w:i/>
        </w:rPr>
        <w:t>Audit Evidence—Specific Considerations for Inventory and Segment Information</w:t>
      </w:r>
      <w:r>
        <w:t>.</w:t>
      </w:r>
    </w:p>
  </w:footnote>
  <w:footnote w:id="11">
    <w:p w:rsidR="00AD579B" w:rsidRPr="0083221D" w:rsidRDefault="00AD579B" w:rsidP="00AD579B">
      <w:pPr>
        <w:pStyle w:val="FootnoteText"/>
      </w:pPr>
      <w:r w:rsidRPr="00AD579B">
        <w:rPr>
          <w:rStyle w:val="FootnoteReference"/>
          <w:sz w:val="16"/>
        </w:rPr>
        <w:footnoteRef/>
      </w:r>
      <w:r>
        <w:t xml:space="preserve"> </w:t>
      </w:r>
      <w:r>
        <w:tab/>
        <w:t>See ASA</w:t>
      </w:r>
      <w:r w:rsidRPr="002147A4">
        <w:t xml:space="preserve"> 505</w:t>
      </w:r>
      <w:r w:rsidRPr="0083221D">
        <w:t xml:space="preserve"> </w:t>
      </w:r>
      <w:r w:rsidRPr="00AD579B">
        <w:rPr>
          <w:i/>
        </w:rPr>
        <w:t>External Confirmations</w:t>
      </w:r>
      <w:r w:rsidRPr="0083221D">
        <w:t>.</w:t>
      </w:r>
    </w:p>
  </w:footnote>
  <w:footnote w:id="12">
    <w:p w:rsidR="00AD579B" w:rsidRPr="00236052" w:rsidRDefault="00AD579B" w:rsidP="00AD579B">
      <w:pPr>
        <w:pStyle w:val="FootnoteText"/>
      </w:pPr>
      <w:r w:rsidRPr="00AD579B">
        <w:rPr>
          <w:rStyle w:val="FootnoteReference"/>
          <w:sz w:val="16"/>
        </w:rPr>
        <w:footnoteRef/>
      </w:r>
      <w:r>
        <w:t xml:space="preserve"> </w:t>
      </w:r>
      <w:r>
        <w:tab/>
        <w:t>See ASA</w:t>
      </w:r>
      <w:r w:rsidRPr="002147A4">
        <w:t xml:space="preserve"> 580 </w:t>
      </w:r>
      <w:r w:rsidRPr="00AD579B">
        <w:rPr>
          <w:i/>
        </w:rPr>
        <w:t>Written Representations</w:t>
      </w:r>
      <w:r>
        <w:t>.</w:t>
      </w:r>
    </w:p>
  </w:footnote>
  <w:footnote w:id="13">
    <w:p w:rsidR="00AD579B" w:rsidRPr="00E737D9" w:rsidRDefault="00AD579B" w:rsidP="00AD579B">
      <w:pPr>
        <w:pStyle w:val="FootnoteText"/>
      </w:pPr>
      <w:r w:rsidRPr="00AD579B">
        <w:rPr>
          <w:rStyle w:val="FootnoteReference"/>
          <w:sz w:val="16"/>
        </w:rPr>
        <w:footnoteRef/>
      </w:r>
      <w:r w:rsidRPr="00E737D9">
        <w:t xml:space="preserve"> </w:t>
      </w:r>
      <w:r w:rsidRPr="00E737D9">
        <w:tab/>
      </w:r>
      <w:r>
        <w:t>See ASA</w:t>
      </w:r>
      <w:r w:rsidRPr="00E737D9">
        <w:t xml:space="preserve"> 520</w:t>
      </w:r>
      <w:r>
        <w:t>,</w:t>
      </w:r>
      <w:r w:rsidRPr="00E737D9">
        <w:t xml:space="preserve"> </w:t>
      </w:r>
      <w:r>
        <w:t>paragraph 5(a)</w:t>
      </w:r>
      <w:r w:rsidRPr="00E737D9">
        <w:t>.</w:t>
      </w:r>
    </w:p>
  </w:footnote>
  <w:footnote w:id="14">
    <w:p w:rsidR="00AD579B" w:rsidRPr="000D4647" w:rsidRDefault="00AD579B" w:rsidP="00AD579B">
      <w:pPr>
        <w:pStyle w:val="FootnoteText"/>
      </w:pPr>
      <w:r w:rsidRPr="00AD579B">
        <w:rPr>
          <w:rStyle w:val="FootnoteReference"/>
          <w:sz w:val="16"/>
        </w:rPr>
        <w:footnoteRef/>
      </w:r>
      <w:r w:rsidRPr="00E737D9">
        <w:t xml:space="preserve"> </w:t>
      </w:r>
      <w:r w:rsidRPr="00E737D9">
        <w:tab/>
      </w:r>
      <w:r>
        <w:t>See ASA</w:t>
      </w:r>
      <w:r w:rsidRPr="00E737D9">
        <w:t xml:space="preserve"> 240 </w:t>
      </w:r>
      <w:proofErr w:type="gramStart"/>
      <w:r w:rsidRPr="00AD579B">
        <w:rPr>
          <w:i/>
        </w:rPr>
        <w:t>The</w:t>
      </w:r>
      <w:proofErr w:type="gramEnd"/>
      <w:r w:rsidRPr="00AD579B">
        <w:rPr>
          <w:i/>
        </w:rPr>
        <w:t xml:space="preserve"> Auditor’s Responsibilities Relating to Fraud in an Audit of a Financial Report</w:t>
      </w:r>
      <w:r>
        <w:t>,</w:t>
      </w:r>
      <w:r w:rsidRPr="00E737D9">
        <w:t xml:space="preserve"> paragraph 13.</w:t>
      </w:r>
    </w:p>
  </w:footnote>
  <w:footnote w:id="15">
    <w:p w:rsidR="00AD579B" w:rsidRPr="009D28A0" w:rsidRDefault="00AD579B" w:rsidP="00AD579B">
      <w:pPr>
        <w:pStyle w:val="FootnoteText"/>
      </w:pPr>
      <w:r w:rsidRPr="00AD579B">
        <w:rPr>
          <w:rStyle w:val="FootnoteReference"/>
          <w:sz w:val="16"/>
        </w:rPr>
        <w:footnoteRef/>
      </w:r>
      <w:r w:rsidRPr="00E737D9">
        <w:tab/>
      </w:r>
      <w:r>
        <w:t>See ASA</w:t>
      </w:r>
      <w:r w:rsidRPr="00E737D9">
        <w:t xml:space="preserve"> 620 </w:t>
      </w:r>
      <w:r w:rsidRPr="00EB0D5D">
        <w:rPr>
          <w:i/>
        </w:rPr>
        <w:t>Using the Work of an Auditor’s Expert</w:t>
      </w:r>
      <w:r>
        <w:t>,</w:t>
      </w:r>
      <w:r w:rsidRPr="00E737D9">
        <w:t xml:space="preserve"> paragraph 7.</w:t>
      </w:r>
    </w:p>
  </w:footnote>
  <w:footnote w:id="16">
    <w:p w:rsidR="00AD579B" w:rsidRPr="000D4647" w:rsidRDefault="00AD579B" w:rsidP="00AD579B">
      <w:pPr>
        <w:pStyle w:val="FootnoteText"/>
      </w:pPr>
      <w:r w:rsidRPr="00AD579B">
        <w:rPr>
          <w:rStyle w:val="FootnoteReference"/>
          <w:sz w:val="16"/>
        </w:rPr>
        <w:footnoteRef/>
      </w:r>
      <w:r>
        <w:t xml:space="preserve"> </w:t>
      </w:r>
      <w:r>
        <w:tab/>
        <w:t xml:space="preserve">See ASA 530 </w:t>
      </w:r>
      <w:r w:rsidRPr="00F65A1B">
        <w:rPr>
          <w:i/>
        </w:rPr>
        <w:t>Audit Sampling</w:t>
      </w:r>
      <w:r>
        <w:t>.</w:t>
      </w:r>
    </w:p>
  </w:footnote>
  <w:footnote w:id="17">
    <w:p w:rsidR="00AD579B" w:rsidRPr="00FC36F2" w:rsidRDefault="00AD579B" w:rsidP="00AD579B">
      <w:pPr>
        <w:pStyle w:val="FootnoteText"/>
      </w:pPr>
      <w:r w:rsidRPr="00AD579B">
        <w:rPr>
          <w:rStyle w:val="FootnoteReference"/>
          <w:sz w:val="16"/>
        </w:rPr>
        <w:footnoteRef/>
      </w:r>
      <w:r w:rsidRPr="00E737D9">
        <w:t xml:space="preserve"> </w:t>
      </w:r>
      <w:r w:rsidRPr="00E737D9">
        <w:tab/>
      </w:r>
      <w:r>
        <w:t>See ASA</w:t>
      </w:r>
      <w:r w:rsidRPr="00E737D9">
        <w:t xml:space="preserve"> 230 </w:t>
      </w:r>
      <w:r w:rsidRPr="00F65A1B">
        <w:rPr>
          <w:i/>
        </w:rPr>
        <w:t>Audit Documentation</w:t>
      </w:r>
      <w:r>
        <w:t>,</w:t>
      </w:r>
      <w:r w:rsidRPr="00E737D9">
        <w:t xml:space="preserve">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9B" w:rsidRDefault="00AD579B">
    <w:pPr>
      <w:pStyle w:val="Header"/>
      <w:pBdr>
        <w:bottom w:val="none" w:sz="0" w:space="0" w:color="auto"/>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9B" w:rsidRDefault="00AD579B">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9B" w:rsidRDefault="00FD70EA">
    <w:pPr>
      <w:pStyle w:val="Header"/>
      <w:rPr>
        <w:i/>
        <w:iCs/>
      </w:rPr>
    </w:pPr>
    <w:fldSimple w:instr=" REF DocTypeLong \* charformat " w:fldLock="1">
      <w:r w:rsidR="00B020E2">
        <w:t>Auditing Standard</w:t>
      </w:r>
    </w:fldSimple>
    <w:r w:rsidR="00AD579B" w:rsidRPr="00C649F8">
      <w:t xml:space="preserve"> </w:t>
    </w:r>
    <w:fldSimple w:instr=" REF DocType \* charformat " w:fldLock="1">
      <w:r w:rsidR="00B020E2">
        <w:t>ASA</w:t>
      </w:r>
    </w:fldSimple>
    <w:r w:rsidR="00AD579B" w:rsidRPr="00C649F8">
      <w:t xml:space="preserve"> </w:t>
    </w:r>
    <w:fldSimple w:instr=" REF DocNo \* charformat " w:fldLock="1">
      <w:r w:rsidR="00B020E2">
        <w:t>500</w:t>
      </w:r>
    </w:fldSimple>
    <w:r w:rsidR="00AD579B" w:rsidRPr="00C649F8">
      <w:br/>
    </w:r>
    <w:r w:rsidR="00AD579B" w:rsidRPr="00C649F8">
      <w:rPr>
        <w:i/>
        <w:iCs/>
      </w:rPr>
      <w:fldChar w:fldCharType="begin" w:fldLock="1"/>
    </w:r>
    <w:r w:rsidR="00AD579B" w:rsidRPr="00C649F8">
      <w:rPr>
        <w:i/>
        <w:iCs/>
      </w:rPr>
      <w:instrText xml:space="preserve"> REF DocTitle \* charformat </w:instrText>
    </w:r>
    <w:r w:rsidR="00AD579B" w:rsidRPr="00C649F8">
      <w:rPr>
        <w:i/>
        <w:iCs/>
      </w:rPr>
      <w:fldChar w:fldCharType="separate"/>
    </w:r>
    <w:r w:rsidR="00B020E2" w:rsidRPr="00B020E2">
      <w:rPr>
        <w:i/>
        <w:iCs/>
      </w:rPr>
      <w:t>Audit Evidence</w:t>
    </w:r>
    <w:r w:rsidR="00AD579B" w:rsidRPr="00C649F8">
      <w:fldChar w:fldCharType="end"/>
    </w:r>
  </w:p>
  <w:p w:rsidR="00AD579B" w:rsidRDefault="00AD579B" w:rsidP="00F46978">
    <w:pPr>
      <w:pStyle w:val="Header"/>
      <w:spacing w:after="2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9B" w:rsidRDefault="00AD579B">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nsid w:val="1ED62E04"/>
    <w:multiLevelType w:val="multilevel"/>
    <w:tmpl w:val="DD1CFF52"/>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48D53F6"/>
    <w:multiLevelType w:val="multilevel"/>
    <w:tmpl w:val="1A8AA198"/>
    <w:numStyleLink w:val="AUASBListBullets"/>
  </w:abstractNum>
  <w:abstractNum w:abstractNumId="16">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7"/>
  </w:num>
  <w:num w:numId="3">
    <w:abstractNumId w:val="13"/>
  </w:num>
  <w:num w:numId="4">
    <w:abstractNumId w:val="0"/>
  </w:num>
  <w:num w:numId="5">
    <w:abstractNumId w:val="9"/>
  </w:num>
  <w:num w:numId="6">
    <w:abstractNumId w:val="8"/>
  </w:num>
  <w:num w:numId="7">
    <w:abstractNumId w:val="6"/>
  </w:num>
  <w:num w:numId="8">
    <w:abstractNumId w:val="12"/>
  </w:num>
  <w:num w:numId="9">
    <w:abstractNumId w:val="21"/>
  </w:num>
  <w:num w:numId="10">
    <w:abstractNumId w:val="10"/>
  </w:num>
  <w:num w:numId="11">
    <w:abstractNumId w:val="1"/>
  </w:num>
  <w:num w:numId="12">
    <w:abstractNumId w:val="20"/>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1"/>
  </w:num>
  <w:num w:numId="23">
    <w:abstractNumId w:val="1"/>
  </w:num>
  <w:num w:numId="24">
    <w:abstractNumId w:val="20"/>
  </w:num>
  <w:num w:numId="25">
    <w:abstractNumId w:val="18"/>
  </w:num>
  <w:num w:numId="26">
    <w:abstractNumId w:val="14"/>
  </w:num>
  <w:num w:numId="27">
    <w:abstractNumId w:val="14"/>
  </w:num>
  <w:num w:numId="28">
    <w:abstractNumId w:val="14"/>
  </w:num>
  <w:num w:numId="29">
    <w:abstractNumId w:val="12"/>
  </w:num>
  <w:num w:numId="30">
    <w:abstractNumId w:val="16"/>
  </w:num>
  <w:num w:numId="31">
    <w:abstractNumId w:val="16"/>
  </w:num>
  <w:num w:numId="32">
    <w:abstractNumId w:val="16"/>
  </w:num>
  <w:num w:numId="33">
    <w:abstractNumId w:val="2"/>
  </w:num>
  <w:num w:numId="34">
    <w:abstractNumId w:val="3"/>
  </w:num>
  <w:num w:numId="35">
    <w:abstractNumId w:val="15"/>
  </w:num>
  <w:num w:numId="36">
    <w:abstractNumId w:val="19"/>
  </w:num>
  <w:num w:numId="37">
    <w:abstractNumId w:val="4"/>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1638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CE"/>
    <w:rsid w:val="0000664A"/>
    <w:rsid w:val="00015F83"/>
    <w:rsid w:val="00026B75"/>
    <w:rsid w:val="00061C75"/>
    <w:rsid w:val="0008431E"/>
    <w:rsid w:val="00090475"/>
    <w:rsid w:val="00090F5F"/>
    <w:rsid w:val="00097BDA"/>
    <w:rsid w:val="000A2F4F"/>
    <w:rsid w:val="000A628D"/>
    <w:rsid w:val="000B579F"/>
    <w:rsid w:val="000D1A44"/>
    <w:rsid w:val="000D243E"/>
    <w:rsid w:val="000D4517"/>
    <w:rsid w:val="000D6B0F"/>
    <w:rsid w:val="000E4127"/>
    <w:rsid w:val="000F6118"/>
    <w:rsid w:val="00101C59"/>
    <w:rsid w:val="00105B19"/>
    <w:rsid w:val="00107ECE"/>
    <w:rsid w:val="001133B4"/>
    <w:rsid w:val="00115E2C"/>
    <w:rsid w:val="00184705"/>
    <w:rsid w:val="001B5857"/>
    <w:rsid w:val="001C00FE"/>
    <w:rsid w:val="001C671A"/>
    <w:rsid w:val="001C6A39"/>
    <w:rsid w:val="001D6F8F"/>
    <w:rsid w:val="001E362E"/>
    <w:rsid w:val="001F1F96"/>
    <w:rsid w:val="00222D31"/>
    <w:rsid w:val="00225B8E"/>
    <w:rsid w:val="00237187"/>
    <w:rsid w:val="0025349C"/>
    <w:rsid w:val="00262DBD"/>
    <w:rsid w:val="00270E3E"/>
    <w:rsid w:val="00274FCE"/>
    <w:rsid w:val="00277A56"/>
    <w:rsid w:val="00287D3A"/>
    <w:rsid w:val="00293EDF"/>
    <w:rsid w:val="002D3424"/>
    <w:rsid w:val="002D65BC"/>
    <w:rsid w:val="002E6942"/>
    <w:rsid w:val="002F6C85"/>
    <w:rsid w:val="00301C19"/>
    <w:rsid w:val="00306690"/>
    <w:rsid w:val="00316D36"/>
    <w:rsid w:val="00317DCF"/>
    <w:rsid w:val="00324E2F"/>
    <w:rsid w:val="00331C6B"/>
    <w:rsid w:val="00334F5D"/>
    <w:rsid w:val="00335AC5"/>
    <w:rsid w:val="003522A7"/>
    <w:rsid w:val="0036385A"/>
    <w:rsid w:val="003663DE"/>
    <w:rsid w:val="003929D0"/>
    <w:rsid w:val="003A03DE"/>
    <w:rsid w:val="003A0F68"/>
    <w:rsid w:val="003B0290"/>
    <w:rsid w:val="003C43EC"/>
    <w:rsid w:val="003D7E0C"/>
    <w:rsid w:val="004026E4"/>
    <w:rsid w:val="00404E72"/>
    <w:rsid w:val="004123DE"/>
    <w:rsid w:val="004230B8"/>
    <w:rsid w:val="00453D65"/>
    <w:rsid w:val="00470C0A"/>
    <w:rsid w:val="004A003C"/>
    <w:rsid w:val="004C6639"/>
    <w:rsid w:val="004C7FF8"/>
    <w:rsid w:val="004D3084"/>
    <w:rsid w:val="004D4D03"/>
    <w:rsid w:val="004E4CD8"/>
    <w:rsid w:val="004F2B24"/>
    <w:rsid w:val="005213D3"/>
    <w:rsid w:val="00524AE9"/>
    <w:rsid w:val="0052624B"/>
    <w:rsid w:val="00526A16"/>
    <w:rsid w:val="005330B1"/>
    <w:rsid w:val="00534AE8"/>
    <w:rsid w:val="00542BCD"/>
    <w:rsid w:val="00546141"/>
    <w:rsid w:val="00575E6B"/>
    <w:rsid w:val="00590D81"/>
    <w:rsid w:val="005A3171"/>
    <w:rsid w:val="005A5582"/>
    <w:rsid w:val="005B1D6F"/>
    <w:rsid w:val="005B5457"/>
    <w:rsid w:val="005E0BDB"/>
    <w:rsid w:val="005E4FB1"/>
    <w:rsid w:val="006014A0"/>
    <w:rsid w:val="00612F73"/>
    <w:rsid w:val="00627868"/>
    <w:rsid w:val="00635B00"/>
    <w:rsid w:val="0063639C"/>
    <w:rsid w:val="006375F2"/>
    <w:rsid w:val="00643057"/>
    <w:rsid w:val="00643692"/>
    <w:rsid w:val="00650DD4"/>
    <w:rsid w:val="006538C2"/>
    <w:rsid w:val="00660A84"/>
    <w:rsid w:val="006667D5"/>
    <w:rsid w:val="00680605"/>
    <w:rsid w:val="006923C1"/>
    <w:rsid w:val="006A1F8C"/>
    <w:rsid w:val="006C4F9C"/>
    <w:rsid w:val="006D2111"/>
    <w:rsid w:val="006E419A"/>
    <w:rsid w:val="00701FC3"/>
    <w:rsid w:val="00722F13"/>
    <w:rsid w:val="00743E62"/>
    <w:rsid w:val="007449B9"/>
    <w:rsid w:val="00782360"/>
    <w:rsid w:val="007B449F"/>
    <w:rsid w:val="007B5ACC"/>
    <w:rsid w:val="007B60DF"/>
    <w:rsid w:val="007C4C65"/>
    <w:rsid w:val="007D45AA"/>
    <w:rsid w:val="007F0D16"/>
    <w:rsid w:val="00806A9F"/>
    <w:rsid w:val="00824BD6"/>
    <w:rsid w:val="00836113"/>
    <w:rsid w:val="008546BE"/>
    <w:rsid w:val="00857A6F"/>
    <w:rsid w:val="00880310"/>
    <w:rsid w:val="008809E8"/>
    <w:rsid w:val="008844E4"/>
    <w:rsid w:val="00886A3C"/>
    <w:rsid w:val="008B44C2"/>
    <w:rsid w:val="008B6960"/>
    <w:rsid w:val="008D6EFF"/>
    <w:rsid w:val="008E386B"/>
    <w:rsid w:val="008F418D"/>
    <w:rsid w:val="00926344"/>
    <w:rsid w:val="00931D42"/>
    <w:rsid w:val="00960A96"/>
    <w:rsid w:val="00963076"/>
    <w:rsid w:val="00983F64"/>
    <w:rsid w:val="009842C7"/>
    <w:rsid w:val="00985859"/>
    <w:rsid w:val="00995437"/>
    <w:rsid w:val="009960AD"/>
    <w:rsid w:val="009A7ECB"/>
    <w:rsid w:val="009C471A"/>
    <w:rsid w:val="009D2955"/>
    <w:rsid w:val="009E274C"/>
    <w:rsid w:val="009F566D"/>
    <w:rsid w:val="009F6A28"/>
    <w:rsid w:val="00A04AC3"/>
    <w:rsid w:val="00A134B2"/>
    <w:rsid w:val="00A13EDD"/>
    <w:rsid w:val="00A22168"/>
    <w:rsid w:val="00A22AC3"/>
    <w:rsid w:val="00A5777C"/>
    <w:rsid w:val="00A64680"/>
    <w:rsid w:val="00A662D5"/>
    <w:rsid w:val="00A8621D"/>
    <w:rsid w:val="00A916E1"/>
    <w:rsid w:val="00AA46D1"/>
    <w:rsid w:val="00AA5627"/>
    <w:rsid w:val="00AB119F"/>
    <w:rsid w:val="00AB2249"/>
    <w:rsid w:val="00AD431A"/>
    <w:rsid w:val="00AD579B"/>
    <w:rsid w:val="00AE0A2A"/>
    <w:rsid w:val="00AE11CD"/>
    <w:rsid w:val="00AF2F98"/>
    <w:rsid w:val="00B00722"/>
    <w:rsid w:val="00B020E2"/>
    <w:rsid w:val="00B203F6"/>
    <w:rsid w:val="00B314B2"/>
    <w:rsid w:val="00B37C0F"/>
    <w:rsid w:val="00B63399"/>
    <w:rsid w:val="00B74ABB"/>
    <w:rsid w:val="00B80F59"/>
    <w:rsid w:val="00B865D4"/>
    <w:rsid w:val="00B900ED"/>
    <w:rsid w:val="00BD67FE"/>
    <w:rsid w:val="00BD7327"/>
    <w:rsid w:val="00BE1350"/>
    <w:rsid w:val="00BE42CC"/>
    <w:rsid w:val="00BE65DA"/>
    <w:rsid w:val="00C2414E"/>
    <w:rsid w:val="00C25B59"/>
    <w:rsid w:val="00C261A2"/>
    <w:rsid w:val="00C40E16"/>
    <w:rsid w:val="00C649F8"/>
    <w:rsid w:val="00C824E0"/>
    <w:rsid w:val="00C86569"/>
    <w:rsid w:val="00CA27DF"/>
    <w:rsid w:val="00CA2F5C"/>
    <w:rsid w:val="00CC7ED2"/>
    <w:rsid w:val="00CC7EFB"/>
    <w:rsid w:val="00CD7D09"/>
    <w:rsid w:val="00CF0265"/>
    <w:rsid w:val="00CF42BF"/>
    <w:rsid w:val="00D0132B"/>
    <w:rsid w:val="00D057D0"/>
    <w:rsid w:val="00D16D87"/>
    <w:rsid w:val="00D16F11"/>
    <w:rsid w:val="00D43B2A"/>
    <w:rsid w:val="00D45D46"/>
    <w:rsid w:val="00D51EB7"/>
    <w:rsid w:val="00D544A3"/>
    <w:rsid w:val="00D61FF9"/>
    <w:rsid w:val="00D625FC"/>
    <w:rsid w:val="00D66EEE"/>
    <w:rsid w:val="00D6750F"/>
    <w:rsid w:val="00D749E7"/>
    <w:rsid w:val="00D75BF4"/>
    <w:rsid w:val="00DA75CC"/>
    <w:rsid w:val="00DD26CF"/>
    <w:rsid w:val="00DD6627"/>
    <w:rsid w:val="00DE45DA"/>
    <w:rsid w:val="00E50216"/>
    <w:rsid w:val="00E53B4F"/>
    <w:rsid w:val="00E57524"/>
    <w:rsid w:val="00E71E3D"/>
    <w:rsid w:val="00E861E3"/>
    <w:rsid w:val="00E87FAF"/>
    <w:rsid w:val="00E95FA1"/>
    <w:rsid w:val="00E96C7D"/>
    <w:rsid w:val="00EA541F"/>
    <w:rsid w:val="00EB0D5D"/>
    <w:rsid w:val="00EB165B"/>
    <w:rsid w:val="00EB412D"/>
    <w:rsid w:val="00ED013D"/>
    <w:rsid w:val="00ED5942"/>
    <w:rsid w:val="00ED611C"/>
    <w:rsid w:val="00ED64A1"/>
    <w:rsid w:val="00EE1F8F"/>
    <w:rsid w:val="00EF25B6"/>
    <w:rsid w:val="00EF4389"/>
    <w:rsid w:val="00EF5357"/>
    <w:rsid w:val="00EF7D9C"/>
    <w:rsid w:val="00F0700A"/>
    <w:rsid w:val="00F45376"/>
    <w:rsid w:val="00F46978"/>
    <w:rsid w:val="00F65C59"/>
    <w:rsid w:val="00FA3513"/>
    <w:rsid w:val="00FA3DFC"/>
    <w:rsid w:val="00FB492A"/>
    <w:rsid w:val="00FD70EA"/>
    <w:rsid w:val="00FD7138"/>
    <w:rsid w:val="00FE2897"/>
    <w:rsid w:val="00FE6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4" w:uiPriority="3" w:qFormat="1"/>
    <w:lsdException w:name="heading 5" w:qFormat="1"/>
    <w:lsdException w:name="heading 6" w:qFormat="1"/>
    <w:lsdException w:name="heading 7" w:qFormat="1"/>
    <w:lsdException w:name="heading 8"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DE45DA"/>
    <w:pPr>
      <w:keepNext/>
      <w:spacing w:after="200" w:line="300" w:lineRule="exact"/>
      <w:outlineLvl w:val="3"/>
    </w:pPr>
    <w:rPr>
      <w:b/>
      <w:bCs/>
      <w:sz w:val="30"/>
      <w:szCs w:val="28"/>
    </w:rPr>
  </w:style>
  <w:style w:type="paragraph" w:styleId="Heading5">
    <w:name w:val="heading 5"/>
    <w:basedOn w:val="Normal"/>
    <w:next w:val="ParaLevel1"/>
    <w:uiPriority w:val="3"/>
    <w:qFormat/>
    <w:rsid w:val="00DE45DA"/>
    <w:pPr>
      <w:keepNext/>
      <w:spacing w:after="200" w:line="260" w:lineRule="exact"/>
      <w:outlineLvl w:val="4"/>
    </w:pPr>
    <w:rPr>
      <w:b/>
      <w:bCs/>
      <w:iCs/>
      <w:sz w:val="26"/>
      <w:szCs w:val="26"/>
    </w:rPr>
  </w:style>
  <w:style w:type="paragraph" w:styleId="Heading6">
    <w:name w:val="heading 6"/>
    <w:basedOn w:val="Heading5"/>
    <w:next w:val="ParaLevel1"/>
    <w:uiPriority w:val="3"/>
    <w:qFormat/>
    <w:rsid w:val="00DE45DA"/>
    <w:pPr>
      <w:spacing w:line="220" w:lineRule="exact"/>
      <w:outlineLvl w:val="5"/>
    </w:pPr>
    <w:rPr>
      <w:bCs w:val="0"/>
      <w:sz w:val="22"/>
      <w:szCs w:val="22"/>
    </w:rPr>
  </w:style>
  <w:style w:type="paragraph" w:styleId="Heading7">
    <w:name w:val="heading 7"/>
    <w:basedOn w:val="Heading6"/>
    <w:next w:val="ParaLevel1"/>
    <w:uiPriority w:val="3"/>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5B5457"/>
    <w:pPr>
      <w:keepLines/>
      <w:spacing w:line="160" w:lineRule="exact"/>
      <w:ind w:left="284" w:hanging="284"/>
    </w:pPr>
    <w:rPr>
      <w:sz w:val="16"/>
    </w:rPr>
  </w:style>
  <w:style w:type="paragraph" w:customStyle="1" w:styleId="ListBullet">
    <w:name w:val="ListBullet"/>
    <w:basedOn w:val="ParaPlain"/>
    <w:uiPriority w:val="2"/>
    <w:qFormat/>
    <w:rsid w:val="00AE0A2A"/>
    <w:pPr>
      <w:numPr>
        <w:numId w:val="35"/>
      </w:numPr>
      <w:ind w:left="1418"/>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tabs>
        <w:tab w:val="clear" w:pos="2127"/>
        <w:tab w:val="num" w:pos="360"/>
      </w:tabs>
      <w:ind w:left="0" w:firstLine="0"/>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DE45DA"/>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6385A"/>
    <w:pPr>
      <w:numPr>
        <w:numId w:val="37"/>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basedOn w:val="DefaultParagraphFont"/>
    <w:uiPriority w:val="7"/>
    <w:rsid w:val="006D2111"/>
    <w:rPr>
      <w:sz w:val="22"/>
      <w:vertAlign w:val="superscript"/>
    </w:rPr>
  </w:style>
  <w:style w:type="paragraph" w:customStyle="1" w:styleId="ListBullet2">
    <w:name w:val="ListBullet2"/>
    <w:basedOn w:val="ParaPlain"/>
    <w:uiPriority w:val="2"/>
    <w:rsid w:val="00AE0A2A"/>
    <w:pPr>
      <w:numPr>
        <w:ilvl w:val="1"/>
        <w:numId w:val="35"/>
      </w:numPr>
      <w:ind w:left="2127"/>
      <w:outlineLvl w:val="1"/>
    </w:pPr>
  </w:style>
  <w:style w:type="paragraph" w:customStyle="1" w:styleId="ListBullet3">
    <w:name w:val="ListBullet3"/>
    <w:basedOn w:val="ParaPlain"/>
    <w:uiPriority w:val="2"/>
    <w:rsid w:val="00AE0A2A"/>
    <w:pPr>
      <w:numPr>
        <w:ilvl w:val="2"/>
        <w:numId w:val="35"/>
      </w:numPr>
      <w:ind w:left="2835"/>
      <w:outlineLvl w:val="2"/>
    </w:pPr>
  </w:style>
  <w:style w:type="paragraph" w:customStyle="1" w:styleId="ListBullet4">
    <w:name w:val="ListBullet4"/>
    <w:basedOn w:val="ParaPlain"/>
    <w:uiPriority w:val="2"/>
    <w:rsid w:val="00AE0A2A"/>
    <w:pPr>
      <w:numPr>
        <w:ilvl w:val="3"/>
        <w:numId w:val="35"/>
      </w:numPr>
      <w:ind w:left="3544"/>
      <w:outlineLvl w:val="3"/>
    </w:pPr>
  </w:style>
  <w:style w:type="paragraph" w:customStyle="1" w:styleId="AParaLevel2">
    <w:name w:val="AParaLevel2"/>
    <w:basedOn w:val="ParaPlain"/>
    <w:uiPriority w:val="2"/>
    <w:rsid w:val="0036385A"/>
    <w:pPr>
      <w:numPr>
        <w:ilvl w:val="1"/>
        <w:numId w:val="37"/>
      </w:numPr>
      <w:outlineLvl w:val="1"/>
    </w:pPr>
  </w:style>
  <w:style w:type="paragraph" w:customStyle="1" w:styleId="AParaLevel3">
    <w:name w:val="AParaLevel3"/>
    <w:basedOn w:val="ParaPlain"/>
    <w:uiPriority w:val="2"/>
    <w:rsid w:val="0036385A"/>
    <w:pPr>
      <w:numPr>
        <w:ilvl w:val="2"/>
        <w:numId w:val="37"/>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6385A"/>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985859"/>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rsid w:val="007B5ACC"/>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Normal"/>
    <w:next w:val="ParaPlain"/>
    <w:uiPriority w:val="5"/>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paragraph" w:styleId="BalloonText">
    <w:name w:val="Balloon Text"/>
    <w:basedOn w:val="Normal"/>
    <w:link w:val="BalloonTextChar"/>
    <w:semiHidden/>
    <w:rsid w:val="004F2B2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F2B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4" w:uiPriority="3" w:qFormat="1"/>
    <w:lsdException w:name="heading 5" w:qFormat="1"/>
    <w:lsdException w:name="heading 6" w:qFormat="1"/>
    <w:lsdException w:name="heading 7" w:qFormat="1"/>
    <w:lsdException w:name="heading 8"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DE45DA"/>
    <w:pPr>
      <w:keepNext/>
      <w:spacing w:after="200" w:line="300" w:lineRule="exact"/>
      <w:outlineLvl w:val="3"/>
    </w:pPr>
    <w:rPr>
      <w:b/>
      <w:bCs/>
      <w:sz w:val="30"/>
      <w:szCs w:val="28"/>
    </w:rPr>
  </w:style>
  <w:style w:type="paragraph" w:styleId="Heading5">
    <w:name w:val="heading 5"/>
    <w:basedOn w:val="Normal"/>
    <w:next w:val="ParaLevel1"/>
    <w:uiPriority w:val="3"/>
    <w:qFormat/>
    <w:rsid w:val="00DE45DA"/>
    <w:pPr>
      <w:keepNext/>
      <w:spacing w:after="200" w:line="260" w:lineRule="exact"/>
      <w:outlineLvl w:val="4"/>
    </w:pPr>
    <w:rPr>
      <w:b/>
      <w:bCs/>
      <w:iCs/>
      <w:sz w:val="26"/>
      <w:szCs w:val="26"/>
    </w:rPr>
  </w:style>
  <w:style w:type="paragraph" w:styleId="Heading6">
    <w:name w:val="heading 6"/>
    <w:basedOn w:val="Heading5"/>
    <w:next w:val="ParaLevel1"/>
    <w:uiPriority w:val="3"/>
    <w:qFormat/>
    <w:rsid w:val="00DE45DA"/>
    <w:pPr>
      <w:spacing w:line="220" w:lineRule="exact"/>
      <w:outlineLvl w:val="5"/>
    </w:pPr>
    <w:rPr>
      <w:bCs w:val="0"/>
      <w:sz w:val="22"/>
      <w:szCs w:val="22"/>
    </w:rPr>
  </w:style>
  <w:style w:type="paragraph" w:styleId="Heading7">
    <w:name w:val="heading 7"/>
    <w:basedOn w:val="Heading6"/>
    <w:next w:val="ParaLevel1"/>
    <w:uiPriority w:val="3"/>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5B5457"/>
    <w:pPr>
      <w:keepLines/>
      <w:spacing w:line="160" w:lineRule="exact"/>
      <w:ind w:left="284" w:hanging="284"/>
    </w:pPr>
    <w:rPr>
      <w:sz w:val="16"/>
    </w:rPr>
  </w:style>
  <w:style w:type="paragraph" w:customStyle="1" w:styleId="ListBullet">
    <w:name w:val="ListBullet"/>
    <w:basedOn w:val="ParaPlain"/>
    <w:uiPriority w:val="2"/>
    <w:qFormat/>
    <w:rsid w:val="00AE0A2A"/>
    <w:pPr>
      <w:numPr>
        <w:numId w:val="35"/>
      </w:numPr>
      <w:ind w:left="1418"/>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tabs>
        <w:tab w:val="clear" w:pos="2127"/>
        <w:tab w:val="num" w:pos="360"/>
      </w:tabs>
      <w:ind w:left="0" w:firstLine="0"/>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DE45DA"/>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6385A"/>
    <w:pPr>
      <w:numPr>
        <w:numId w:val="37"/>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basedOn w:val="DefaultParagraphFont"/>
    <w:uiPriority w:val="7"/>
    <w:rsid w:val="006D2111"/>
    <w:rPr>
      <w:sz w:val="22"/>
      <w:vertAlign w:val="superscript"/>
    </w:rPr>
  </w:style>
  <w:style w:type="paragraph" w:customStyle="1" w:styleId="ListBullet2">
    <w:name w:val="ListBullet2"/>
    <w:basedOn w:val="ParaPlain"/>
    <w:uiPriority w:val="2"/>
    <w:rsid w:val="00AE0A2A"/>
    <w:pPr>
      <w:numPr>
        <w:ilvl w:val="1"/>
        <w:numId w:val="35"/>
      </w:numPr>
      <w:ind w:left="2127"/>
      <w:outlineLvl w:val="1"/>
    </w:pPr>
  </w:style>
  <w:style w:type="paragraph" w:customStyle="1" w:styleId="ListBullet3">
    <w:name w:val="ListBullet3"/>
    <w:basedOn w:val="ParaPlain"/>
    <w:uiPriority w:val="2"/>
    <w:rsid w:val="00AE0A2A"/>
    <w:pPr>
      <w:numPr>
        <w:ilvl w:val="2"/>
        <w:numId w:val="35"/>
      </w:numPr>
      <w:ind w:left="2835"/>
      <w:outlineLvl w:val="2"/>
    </w:pPr>
  </w:style>
  <w:style w:type="paragraph" w:customStyle="1" w:styleId="ListBullet4">
    <w:name w:val="ListBullet4"/>
    <w:basedOn w:val="ParaPlain"/>
    <w:uiPriority w:val="2"/>
    <w:rsid w:val="00AE0A2A"/>
    <w:pPr>
      <w:numPr>
        <w:ilvl w:val="3"/>
        <w:numId w:val="35"/>
      </w:numPr>
      <w:ind w:left="3544"/>
      <w:outlineLvl w:val="3"/>
    </w:pPr>
  </w:style>
  <w:style w:type="paragraph" w:customStyle="1" w:styleId="AParaLevel2">
    <w:name w:val="AParaLevel2"/>
    <w:basedOn w:val="ParaPlain"/>
    <w:uiPriority w:val="2"/>
    <w:rsid w:val="0036385A"/>
    <w:pPr>
      <w:numPr>
        <w:ilvl w:val="1"/>
        <w:numId w:val="37"/>
      </w:numPr>
      <w:outlineLvl w:val="1"/>
    </w:pPr>
  </w:style>
  <w:style w:type="paragraph" w:customStyle="1" w:styleId="AParaLevel3">
    <w:name w:val="AParaLevel3"/>
    <w:basedOn w:val="ParaPlain"/>
    <w:uiPriority w:val="2"/>
    <w:rsid w:val="0036385A"/>
    <w:pPr>
      <w:numPr>
        <w:ilvl w:val="2"/>
        <w:numId w:val="37"/>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6385A"/>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985859"/>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rsid w:val="007B5ACC"/>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Normal"/>
    <w:next w:val="ParaPlain"/>
    <w:uiPriority w:val="5"/>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paragraph" w:styleId="BalloonText">
    <w:name w:val="Balloon Text"/>
    <w:basedOn w:val="Normal"/>
    <w:link w:val="BalloonTextChar"/>
    <w:semiHidden/>
    <w:rsid w:val="004F2B2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F2B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auasb.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quiries@auasb.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p\AppData\Roaming\Microsoft\Templates\Word\Compiled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241A-FC03-4A3C-8663-D6DEDB0F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CompiledStnd</Template>
  <TotalTime>20</TotalTime>
  <Pages>20</Pages>
  <Words>6696</Words>
  <Characters>39983</Characters>
  <Application>Microsoft Office Word</Application>
  <DocSecurity>0</DocSecurity>
  <Lines>689</Lines>
  <Paragraphs>326</Paragraphs>
  <ScaleCrop>false</ScaleCrop>
  <HeadingPairs>
    <vt:vector size="2" baseType="variant">
      <vt:variant>
        <vt:lpstr>Title</vt:lpstr>
      </vt:variant>
      <vt:variant>
        <vt:i4>1</vt:i4>
      </vt:variant>
    </vt:vector>
  </HeadingPairs>
  <TitlesOfParts>
    <vt:vector size="1" baseType="lpstr">
      <vt:lpstr>Compiled Auditing Standard</vt:lpstr>
    </vt:vector>
  </TitlesOfParts>
  <Company>AUABS</Company>
  <LinksUpToDate>false</LinksUpToDate>
  <CharactersWithSpaces>46353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Auditing Standard</dc:title>
  <dc:creator>PW</dc:creator>
  <cp:lastModifiedBy>Christine Purtell</cp:lastModifiedBy>
  <cp:revision>16</cp:revision>
  <cp:lastPrinted>2013-11-07T03:18:00Z</cp:lastPrinted>
  <dcterms:created xsi:type="dcterms:W3CDTF">2013-11-12T00:57:00Z</dcterms:created>
  <dcterms:modified xsi:type="dcterms:W3CDTF">2013-11-29T00:41:00Z</dcterms:modified>
</cp:coreProperties>
</file>